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C83382">
      <w:pPr>
        <w:rPr>
          <w:sz w:val="32"/>
        </w:rPr>
      </w:pPr>
    </w:p>
    <w:p w:rsidR="00C92FC0" w:rsidRPr="00EB07BC" w:rsidRDefault="00C83382">
      <w:pPr>
        <w:rPr>
          <w:sz w:val="32"/>
        </w:rPr>
      </w:pPr>
    </w:p>
    <w:p w:rsidR="00C92FC0" w:rsidRPr="00EB07BC" w:rsidRDefault="00C83382">
      <w:pPr>
        <w:rPr>
          <w:sz w:val="32"/>
        </w:rPr>
      </w:pPr>
    </w:p>
    <w:p w:rsidR="008D105C" w:rsidRDefault="008D105C">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8D105C" w:rsidRDefault="008D105C">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8D105C" w:rsidRDefault="008D105C">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8D105C" w:rsidRDefault="0025570F">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交银施罗德先进制造混合型证券投资基金</w:t>
      </w:r>
    </w:p>
    <w:p w:rsidR="008D105C" w:rsidRDefault="0025570F">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8D105C" w:rsidRDefault="008D105C">
      <w:pPr>
        <w:snapToGrid w:val="0"/>
        <w:spacing w:line="360" w:lineRule="auto"/>
        <w:jc w:val="center"/>
        <w:rPr>
          <w:rFonts w:ascii="宋体" w:hAnsi="宋体"/>
          <w:b/>
          <w:sz w:val="30"/>
          <w:szCs w:val="30"/>
        </w:rPr>
      </w:pPr>
    </w:p>
    <w:p w:rsidR="008D105C" w:rsidRDefault="008D105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D105C" w:rsidRDefault="008D105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D105C" w:rsidRDefault="008D105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D105C" w:rsidRDefault="008D105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D105C" w:rsidRDefault="008D105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D105C" w:rsidRDefault="008D105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D105C" w:rsidRDefault="0025570F">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8D105C" w:rsidRDefault="0025570F">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rsidR="008D105C" w:rsidRDefault="008D105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D105C" w:rsidRDefault="008D105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D105C" w:rsidRDefault="0025570F">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二〇二六年九月</w:t>
      </w:r>
    </w:p>
    <w:p w:rsidR="008D105C" w:rsidRDefault="008D105C">
      <w:pPr>
        <w:autoSpaceDE w:val="0"/>
        <w:autoSpaceDN w:val="0"/>
        <w:adjustRightInd w:val="0"/>
        <w:snapToGrid w:val="0"/>
        <w:spacing w:line="360" w:lineRule="auto"/>
        <w:ind w:left="1347" w:rightChars="6" w:right="13"/>
        <w:rPr>
          <w:rFonts w:ascii="宋体" w:hAnsi="宋体"/>
          <w:kern w:val="0"/>
          <w:sz w:val="32"/>
          <w:szCs w:val="32"/>
        </w:rPr>
        <w:sectPr w:rsidR="008D105C">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8D105C" w:rsidRDefault="0025570F">
      <w:pPr>
        <w:pStyle w:val="1"/>
        <w:snapToGrid w:val="0"/>
        <w:spacing w:beforeLines="0" w:before="240" w:after="240"/>
        <w:rPr>
          <w:rFonts w:ascii="宋体" w:hAnsi="宋体"/>
          <w:kern w:val="0"/>
        </w:rPr>
      </w:pPr>
      <w:bookmarkStart w:id="0" w:name="_Toc324920538"/>
      <w:bookmarkStart w:id="1" w:name="_Toc496884613"/>
      <w:bookmarkStart w:id="2" w:name="_Toc240548865"/>
      <w:r>
        <w:rPr>
          <w:rFonts w:ascii="Times New Roman" w:hAnsi="Times New Roman"/>
          <w:kern w:val="0"/>
        </w:rPr>
        <w:lastRenderedPageBreak/>
        <w:t>重要提示</w:t>
      </w:r>
      <w:bookmarkEnd w:id="0"/>
      <w:bookmarkEnd w:id="1"/>
      <w:bookmarkEnd w:id="2"/>
    </w:p>
    <w:p w:rsidR="008D105C" w:rsidRDefault="0025570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交银施罗德先进制造混合型证券投资基金（以下简称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）由交银施罗德先进制造股票证券投资基金变更而来，交银施罗德先进制造股票证券投资基金经</w:t>
      </w:r>
      <w:r>
        <w:rPr>
          <w:rFonts w:ascii="Times New Roman" w:hAnsi="Times New Roman"/>
          <w:kern w:val="0"/>
          <w:sz w:val="24"/>
        </w:rPr>
        <w:t>2011</w:t>
      </w:r>
      <w:r>
        <w:rPr>
          <w:rFonts w:ascii="Times New Roman" w:hAnsi="Times New Roman"/>
          <w:kern w:val="0"/>
          <w:sz w:val="24"/>
        </w:rPr>
        <w:t>年</w:t>
      </w:r>
      <w:r>
        <w:rPr>
          <w:rFonts w:ascii="Times New Roman" w:hAnsi="Times New Roman"/>
          <w:kern w:val="0"/>
          <w:sz w:val="24"/>
        </w:rPr>
        <w:t>4</w:t>
      </w:r>
      <w:r>
        <w:rPr>
          <w:rFonts w:ascii="Times New Roman" w:hAnsi="Times New Roman"/>
          <w:kern w:val="0"/>
          <w:sz w:val="24"/>
        </w:rPr>
        <w:t>月</w:t>
      </w:r>
      <w:r>
        <w:rPr>
          <w:rFonts w:ascii="Times New Roman" w:hAnsi="Times New Roman"/>
          <w:kern w:val="0"/>
          <w:sz w:val="24"/>
        </w:rPr>
        <w:t>29</w:t>
      </w:r>
      <w:r>
        <w:rPr>
          <w:rFonts w:ascii="Times New Roman" w:hAnsi="Times New Roman"/>
          <w:kern w:val="0"/>
          <w:sz w:val="24"/>
        </w:rPr>
        <w:t>日中国证券监督管理委员会证监许可【</w:t>
      </w:r>
      <w:r>
        <w:rPr>
          <w:rFonts w:ascii="Times New Roman" w:hAnsi="Times New Roman"/>
          <w:kern w:val="0"/>
          <w:sz w:val="24"/>
        </w:rPr>
        <w:t>2011</w:t>
      </w:r>
      <w:r>
        <w:rPr>
          <w:rFonts w:ascii="Times New Roman" w:hAnsi="Times New Roman"/>
          <w:kern w:val="0"/>
          <w:sz w:val="24"/>
        </w:rPr>
        <w:t>】</w:t>
      </w:r>
      <w:r>
        <w:rPr>
          <w:rFonts w:ascii="Times New Roman" w:hAnsi="Times New Roman"/>
          <w:kern w:val="0"/>
          <w:sz w:val="24"/>
        </w:rPr>
        <w:t>639</w:t>
      </w:r>
      <w:r>
        <w:rPr>
          <w:rFonts w:ascii="Times New Roman" w:hAnsi="Times New Roman"/>
          <w:kern w:val="0"/>
          <w:sz w:val="24"/>
        </w:rPr>
        <w:t>号文核准募集，并经</w:t>
      </w:r>
      <w:r>
        <w:rPr>
          <w:rFonts w:ascii="Times New Roman" w:hAnsi="Times New Roman"/>
          <w:kern w:val="0"/>
          <w:sz w:val="24"/>
        </w:rPr>
        <w:t>2018</w:t>
      </w:r>
      <w:r>
        <w:rPr>
          <w:rFonts w:ascii="Times New Roman" w:hAnsi="Times New Roman"/>
          <w:kern w:val="0"/>
          <w:sz w:val="24"/>
        </w:rPr>
        <w:t>年</w:t>
      </w:r>
      <w:r>
        <w:rPr>
          <w:rFonts w:ascii="Times New Roman" w:hAnsi="Times New Roman"/>
          <w:kern w:val="0"/>
          <w:sz w:val="24"/>
        </w:rPr>
        <w:t>1</w:t>
      </w:r>
      <w:r>
        <w:rPr>
          <w:rFonts w:ascii="Times New Roman" w:hAnsi="Times New Roman"/>
          <w:kern w:val="0"/>
          <w:sz w:val="24"/>
        </w:rPr>
        <w:t>月</w:t>
      </w:r>
      <w:r>
        <w:rPr>
          <w:rFonts w:ascii="Times New Roman" w:hAnsi="Times New Roman"/>
          <w:kern w:val="0"/>
          <w:sz w:val="24"/>
        </w:rPr>
        <w:t>5</w:t>
      </w:r>
      <w:r>
        <w:rPr>
          <w:rFonts w:ascii="Times New Roman" w:hAnsi="Times New Roman"/>
          <w:kern w:val="0"/>
          <w:sz w:val="24"/>
        </w:rPr>
        <w:t>日中国证监会证监许可【</w:t>
      </w:r>
      <w:r>
        <w:rPr>
          <w:rFonts w:ascii="Times New Roman" w:hAnsi="Times New Roman"/>
          <w:kern w:val="0"/>
          <w:sz w:val="24"/>
        </w:rPr>
        <w:t>2018</w:t>
      </w:r>
      <w:r>
        <w:rPr>
          <w:rFonts w:ascii="Times New Roman" w:hAnsi="Times New Roman"/>
          <w:kern w:val="0"/>
          <w:sz w:val="24"/>
        </w:rPr>
        <w:t>】</w:t>
      </w:r>
      <w:r>
        <w:rPr>
          <w:rFonts w:ascii="Times New Roman" w:hAnsi="Times New Roman"/>
          <w:kern w:val="0"/>
          <w:sz w:val="24"/>
        </w:rPr>
        <w:t>62</w:t>
      </w:r>
      <w:r>
        <w:rPr>
          <w:rFonts w:ascii="Times New Roman" w:hAnsi="Times New Roman"/>
          <w:kern w:val="0"/>
          <w:sz w:val="24"/>
        </w:rPr>
        <w:t>号文准予变更注册。交银施罗德先进制造混合型证券投资基金以通讯方式召开基金份额持有人大会，大会于</w:t>
      </w:r>
      <w:r>
        <w:rPr>
          <w:rFonts w:ascii="Times New Roman" w:hAnsi="Times New Roman"/>
          <w:kern w:val="0"/>
          <w:sz w:val="24"/>
        </w:rPr>
        <w:t>2018</w:t>
      </w:r>
      <w:r>
        <w:rPr>
          <w:rFonts w:ascii="Times New Roman" w:hAnsi="Times New Roman"/>
          <w:kern w:val="0"/>
          <w:sz w:val="24"/>
        </w:rPr>
        <w:t>年</w:t>
      </w:r>
      <w:r>
        <w:rPr>
          <w:rFonts w:ascii="Times New Roman" w:hAnsi="Times New Roman"/>
          <w:kern w:val="0"/>
          <w:sz w:val="24"/>
        </w:rPr>
        <w:t>3</w:t>
      </w:r>
      <w:r>
        <w:rPr>
          <w:rFonts w:ascii="Times New Roman" w:hAnsi="Times New Roman"/>
          <w:kern w:val="0"/>
          <w:sz w:val="24"/>
        </w:rPr>
        <w:t>月</w:t>
      </w:r>
      <w:r>
        <w:rPr>
          <w:rFonts w:ascii="Times New Roman" w:hAnsi="Times New Roman"/>
          <w:kern w:val="0"/>
          <w:sz w:val="24"/>
        </w:rPr>
        <w:t>20</w:t>
      </w:r>
      <w:r>
        <w:rPr>
          <w:rFonts w:ascii="Times New Roman" w:hAnsi="Times New Roman"/>
          <w:kern w:val="0"/>
          <w:sz w:val="24"/>
        </w:rPr>
        <w:t>日表决通过了《关于交银施罗德先进制造混合型证券投资基金调整投资范围及修改基金合同有关事项的议案》，同意交银施罗德先进制造混合型证券投资基金调整投资范围、投资策略、投资比例限制、业绩比较基准、估值方法及修改基金合同等事宜。本基金经</w:t>
      </w:r>
      <w:r>
        <w:rPr>
          <w:rFonts w:ascii="Times New Roman" w:hAnsi="Times New Roman"/>
          <w:kern w:val="0"/>
          <w:sz w:val="24"/>
        </w:rPr>
        <w:t>2021</w:t>
      </w:r>
      <w:r>
        <w:rPr>
          <w:rFonts w:ascii="Times New Roman" w:hAnsi="Times New Roman"/>
          <w:kern w:val="0"/>
          <w:sz w:val="24"/>
        </w:rPr>
        <w:t>年</w:t>
      </w:r>
      <w:r>
        <w:rPr>
          <w:rFonts w:ascii="Times New Roman" w:hAnsi="Times New Roman"/>
          <w:kern w:val="0"/>
          <w:sz w:val="24"/>
        </w:rPr>
        <w:t>5</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日中国证监会证监许可【</w:t>
      </w:r>
      <w:r>
        <w:rPr>
          <w:rFonts w:ascii="Times New Roman" w:hAnsi="Times New Roman"/>
          <w:kern w:val="0"/>
          <w:sz w:val="24"/>
        </w:rPr>
        <w:t>2021</w:t>
      </w:r>
      <w:r>
        <w:rPr>
          <w:rFonts w:ascii="Times New Roman" w:hAnsi="Times New Roman"/>
          <w:kern w:val="0"/>
          <w:sz w:val="24"/>
        </w:rPr>
        <w:t>】</w:t>
      </w:r>
      <w:r>
        <w:rPr>
          <w:rFonts w:ascii="Times New Roman" w:hAnsi="Times New Roman"/>
          <w:kern w:val="0"/>
          <w:sz w:val="24"/>
        </w:rPr>
        <w:t>1896</w:t>
      </w:r>
      <w:r>
        <w:rPr>
          <w:rFonts w:ascii="Times New Roman" w:hAnsi="Times New Roman"/>
          <w:kern w:val="0"/>
          <w:sz w:val="24"/>
        </w:rPr>
        <w:t>号文准予变更注册。交银施罗德先进制造混合型证券投资基金以通讯方式召开基金份额持有人大会，大会于</w:t>
      </w:r>
      <w:r>
        <w:rPr>
          <w:rFonts w:ascii="Times New Roman" w:hAnsi="Times New Roman"/>
          <w:kern w:val="0"/>
          <w:sz w:val="24"/>
        </w:rPr>
        <w:t>2022</w:t>
      </w:r>
      <w:r>
        <w:rPr>
          <w:rFonts w:ascii="Times New Roman" w:hAnsi="Times New Roman"/>
          <w:kern w:val="0"/>
          <w:sz w:val="24"/>
        </w:rPr>
        <w:t>年</w:t>
      </w:r>
      <w:r>
        <w:rPr>
          <w:rFonts w:ascii="Times New Roman" w:hAnsi="Times New Roman"/>
          <w:kern w:val="0"/>
          <w:sz w:val="24"/>
        </w:rPr>
        <w:t>1</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表决通过了《关于交银施罗德先进制造混合型证券投资基金调整投资范围及修改基金合同有关事项的议案》，同意在交银施罗德先进制造混合型证券投资基金投资范围中增加港股通标的股票，相应调整投资策略、投资比例限制、业绩比较基准、估值方法等内容，并调整基金赎回费率、增加基金合同自动终止条款、增加</w:t>
      </w:r>
      <w:r>
        <w:rPr>
          <w:rFonts w:ascii="Times New Roman" w:hAnsi="Times New Roman"/>
          <w:kern w:val="0"/>
          <w:sz w:val="24"/>
        </w:rPr>
        <w:t>C</w:t>
      </w:r>
      <w:r>
        <w:rPr>
          <w:rFonts w:ascii="Times New Roman" w:hAnsi="Times New Roman"/>
          <w:kern w:val="0"/>
          <w:sz w:val="24"/>
        </w:rPr>
        <w:t>类基金份额、增加侧袋机制相关表述以及修改基金合同其他部分条款等事项，上述基金份额持有人大会决议事项自表决通过之日起生效。</w:t>
      </w:r>
    </w:p>
    <w:p w:rsidR="008D105C" w:rsidRDefault="0025570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交银施罗德先进制造股票证券投资基金募集的核准以及对本基金的变更注册，并不表明其对本基金的价值和收益作出实质性判断或保证，也不表明投资于本基金没有风险。中国证监会不对基金的投资价值及市场前景等作出实质性判断或者保证。</w:t>
      </w:r>
    </w:p>
    <w:p w:rsidR="008D105C" w:rsidRDefault="0025570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8D105C" w:rsidRDefault="0025570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者在投资本基金前，需全面认识本基金产品的风险收益特征和产品特性，充分考虑自身的风险承受能力，理性判断市场，对投资本基金的意愿、时机、数量等</w:t>
      </w:r>
      <w:r>
        <w:rPr>
          <w:rFonts w:ascii="Times New Roman" w:hAnsi="Times New Roman"/>
          <w:kern w:val="0"/>
          <w:sz w:val="24"/>
        </w:rPr>
        <w:lastRenderedPageBreak/>
        <w:t>投资行为作出独立决策。投资者根据所持有份额享受基金的收益，但同时也需承担相应的投资风险。投资本基金可能遇到的风险包括：因政治、经济、社会等因素对证券价格波动产生影响而引发的市场风险；基金管理人在基金管理运作过程中产生的基金管理风险；流动性风险（包括实施侧袋机制时的特定风险）；交易对手或债券发行人违约产生的信用风险；本基金投资策略所特有的风险；投资资产支持证券的特定风险；投资股指期货的特定风险；投资流通受限证券的特定风险；投资科创板股票的特定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万元情形时基金管理人依基金合同约定提前终止基金合同的风险；投资本基金特有的其他风险等等。本基金是一只混合型基金，其预期风险和预期收益高于债券型基金和货币市场基金，低于股票型基金。</w:t>
      </w:r>
    </w:p>
    <w:p w:rsidR="008D105C" w:rsidRDefault="0025570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rsidR="008D105C" w:rsidRDefault="0025570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8D105C" w:rsidRDefault="0025570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8D105C" w:rsidRDefault="0025570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8D105C" w:rsidRDefault="0025570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8D105C" w:rsidRDefault="0025570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w:t>
      </w:r>
      <w:r>
        <w:rPr>
          <w:rFonts w:ascii="Times New Roman" w:hAnsi="Times New Roman"/>
          <w:kern w:val="0"/>
          <w:sz w:val="24"/>
        </w:rPr>
        <w:lastRenderedPageBreak/>
        <w:t>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8D105C" w:rsidRDefault="0025570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rsidR="008D105C" w:rsidRDefault="0025570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者在投资本基金前应认真阅读本基金的招募说明书和基金合同、基金产品资料概要等信息披露文件，自主判断基金的投资价值，自主作出投资决策，自行承担投资风险。基金的过往业绩并不代表其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8D105C" w:rsidRDefault="0025570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8D105C" w:rsidRDefault="0025570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本次更新招募说明书主要对本基金调整业绩比较基准的相关信息进行更新，更新截止日为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日，除非另有说明，本招募说明书其他所载内容截止日为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05</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日，有关财务和业绩表现数据截止日为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日，财务和业绩表现数据未经审计。</w:t>
      </w:r>
    </w:p>
    <w:p w:rsidR="008D105C" w:rsidRDefault="008D105C">
      <w:pPr>
        <w:autoSpaceDE w:val="0"/>
        <w:autoSpaceDN w:val="0"/>
        <w:adjustRightInd w:val="0"/>
        <w:snapToGrid w:val="0"/>
        <w:spacing w:before="51" w:line="360" w:lineRule="auto"/>
        <w:ind w:left="120" w:rightChars="6" w:right="13" w:firstLine="480"/>
        <w:rPr>
          <w:rFonts w:ascii="宋体" w:hAnsi="宋体"/>
          <w:kern w:val="0"/>
          <w:szCs w:val="24"/>
        </w:rPr>
        <w:sectPr w:rsidR="008D105C">
          <w:headerReference w:type="default" r:id="rId14"/>
          <w:pgSz w:w="11920" w:h="16840"/>
          <w:pgMar w:top="1440" w:right="1680" w:bottom="280" w:left="1680" w:header="0" w:footer="1073" w:gutter="0"/>
          <w:pgNumType w:start="1"/>
          <w:cols w:space="720"/>
        </w:sectPr>
      </w:pPr>
    </w:p>
    <w:p w:rsidR="00C83382" w:rsidRPr="00C83382" w:rsidRDefault="0025570F" w:rsidP="00C83382">
      <w:pPr>
        <w:pStyle w:val="ad"/>
        <w:snapToGrid w:val="0"/>
        <w:spacing w:after="240" w:line="360" w:lineRule="auto"/>
        <w:jc w:val="center"/>
        <w:rPr>
          <w:rFonts w:ascii="宋体" w:hAnsi="宋体"/>
          <w:noProof/>
          <w:sz w:val="24"/>
        </w:rPr>
      </w:pPr>
      <w:r w:rsidRPr="00C83382">
        <w:rPr>
          <w:rFonts w:ascii="宋体" w:hAnsi="宋体"/>
          <w:color w:val="000000"/>
          <w:position w:val="-4"/>
          <w:sz w:val="24"/>
          <w:szCs w:val="30"/>
        </w:rPr>
        <w:lastRenderedPageBreak/>
        <w:t>目</w:t>
      </w:r>
      <w:r w:rsidRPr="00C83382">
        <w:rPr>
          <w:rFonts w:ascii="宋体" w:hAnsi="宋体"/>
          <w:color w:val="000000"/>
          <w:position w:val="-4"/>
          <w:sz w:val="24"/>
          <w:szCs w:val="30"/>
        </w:rPr>
        <w:tab/>
        <w:t>录</w:t>
      </w:r>
      <w:r w:rsidR="00C83382" w:rsidRPr="00C83382">
        <w:rPr>
          <w:rFonts w:ascii="宋体" w:hAnsi="宋体"/>
          <w:color w:val="000000"/>
          <w:position w:val="-4"/>
          <w:sz w:val="24"/>
          <w:szCs w:val="30"/>
        </w:rPr>
        <w:fldChar w:fldCharType="begin"/>
      </w:r>
      <w:r w:rsidR="00C83382" w:rsidRPr="00C83382">
        <w:rPr>
          <w:rFonts w:ascii="宋体" w:hAnsi="宋体"/>
          <w:color w:val="000000"/>
          <w:position w:val="-4"/>
          <w:sz w:val="24"/>
          <w:szCs w:val="30"/>
        </w:rPr>
        <w:instrText xml:space="preserve"> TOC \o "1-3" \f - \h \t "-1" </w:instrText>
      </w:r>
      <w:r w:rsidR="00C83382" w:rsidRPr="00C83382">
        <w:rPr>
          <w:rFonts w:ascii="宋体" w:hAnsi="宋体"/>
          <w:color w:val="000000"/>
          <w:position w:val="-4"/>
          <w:sz w:val="24"/>
          <w:szCs w:val="30"/>
        </w:rPr>
        <w:fldChar w:fldCharType="separate"/>
      </w:r>
    </w:p>
    <w:p w:rsidR="00C83382" w:rsidRPr="00C83382" w:rsidRDefault="00C83382" w:rsidP="00C83382">
      <w:pPr>
        <w:pStyle w:val="10"/>
        <w:tabs>
          <w:tab w:val="right" w:leader="dot" w:pos="8550"/>
        </w:tabs>
        <w:spacing w:line="360" w:lineRule="auto"/>
        <w:rPr>
          <w:rFonts w:ascii="宋体" w:hAnsi="宋体" w:cstheme="minorBidi"/>
          <w:noProof/>
          <w:sz w:val="24"/>
        </w:rPr>
      </w:pPr>
      <w:hyperlink w:anchor="_Toc240548865" w:history="1">
        <w:r w:rsidRPr="00C83382">
          <w:rPr>
            <w:rStyle w:val="aa"/>
            <w:rFonts w:ascii="宋体" w:hAnsi="宋体" w:hint="eastAsia"/>
            <w:noProof/>
            <w:kern w:val="0"/>
            <w:sz w:val="24"/>
          </w:rPr>
          <w:t>重要提示</w:t>
        </w:r>
        <w:r w:rsidRPr="00C83382">
          <w:rPr>
            <w:rFonts w:ascii="宋体" w:hAnsi="宋体"/>
            <w:noProof/>
            <w:sz w:val="24"/>
          </w:rPr>
          <w:tab/>
        </w:r>
        <w:r w:rsidRPr="00C83382">
          <w:rPr>
            <w:rFonts w:ascii="宋体" w:hAnsi="宋体"/>
            <w:noProof/>
            <w:sz w:val="24"/>
          </w:rPr>
          <w:fldChar w:fldCharType="begin"/>
        </w:r>
        <w:r w:rsidRPr="00C83382">
          <w:rPr>
            <w:rFonts w:ascii="宋体" w:hAnsi="宋体"/>
            <w:noProof/>
            <w:sz w:val="24"/>
          </w:rPr>
          <w:instrText xml:space="preserve"> PAGEREF _Toc240548865 \h </w:instrText>
        </w:r>
        <w:r w:rsidRPr="00C83382">
          <w:rPr>
            <w:rFonts w:ascii="宋体" w:hAnsi="宋体"/>
            <w:noProof/>
            <w:sz w:val="24"/>
          </w:rPr>
        </w:r>
        <w:r w:rsidRPr="00C83382">
          <w:rPr>
            <w:rFonts w:ascii="宋体" w:hAnsi="宋体"/>
            <w:noProof/>
            <w:sz w:val="24"/>
          </w:rPr>
          <w:fldChar w:fldCharType="separate"/>
        </w:r>
        <w:r w:rsidRPr="00C83382">
          <w:rPr>
            <w:rFonts w:ascii="宋体" w:hAnsi="宋体"/>
            <w:noProof/>
            <w:sz w:val="24"/>
          </w:rPr>
          <w:t>1</w:t>
        </w:r>
        <w:r w:rsidRPr="00C83382">
          <w:rPr>
            <w:rFonts w:ascii="宋体" w:hAnsi="宋体"/>
            <w:noProof/>
            <w:sz w:val="24"/>
          </w:rPr>
          <w:fldChar w:fldCharType="end"/>
        </w:r>
      </w:hyperlink>
    </w:p>
    <w:p w:rsidR="00C83382" w:rsidRPr="00C83382" w:rsidRDefault="00C83382" w:rsidP="00C83382">
      <w:pPr>
        <w:pStyle w:val="10"/>
        <w:tabs>
          <w:tab w:val="right" w:leader="dot" w:pos="8550"/>
        </w:tabs>
        <w:spacing w:line="360" w:lineRule="auto"/>
        <w:rPr>
          <w:rFonts w:ascii="宋体" w:hAnsi="宋体" w:cstheme="minorBidi"/>
          <w:noProof/>
          <w:sz w:val="24"/>
        </w:rPr>
      </w:pPr>
      <w:hyperlink w:anchor="_Toc240548866" w:history="1">
        <w:r w:rsidRPr="00C83382">
          <w:rPr>
            <w:rStyle w:val="aa"/>
            <w:rFonts w:ascii="宋体" w:hAnsi="宋体" w:hint="eastAsia"/>
            <w:noProof/>
            <w:sz w:val="24"/>
          </w:rPr>
          <w:t>一、绪言</w:t>
        </w:r>
        <w:r w:rsidRPr="00C83382">
          <w:rPr>
            <w:rFonts w:ascii="宋体" w:hAnsi="宋体"/>
            <w:noProof/>
            <w:sz w:val="24"/>
          </w:rPr>
          <w:tab/>
        </w:r>
        <w:r w:rsidRPr="00C83382">
          <w:rPr>
            <w:rFonts w:ascii="宋体" w:hAnsi="宋体"/>
            <w:noProof/>
            <w:sz w:val="24"/>
          </w:rPr>
          <w:fldChar w:fldCharType="begin"/>
        </w:r>
        <w:r w:rsidRPr="00C83382">
          <w:rPr>
            <w:rFonts w:ascii="宋体" w:hAnsi="宋体"/>
            <w:noProof/>
            <w:sz w:val="24"/>
          </w:rPr>
          <w:instrText xml:space="preserve"> PAGEREF _Toc240548866 \h </w:instrText>
        </w:r>
        <w:r w:rsidRPr="00C83382">
          <w:rPr>
            <w:rFonts w:ascii="宋体" w:hAnsi="宋体"/>
            <w:noProof/>
            <w:sz w:val="24"/>
          </w:rPr>
        </w:r>
        <w:r w:rsidRPr="00C83382">
          <w:rPr>
            <w:rFonts w:ascii="宋体" w:hAnsi="宋体"/>
            <w:noProof/>
            <w:sz w:val="24"/>
          </w:rPr>
          <w:fldChar w:fldCharType="separate"/>
        </w:r>
        <w:r w:rsidRPr="00C83382">
          <w:rPr>
            <w:rFonts w:ascii="宋体" w:hAnsi="宋体"/>
            <w:noProof/>
            <w:sz w:val="24"/>
          </w:rPr>
          <w:t>5</w:t>
        </w:r>
        <w:r w:rsidRPr="00C83382">
          <w:rPr>
            <w:rFonts w:ascii="宋体" w:hAnsi="宋体"/>
            <w:noProof/>
            <w:sz w:val="24"/>
          </w:rPr>
          <w:fldChar w:fldCharType="end"/>
        </w:r>
      </w:hyperlink>
    </w:p>
    <w:p w:rsidR="00C83382" w:rsidRPr="00C83382" w:rsidRDefault="00C83382" w:rsidP="00C83382">
      <w:pPr>
        <w:pStyle w:val="10"/>
        <w:tabs>
          <w:tab w:val="right" w:leader="dot" w:pos="8550"/>
        </w:tabs>
        <w:spacing w:line="360" w:lineRule="auto"/>
        <w:rPr>
          <w:rFonts w:ascii="宋体" w:hAnsi="宋体" w:cstheme="minorBidi"/>
          <w:noProof/>
          <w:sz w:val="24"/>
        </w:rPr>
      </w:pPr>
      <w:hyperlink w:anchor="_Toc240548867" w:history="1">
        <w:r w:rsidRPr="00C83382">
          <w:rPr>
            <w:rStyle w:val="aa"/>
            <w:rFonts w:ascii="宋体" w:hAnsi="宋体" w:hint="eastAsia"/>
            <w:noProof/>
            <w:sz w:val="24"/>
          </w:rPr>
          <w:t>二、释义</w:t>
        </w:r>
        <w:r w:rsidRPr="00C83382">
          <w:rPr>
            <w:rFonts w:ascii="宋体" w:hAnsi="宋体"/>
            <w:noProof/>
            <w:sz w:val="24"/>
          </w:rPr>
          <w:tab/>
        </w:r>
        <w:r w:rsidRPr="00C83382">
          <w:rPr>
            <w:rFonts w:ascii="宋体" w:hAnsi="宋体"/>
            <w:noProof/>
            <w:sz w:val="24"/>
          </w:rPr>
          <w:fldChar w:fldCharType="begin"/>
        </w:r>
        <w:r w:rsidRPr="00C83382">
          <w:rPr>
            <w:rFonts w:ascii="宋体" w:hAnsi="宋体"/>
            <w:noProof/>
            <w:sz w:val="24"/>
          </w:rPr>
          <w:instrText xml:space="preserve"> PAGEREF _Toc240548867 \h </w:instrText>
        </w:r>
        <w:r w:rsidRPr="00C83382">
          <w:rPr>
            <w:rFonts w:ascii="宋体" w:hAnsi="宋体"/>
            <w:noProof/>
            <w:sz w:val="24"/>
          </w:rPr>
        </w:r>
        <w:r w:rsidRPr="00C83382">
          <w:rPr>
            <w:rFonts w:ascii="宋体" w:hAnsi="宋体"/>
            <w:noProof/>
            <w:sz w:val="24"/>
          </w:rPr>
          <w:fldChar w:fldCharType="separate"/>
        </w:r>
        <w:r w:rsidRPr="00C83382">
          <w:rPr>
            <w:rFonts w:ascii="宋体" w:hAnsi="宋体"/>
            <w:noProof/>
            <w:sz w:val="24"/>
          </w:rPr>
          <w:t>6</w:t>
        </w:r>
        <w:r w:rsidRPr="00C83382">
          <w:rPr>
            <w:rFonts w:ascii="宋体" w:hAnsi="宋体"/>
            <w:noProof/>
            <w:sz w:val="24"/>
          </w:rPr>
          <w:fldChar w:fldCharType="end"/>
        </w:r>
      </w:hyperlink>
    </w:p>
    <w:p w:rsidR="00C83382" w:rsidRPr="00C83382" w:rsidRDefault="00C83382" w:rsidP="00C83382">
      <w:pPr>
        <w:pStyle w:val="10"/>
        <w:tabs>
          <w:tab w:val="right" w:leader="dot" w:pos="8550"/>
        </w:tabs>
        <w:spacing w:line="360" w:lineRule="auto"/>
        <w:rPr>
          <w:rFonts w:ascii="宋体" w:hAnsi="宋体" w:cstheme="minorBidi"/>
          <w:noProof/>
          <w:sz w:val="24"/>
        </w:rPr>
      </w:pPr>
      <w:hyperlink w:anchor="_Toc240548868" w:history="1">
        <w:r w:rsidRPr="00C83382">
          <w:rPr>
            <w:rStyle w:val="aa"/>
            <w:rFonts w:ascii="宋体" w:hAnsi="宋体" w:hint="eastAsia"/>
            <w:noProof/>
            <w:sz w:val="24"/>
          </w:rPr>
          <w:t>三、基金管理人</w:t>
        </w:r>
        <w:r w:rsidRPr="00C83382">
          <w:rPr>
            <w:rFonts w:ascii="宋体" w:hAnsi="宋体"/>
            <w:noProof/>
            <w:sz w:val="24"/>
          </w:rPr>
          <w:tab/>
        </w:r>
        <w:r w:rsidRPr="00C83382">
          <w:rPr>
            <w:rFonts w:ascii="宋体" w:hAnsi="宋体"/>
            <w:noProof/>
            <w:sz w:val="24"/>
          </w:rPr>
          <w:fldChar w:fldCharType="begin"/>
        </w:r>
        <w:r w:rsidRPr="00C83382">
          <w:rPr>
            <w:rFonts w:ascii="宋体" w:hAnsi="宋体"/>
            <w:noProof/>
            <w:sz w:val="24"/>
          </w:rPr>
          <w:instrText xml:space="preserve"> PAGEREF _Toc240548868 \h </w:instrText>
        </w:r>
        <w:r w:rsidRPr="00C83382">
          <w:rPr>
            <w:rFonts w:ascii="宋体" w:hAnsi="宋体"/>
            <w:noProof/>
            <w:sz w:val="24"/>
          </w:rPr>
        </w:r>
        <w:r w:rsidRPr="00C83382">
          <w:rPr>
            <w:rFonts w:ascii="宋体" w:hAnsi="宋体"/>
            <w:noProof/>
            <w:sz w:val="24"/>
          </w:rPr>
          <w:fldChar w:fldCharType="separate"/>
        </w:r>
        <w:r w:rsidRPr="00C83382">
          <w:rPr>
            <w:rFonts w:ascii="宋体" w:hAnsi="宋体"/>
            <w:noProof/>
            <w:sz w:val="24"/>
          </w:rPr>
          <w:t>12</w:t>
        </w:r>
        <w:r w:rsidRPr="00C83382">
          <w:rPr>
            <w:rFonts w:ascii="宋体" w:hAnsi="宋体"/>
            <w:noProof/>
            <w:sz w:val="24"/>
          </w:rPr>
          <w:fldChar w:fldCharType="end"/>
        </w:r>
      </w:hyperlink>
    </w:p>
    <w:p w:rsidR="00C83382" w:rsidRPr="00C83382" w:rsidRDefault="00C83382" w:rsidP="00C83382">
      <w:pPr>
        <w:pStyle w:val="10"/>
        <w:tabs>
          <w:tab w:val="right" w:leader="dot" w:pos="8550"/>
        </w:tabs>
        <w:spacing w:line="360" w:lineRule="auto"/>
        <w:rPr>
          <w:rFonts w:ascii="宋体" w:hAnsi="宋体" w:cstheme="minorBidi"/>
          <w:noProof/>
          <w:sz w:val="24"/>
        </w:rPr>
      </w:pPr>
      <w:hyperlink w:anchor="_Toc240548869" w:history="1">
        <w:r w:rsidRPr="00C83382">
          <w:rPr>
            <w:rStyle w:val="aa"/>
            <w:rFonts w:ascii="宋体" w:hAnsi="宋体" w:hint="eastAsia"/>
            <w:noProof/>
            <w:sz w:val="24"/>
          </w:rPr>
          <w:t>四、基金托管人</w:t>
        </w:r>
        <w:r w:rsidRPr="00C83382">
          <w:rPr>
            <w:rFonts w:ascii="宋体" w:hAnsi="宋体"/>
            <w:noProof/>
            <w:sz w:val="24"/>
          </w:rPr>
          <w:tab/>
        </w:r>
        <w:r w:rsidRPr="00C83382">
          <w:rPr>
            <w:rFonts w:ascii="宋体" w:hAnsi="宋体"/>
            <w:noProof/>
            <w:sz w:val="24"/>
          </w:rPr>
          <w:fldChar w:fldCharType="begin"/>
        </w:r>
        <w:r w:rsidRPr="00C83382">
          <w:rPr>
            <w:rFonts w:ascii="宋体" w:hAnsi="宋体"/>
            <w:noProof/>
            <w:sz w:val="24"/>
          </w:rPr>
          <w:instrText xml:space="preserve"> PAGEREF _Toc240548869 \h </w:instrText>
        </w:r>
        <w:r w:rsidRPr="00C83382">
          <w:rPr>
            <w:rFonts w:ascii="宋体" w:hAnsi="宋体"/>
            <w:noProof/>
            <w:sz w:val="24"/>
          </w:rPr>
        </w:r>
        <w:r w:rsidRPr="00C83382">
          <w:rPr>
            <w:rFonts w:ascii="宋体" w:hAnsi="宋体"/>
            <w:noProof/>
            <w:sz w:val="24"/>
          </w:rPr>
          <w:fldChar w:fldCharType="separate"/>
        </w:r>
        <w:r w:rsidRPr="00C83382">
          <w:rPr>
            <w:rFonts w:ascii="宋体" w:hAnsi="宋体"/>
            <w:noProof/>
            <w:sz w:val="24"/>
          </w:rPr>
          <w:t>19</w:t>
        </w:r>
        <w:r w:rsidRPr="00C83382">
          <w:rPr>
            <w:rFonts w:ascii="宋体" w:hAnsi="宋体"/>
            <w:noProof/>
            <w:sz w:val="24"/>
          </w:rPr>
          <w:fldChar w:fldCharType="end"/>
        </w:r>
      </w:hyperlink>
    </w:p>
    <w:p w:rsidR="00C83382" w:rsidRPr="00C83382" w:rsidRDefault="00C83382" w:rsidP="00C83382">
      <w:pPr>
        <w:pStyle w:val="10"/>
        <w:tabs>
          <w:tab w:val="right" w:leader="dot" w:pos="8550"/>
        </w:tabs>
        <w:spacing w:line="360" w:lineRule="auto"/>
        <w:rPr>
          <w:rFonts w:ascii="宋体" w:hAnsi="宋体" w:cstheme="minorBidi"/>
          <w:noProof/>
          <w:sz w:val="24"/>
        </w:rPr>
      </w:pPr>
      <w:hyperlink w:anchor="_Toc240548870" w:history="1">
        <w:r w:rsidRPr="00C83382">
          <w:rPr>
            <w:rStyle w:val="aa"/>
            <w:rFonts w:ascii="宋体" w:hAnsi="宋体" w:hint="eastAsia"/>
            <w:noProof/>
            <w:sz w:val="24"/>
          </w:rPr>
          <w:t>五、相关服务机构</w:t>
        </w:r>
        <w:r w:rsidRPr="00C83382">
          <w:rPr>
            <w:rFonts w:ascii="宋体" w:hAnsi="宋体"/>
            <w:noProof/>
            <w:sz w:val="24"/>
          </w:rPr>
          <w:tab/>
        </w:r>
        <w:r w:rsidRPr="00C83382">
          <w:rPr>
            <w:rFonts w:ascii="宋体" w:hAnsi="宋体"/>
            <w:noProof/>
            <w:sz w:val="24"/>
          </w:rPr>
          <w:fldChar w:fldCharType="begin"/>
        </w:r>
        <w:r w:rsidRPr="00C83382">
          <w:rPr>
            <w:rFonts w:ascii="宋体" w:hAnsi="宋体"/>
            <w:noProof/>
            <w:sz w:val="24"/>
          </w:rPr>
          <w:instrText xml:space="preserve"> PAGEREF _Toc240548870 \h </w:instrText>
        </w:r>
        <w:r w:rsidRPr="00C83382">
          <w:rPr>
            <w:rFonts w:ascii="宋体" w:hAnsi="宋体"/>
            <w:noProof/>
            <w:sz w:val="24"/>
          </w:rPr>
        </w:r>
        <w:r w:rsidRPr="00C83382">
          <w:rPr>
            <w:rFonts w:ascii="宋体" w:hAnsi="宋体"/>
            <w:noProof/>
            <w:sz w:val="24"/>
          </w:rPr>
          <w:fldChar w:fldCharType="separate"/>
        </w:r>
        <w:r w:rsidRPr="00C83382">
          <w:rPr>
            <w:rFonts w:ascii="宋体" w:hAnsi="宋体"/>
            <w:noProof/>
            <w:sz w:val="24"/>
          </w:rPr>
          <w:t>22</w:t>
        </w:r>
        <w:r w:rsidRPr="00C83382">
          <w:rPr>
            <w:rFonts w:ascii="宋体" w:hAnsi="宋体"/>
            <w:noProof/>
            <w:sz w:val="24"/>
          </w:rPr>
          <w:fldChar w:fldCharType="end"/>
        </w:r>
      </w:hyperlink>
    </w:p>
    <w:p w:rsidR="00C83382" w:rsidRPr="00C83382" w:rsidRDefault="00C83382" w:rsidP="00C83382">
      <w:pPr>
        <w:pStyle w:val="10"/>
        <w:tabs>
          <w:tab w:val="right" w:leader="dot" w:pos="8550"/>
        </w:tabs>
        <w:spacing w:line="360" w:lineRule="auto"/>
        <w:rPr>
          <w:rFonts w:ascii="宋体" w:hAnsi="宋体" w:cstheme="minorBidi"/>
          <w:noProof/>
          <w:sz w:val="24"/>
        </w:rPr>
      </w:pPr>
      <w:hyperlink w:anchor="_Toc240548871" w:history="1">
        <w:r w:rsidRPr="00C83382">
          <w:rPr>
            <w:rStyle w:val="aa"/>
            <w:rFonts w:ascii="宋体" w:hAnsi="宋体" w:hint="eastAsia"/>
            <w:noProof/>
            <w:sz w:val="24"/>
          </w:rPr>
          <w:t>六、基金的历史沿革</w:t>
        </w:r>
        <w:r w:rsidRPr="00C83382">
          <w:rPr>
            <w:rFonts w:ascii="宋体" w:hAnsi="宋体"/>
            <w:noProof/>
            <w:sz w:val="24"/>
          </w:rPr>
          <w:tab/>
        </w:r>
        <w:r w:rsidRPr="00C83382">
          <w:rPr>
            <w:rFonts w:ascii="宋体" w:hAnsi="宋体"/>
            <w:noProof/>
            <w:sz w:val="24"/>
          </w:rPr>
          <w:fldChar w:fldCharType="begin"/>
        </w:r>
        <w:r w:rsidRPr="00C83382">
          <w:rPr>
            <w:rFonts w:ascii="宋体" w:hAnsi="宋体"/>
            <w:noProof/>
            <w:sz w:val="24"/>
          </w:rPr>
          <w:instrText xml:space="preserve"> PAGEREF _Toc240548871 \h </w:instrText>
        </w:r>
        <w:r w:rsidRPr="00C83382">
          <w:rPr>
            <w:rFonts w:ascii="宋体" w:hAnsi="宋体"/>
            <w:noProof/>
            <w:sz w:val="24"/>
          </w:rPr>
        </w:r>
        <w:r w:rsidRPr="00C83382">
          <w:rPr>
            <w:rFonts w:ascii="宋体" w:hAnsi="宋体"/>
            <w:noProof/>
            <w:sz w:val="24"/>
          </w:rPr>
          <w:fldChar w:fldCharType="separate"/>
        </w:r>
        <w:r w:rsidRPr="00C83382">
          <w:rPr>
            <w:rFonts w:ascii="宋体" w:hAnsi="宋体"/>
            <w:noProof/>
            <w:sz w:val="24"/>
          </w:rPr>
          <w:t>63</w:t>
        </w:r>
        <w:r w:rsidRPr="00C83382">
          <w:rPr>
            <w:rFonts w:ascii="宋体" w:hAnsi="宋体"/>
            <w:noProof/>
            <w:sz w:val="24"/>
          </w:rPr>
          <w:fldChar w:fldCharType="end"/>
        </w:r>
      </w:hyperlink>
    </w:p>
    <w:p w:rsidR="00C83382" w:rsidRPr="00C83382" w:rsidRDefault="00C83382" w:rsidP="00C83382">
      <w:pPr>
        <w:pStyle w:val="10"/>
        <w:tabs>
          <w:tab w:val="right" w:leader="dot" w:pos="8550"/>
        </w:tabs>
        <w:spacing w:line="360" w:lineRule="auto"/>
        <w:rPr>
          <w:rFonts w:ascii="宋体" w:hAnsi="宋体" w:cstheme="minorBidi"/>
          <w:noProof/>
          <w:sz w:val="24"/>
        </w:rPr>
      </w:pPr>
      <w:hyperlink w:anchor="_Toc240548872" w:history="1">
        <w:r w:rsidRPr="00C83382">
          <w:rPr>
            <w:rStyle w:val="aa"/>
            <w:rFonts w:ascii="宋体" w:hAnsi="宋体" w:hint="eastAsia"/>
            <w:noProof/>
            <w:sz w:val="24"/>
          </w:rPr>
          <w:t>七、基金的存续</w:t>
        </w:r>
        <w:r w:rsidRPr="00C83382">
          <w:rPr>
            <w:rFonts w:ascii="宋体" w:hAnsi="宋体"/>
            <w:noProof/>
            <w:sz w:val="24"/>
          </w:rPr>
          <w:tab/>
        </w:r>
        <w:r w:rsidRPr="00C83382">
          <w:rPr>
            <w:rFonts w:ascii="宋体" w:hAnsi="宋体"/>
            <w:noProof/>
            <w:sz w:val="24"/>
          </w:rPr>
          <w:fldChar w:fldCharType="begin"/>
        </w:r>
        <w:r w:rsidRPr="00C83382">
          <w:rPr>
            <w:rFonts w:ascii="宋体" w:hAnsi="宋体"/>
            <w:noProof/>
            <w:sz w:val="24"/>
          </w:rPr>
          <w:instrText xml:space="preserve"> PAGEREF _Toc240548872 \h </w:instrText>
        </w:r>
        <w:r w:rsidRPr="00C83382">
          <w:rPr>
            <w:rFonts w:ascii="宋体" w:hAnsi="宋体"/>
            <w:noProof/>
            <w:sz w:val="24"/>
          </w:rPr>
        </w:r>
        <w:r w:rsidRPr="00C83382">
          <w:rPr>
            <w:rFonts w:ascii="宋体" w:hAnsi="宋体"/>
            <w:noProof/>
            <w:sz w:val="24"/>
          </w:rPr>
          <w:fldChar w:fldCharType="separate"/>
        </w:r>
        <w:r w:rsidRPr="00C83382">
          <w:rPr>
            <w:rFonts w:ascii="宋体" w:hAnsi="宋体"/>
            <w:noProof/>
            <w:sz w:val="24"/>
          </w:rPr>
          <w:t>65</w:t>
        </w:r>
        <w:r w:rsidRPr="00C83382">
          <w:rPr>
            <w:rFonts w:ascii="宋体" w:hAnsi="宋体"/>
            <w:noProof/>
            <w:sz w:val="24"/>
          </w:rPr>
          <w:fldChar w:fldCharType="end"/>
        </w:r>
      </w:hyperlink>
    </w:p>
    <w:p w:rsidR="00C83382" w:rsidRPr="00C83382" w:rsidRDefault="00C83382" w:rsidP="00C83382">
      <w:pPr>
        <w:pStyle w:val="10"/>
        <w:tabs>
          <w:tab w:val="right" w:leader="dot" w:pos="8550"/>
        </w:tabs>
        <w:spacing w:line="360" w:lineRule="auto"/>
        <w:rPr>
          <w:rFonts w:ascii="宋体" w:hAnsi="宋体" w:cstheme="minorBidi"/>
          <w:noProof/>
          <w:sz w:val="24"/>
        </w:rPr>
      </w:pPr>
      <w:hyperlink w:anchor="_Toc240548873" w:history="1">
        <w:r w:rsidRPr="00C83382">
          <w:rPr>
            <w:rStyle w:val="aa"/>
            <w:rFonts w:ascii="宋体" w:hAnsi="宋体" w:hint="eastAsia"/>
            <w:noProof/>
            <w:sz w:val="24"/>
          </w:rPr>
          <w:t>八、基金份额的申购与赎回</w:t>
        </w:r>
        <w:r w:rsidRPr="00C83382">
          <w:rPr>
            <w:rFonts w:ascii="宋体" w:hAnsi="宋体"/>
            <w:noProof/>
            <w:sz w:val="24"/>
          </w:rPr>
          <w:tab/>
        </w:r>
        <w:r w:rsidRPr="00C83382">
          <w:rPr>
            <w:rFonts w:ascii="宋体" w:hAnsi="宋体"/>
            <w:noProof/>
            <w:sz w:val="24"/>
          </w:rPr>
          <w:fldChar w:fldCharType="begin"/>
        </w:r>
        <w:r w:rsidRPr="00C83382">
          <w:rPr>
            <w:rFonts w:ascii="宋体" w:hAnsi="宋体"/>
            <w:noProof/>
            <w:sz w:val="24"/>
          </w:rPr>
          <w:instrText xml:space="preserve"> PAGEREF _Toc240548873 \h </w:instrText>
        </w:r>
        <w:r w:rsidRPr="00C83382">
          <w:rPr>
            <w:rFonts w:ascii="宋体" w:hAnsi="宋体"/>
            <w:noProof/>
            <w:sz w:val="24"/>
          </w:rPr>
        </w:r>
        <w:r w:rsidRPr="00C83382">
          <w:rPr>
            <w:rFonts w:ascii="宋体" w:hAnsi="宋体"/>
            <w:noProof/>
            <w:sz w:val="24"/>
          </w:rPr>
          <w:fldChar w:fldCharType="separate"/>
        </w:r>
        <w:r w:rsidRPr="00C83382">
          <w:rPr>
            <w:rFonts w:ascii="宋体" w:hAnsi="宋体"/>
            <w:noProof/>
            <w:sz w:val="24"/>
          </w:rPr>
          <w:t>66</w:t>
        </w:r>
        <w:r w:rsidRPr="00C83382">
          <w:rPr>
            <w:rFonts w:ascii="宋体" w:hAnsi="宋体"/>
            <w:noProof/>
            <w:sz w:val="24"/>
          </w:rPr>
          <w:fldChar w:fldCharType="end"/>
        </w:r>
      </w:hyperlink>
    </w:p>
    <w:p w:rsidR="00C83382" w:rsidRPr="00C83382" w:rsidRDefault="00C83382" w:rsidP="00C83382">
      <w:pPr>
        <w:pStyle w:val="10"/>
        <w:tabs>
          <w:tab w:val="right" w:leader="dot" w:pos="8550"/>
        </w:tabs>
        <w:spacing w:line="360" w:lineRule="auto"/>
        <w:rPr>
          <w:rFonts w:ascii="宋体" w:hAnsi="宋体" w:cstheme="minorBidi"/>
          <w:noProof/>
          <w:sz w:val="24"/>
        </w:rPr>
      </w:pPr>
      <w:hyperlink w:anchor="_Toc240548874" w:history="1">
        <w:r w:rsidRPr="00C83382">
          <w:rPr>
            <w:rStyle w:val="aa"/>
            <w:rFonts w:ascii="宋体" w:hAnsi="宋体" w:hint="eastAsia"/>
            <w:noProof/>
            <w:sz w:val="24"/>
          </w:rPr>
          <w:t>九、基金的转换</w:t>
        </w:r>
        <w:r w:rsidRPr="00C83382">
          <w:rPr>
            <w:rFonts w:ascii="宋体" w:hAnsi="宋体"/>
            <w:noProof/>
            <w:sz w:val="24"/>
          </w:rPr>
          <w:tab/>
        </w:r>
        <w:r w:rsidRPr="00C83382">
          <w:rPr>
            <w:rFonts w:ascii="宋体" w:hAnsi="宋体"/>
            <w:noProof/>
            <w:sz w:val="24"/>
          </w:rPr>
          <w:fldChar w:fldCharType="begin"/>
        </w:r>
        <w:r w:rsidRPr="00C83382">
          <w:rPr>
            <w:rFonts w:ascii="宋体" w:hAnsi="宋体"/>
            <w:noProof/>
            <w:sz w:val="24"/>
          </w:rPr>
          <w:instrText xml:space="preserve"> PAGEREF _Toc240548874 \h </w:instrText>
        </w:r>
        <w:r w:rsidRPr="00C83382">
          <w:rPr>
            <w:rFonts w:ascii="宋体" w:hAnsi="宋体"/>
            <w:noProof/>
            <w:sz w:val="24"/>
          </w:rPr>
        </w:r>
        <w:r w:rsidRPr="00C83382">
          <w:rPr>
            <w:rFonts w:ascii="宋体" w:hAnsi="宋体"/>
            <w:noProof/>
            <w:sz w:val="24"/>
          </w:rPr>
          <w:fldChar w:fldCharType="separate"/>
        </w:r>
        <w:r w:rsidRPr="00C83382">
          <w:rPr>
            <w:rFonts w:ascii="宋体" w:hAnsi="宋体"/>
            <w:noProof/>
            <w:sz w:val="24"/>
          </w:rPr>
          <w:t>81</w:t>
        </w:r>
        <w:r w:rsidRPr="00C83382">
          <w:rPr>
            <w:rFonts w:ascii="宋体" w:hAnsi="宋体"/>
            <w:noProof/>
            <w:sz w:val="24"/>
          </w:rPr>
          <w:fldChar w:fldCharType="end"/>
        </w:r>
      </w:hyperlink>
    </w:p>
    <w:p w:rsidR="00C83382" w:rsidRPr="00C83382" w:rsidRDefault="00C83382" w:rsidP="00C83382">
      <w:pPr>
        <w:pStyle w:val="10"/>
        <w:tabs>
          <w:tab w:val="right" w:leader="dot" w:pos="8550"/>
        </w:tabs>
        <w:spacing w:line="360" w:lineRule="auto"/>
        <w:rPr>
          <w:rFonts w:ascii="宋体" w:hAnsi="宋体" w:cstheme="minorBidi"/>
          <w:noProof/>
          <w:sz w:val="24"/>
        </w:rPr>
      </w:pPr>
      <w:hyperlink w:anchor="_Toc240548875" w:history="1">
        <w:r w:rsidRPr="00C83382">
          <w:rPr>
            <w:rStyle w:val="aa"/>
            <w:rFonts w:ascii="宋体" w:hAnsi="宋体" w:hint="eastAsia"/>
            <w:noProof/>
            <w:sz w:val="24"/>
          </w:rPr>
          <w:t>十、基金的投资</w:t>
        </w:r>
        <w:r w:rsidRPr="00C83382">
          <w:rPr>
            <w:rFonts w:ascii="宋体" w:hAnsi="宋体"/>
            <w:noProof/>
            <w:sz w:val="24"/>
          </w:rPr>
          <w:tab/>
        </w:r>
        <w:r w:rsidRPr="00C83382">
          <w:rPr>
            <w:rFonts w:ascii="宋体" w:hAnsi="宋体"/>
            <w:noProof/>
            <w:sz w:val="24"/>
          </w:rPr>
          <w:fldChar w:fldCharType="begin"/>
        </w:r>
        <w:r w:rsidRPr="00C83382">
          <w:rPr>
            <w:rFonts w:ascii="宋体" w:hAnsi="宋体"/>
            <w:noProof/>
            <w:sz w:val="24"/>
          </w:rPr>
          <w:instrText xml:space="preserve"> PAGEREF _Toc240548875 \h </w:instrText>
        </w:r>
        <w:r w:rsidRPr="00C83382">
          <w:rPr>
            <w:rFonts w:ascii="宋体" w:hAnsi="宋体"/>
            <w:noProof/>
            <w:sz w:val="24"/>
          </w:rPr>
        </w:r>
        <w:r w:rsidRPr="00C83382">
          <w:rPr>
            <w:rFonts w:ascii="宋体" w:hAnsi="宋体"/>
            <w:noProof/>
            <w:sz w:val="24"/>
          </w:rPr>
          <w:fldChar w:fldCharType="separate"/>
        </w:r>
        <w:r w:rsidRPr="00C83382">
          <w:rPr>
            <w:rFonts w:ascii="宋体" w:hAnsi="宋体"/>
            <w:noProof/>
            <w:sz w:val="24"/>
          </w:rPr>
          <w:t>88</w:t>
        </w:r>
        <w:r w:rsidRPr="00C83382">
          <w:rPr>
            <w:rFonts w:ascii="宋体" w:hAnsi="宋体"/>
            <w:noProof/>
            <w:sz w:val="24"/>
          </w:rPr>
          <w:fldChar w:fldCharType="end"/>
        </w:r>
      </w:hyperlink>
    </w:p>
    <w:p w:rsidR="00C83382" w:rsidRPr="00C83382" w:rsidRDefault="00C83382" w:rsidP="00C83382">
      <w:pPr>
        <w:pStyle w:val="10"/>
        <w:tabs>
          <w:tab w:val="right" w:leader="dot" w:pos="8550"/>
        </w:tabs>
        <w:spacing w:line="360" w:lineRule="auto"/>
        <w:rPr>
          <w:rFonts w:ascii="宋体" w:hAnsi="宋体" w:cstheme="minorBidi"/>
          <w:noProof/>
          <w:sz w:val="24"/>
        </w:rPr>
      </w:pPr>
      <w:hyperlink w:anchor="_Toc240548876" w:history="1">
        <w:r w:rsidRPr="00C83382">
          <w:rPr>
            <w:rStyle w:val="aa"/>
            <w:rFonts w:ascii="宋体" w:hAnsi="宋体" w:hint="eastAsia"/>
            <w:noProof/>
            <w:sz w:val="24"/>
          </w:rPr>
          <w:t>十一、基金的业绩</w:t>
        </w:r>
        <w:r w:rsidRPr="00C83382">
          <w:rPr>
            <w:rFonts w:ascii="宋体" w:hAnsi="宋体"/>
            <w:noProof/>
            <w:sz w:val="24"/>
          </w:rPr>
          <w:tab/>
        </w:r>
        <w:r w:rsidRPr="00C83382">
          <w:rPr>
            <w:rFonts w:ascii="宋体" w:hAnsi="宋体"/>
            <w:noProof/>
            <w:sz w:val="24"/>
          </w:rPr>
          <w:fldChar w:fldCharType="begin"/>
        </w:r>
        <w:r w:rsidRPr="00C83382">
          <w:rPr>
            <w:rFonts w:ascii="宋体" w:hAnsi="宋体"/>
            <w:noProof/>
            <w:sz w:val="24"/>
          </w:rPr>
          <w:instrText xml:space="preserve"> PAGEREF _Toc240548876 \h </w:instrText>
        </w:r>
        <w:r w:rsidRPr="00C83382">
          <w:rPr>
            <w:rFonts w:ascii="宋体" w:hAnsi="宋体"/>
            <w:noProof/>
            <w:sz w:val="24"/>
          </w:rPr>
        </w:r>
        <w:r w:rsidRPr="00C83382">
          <w:rPr>
            <w:rFonts w:ascii="宋体" w:hAnsi="宋体"/>
            <w:noProof/>
            <w:sz w:val="24"/>
          </w:rPr>
          <w:fldChar w:fldCharType="separate"/>
        </w:r>
        <w:r w:rsidRPr="00C83382">
          <w:rPr>
            <w:rFonts w:ascii="宋体" w:hAnsi="宋体"/>
            <w:noProof/>
            <w:sz w:val="24"/>
          </w:rPr>
          <w:t>104</w:t>
        </w:r>
        <w:r w:rsidRPr="00C83382">
          <w:rPr>
            <w:rFonts w:ascii="宋体" w:hAnsi="宋体"/>
            <w:noProof/>
            <w:sz w:val="24"/>
          </w:rPr>
          <w:fldChar w:fldCharType="end"/>
        </w:r>
      </w:hyperlink>
    </w:p>
    <w:p w:rsidR="00C83382" w:rsidRPr="00C83382" w:rsidRDefault="00C83382" w:rsidP="00C83382">
      <w:pPr>
        <w:pStyle w:val="10"/>
        <w:tabs>
          <w:tab w:val="right" w:leader="dot" w:pos="8550"/>
        </w:tabs>
        <w:spacing w:line="360" w:lineRule="auto"/>
        <w:rPr>
          <w:rFonts w:ascii="宋体" w:hAnsi="宋体" w:cstheme="minorBidi"/>
          <w:noProof/>
          <w:sz w:val="24"/>
        </w:rPr>
      </w:pPr>
      <w:hyperlink w:anchor="_Toc240548877" w:history="1">
        <w:r w:rsidRPr="00C83382">
          <w:rPr>
            <w:rStyle w:val="aa"/>
            <w:rFonts w:ascii="宋体" w:hAnsi="宋体" w:hint="eastAsia"/>
            <w:noProof/>
            <w:sz w:val="24"/>
          </w:rPr>
          <w:t>十二、基金的财产</w:t>
        </w:r>
        <w:r w:rsidRPr="00C83382">
          <w:rPr>
            <w:rFonts w:ascii="宋体" w:hAnsi="宋体"/>
            <w:noProof/>
            <w:sz w:val="24"/>
          </w:rPr>
          <w:tab/>
        </w:r>
        <w:r w:rsidRPr="00C83382">
          <w:rPr>
            <w:rFonts w:ascii="宋体" w:hAnsi="宋体"/>
            <w:noProof/>
            <w:sz w:val="24"/>
          </w:rPr>
          <w:fldChar w:fldCharType="begin"/>
        </w:r>
        <w:r w:rsidRPr="00C83382">
          <w:rPr>
            <w:rFonts w:ascii="宋体" w:hAnsi="宋体"/>
            <w:noProof/>
            <w:sz w:val="24"/>
          </w:rPr>
          <w:instrText xml:space="preserve"> PAGEREF _Toc240548877 \h </w:instrText>
        </w:r>
        <w:r w:rsidRPr="00C83382">
          <w:rPr>
            <w:rFonts w:ascii="宋体" w:hAnsi="宋体"/>
            <w:noProof/>
            <w:sz w:val="24"/>
          </w:rPr>
        </w:r>
        <w:r w:rsidRPr="00C83382">
          <w:rPr>
            <w:rFonts w:ascii="宋体" w:hAnsi="宋体"/>
            <w:noProof/>
            <w:sz w:val="24"/>
          </w:rPr>
          <w:fldChar w:fldCharType="separate"/>
        </w:r>
        <w:r w:rsidRPr="00C83382">
          <w:rPr>
            <w:rFonts w:ascii="宋体" w:hAnsi="宋体"/>
            <w:noProof/>
            <w:sz w:val="24"/>
          </w:rPr>
          <w:t>107</w:t>
        </w:r>
        <w:r w:rsidRPr="00C83382">
          <w:rPr>
            <w:rFonts w:ascii="宋体" w:hAnsi="宋体"/>
            <w:noProof/>
            <w:sz w:val="24"/>
          </w:rPr>
          <w:fldChar w:fldCharType="end"/>
        </w:r>
      </w:hyperlink>
    </w:p>
    <w:p w:rsidR="00C83382" w:rsidRPr="00C83382" w:rsidRDefault="00C83382" w:rsidP="00C83382">
      <w:pPr>
        <w:pStyle w:val="10"/>
        <w:tabs>
          <w:tab w:val="right" w:leader="dot" w:pos="8550"/>
        </w:tabs>
        <w:spacing w:line="360" w:lineRule="auto"/>
        <w:rPr>
          <w:rFonts w:ascii="宋体" w:hAnsi="宋体" w:cstheme="minorBidi"/>
          <w:noProof/>
          <w:sz w:val="24"/>
        </w:rPr>
      </w:pPr>
      <w:hyperlink w:anchor="_Toc240548878" w:history="1">
        <w:r w:rsidRPr="00C83382">
          <w:rPr>
            <w:rStyle w:val="aa"/>
            <w:rFonts w:ascii="宋体" w:hAnsi="宋体" w:hint="eastAsia"/>
            <w:noProof/>
            <w:sz w:val="24"/>
          </w:rPr>
          <w:t>十三、基金资产的估值</w:t>
        </w:r>
        <w:r w:rsidRPr="00C83382">
          <w:rPr>
            <w:rFonts w:ascii="宋体" w:hAnsi="宋体"/>
            <w:noProof/>
            <w:sz w:val="24"/>
          </w:rPr>
          <w:tab/>
        </w:r>
        <w:r w:rsidRPr="00C83382">
          <w:rPr>
            <w:rFonts w:ascii="宋体" w:hAnsi="宋体"/>
            <w:noProof/>
            <w:sz w:val="24"/>
          </w:rPr>
          <w:fldChar w:fldCharType="begin"/>
        </w:r>
        <w:r w:rsidRPr="00C83382">
          <w:rPr>
            <w:rFonts w:ascii="宋体" w:hAnsi="宋体"/>
            <w:noProof/>
            <w:sz w:val="24"/>
          </w:rPr>
          <w:instrText xml:space="preserve"> PAGEREF _Toc240548878 \h </w:instrText>
        </w:r>
        <w:r w:rsidRPr="00C83382">
          <w:rPr>
            <w:rFonts w:ascii="宋体" w:hAnsi="宋体"/>
            <w:noProof/>
            <w:sz w:val="24"/>
          </w:rPr>
        </w:r>
        <w:r w:rsidRPr="00C83382">
          <w:rPr>
            <w:rFonts w:ascii="宋体" w:hAnsi="宋体"/>
            <w:noProof/>
            <w:sz w:val="24"/>
          </w:rPr>
          <w:fldChar w:fldCharType="separate"/>
        </w:r>
        <w:r w:rsidRPr="00C83382">
          <w:rPr>
            <w:rFonts w:ascii="宋体" w:hAnsi="宋体"/>
            <w:noProof/>
            <w:sz w:val="24"/>
          </w:rPr>
          <w:t>108</w:t>
        </w:r>
        <w:r w:rsidRPr="00C83382">
          <w:rPr>
            <w:rFonts w:ascii="宋体" w:hAnsi="宋体"/>
            <w:noProof/>
            <w:sz w:val="24"/>
          </w:rPr>
          <w:fldChar w:fldCharType="end"/>
        </w:r>
      </w:hyperlink>
    </w:p>
    <w:p w:rsidR="00C83382" w:rsidRPr="00C83382" w:rsidRDefault="00C83382" w:rsidP="00C83382">
      <w:pPr>
        <w:pStyle w:val="10"/>
        <w:tabs>
          <w:tab w:val="right" w:leader="dot" w:pos="8550"/>
        </w:tabs>
        <w:spacing w:line="360" w:lineRule="auto"/>
        <w:rPr>
          <w:rFonts w:ascii="宋体" w:hAnsi="宋体" w:cstheme="minorBidi"/>
          <w:noProof/>
          <w:sz w:val="24"/>
        </w:rPr>
      </w:pPr>
      <w:hyperlink w:anchor="_Toc240548879" w:history="1">
        <w:r w:rsidRPr="00C83382">
          <w:rPr>
            <w:rStyle w:val="aa"/>
            <w:rFonts w:ascii="宋体" w:hAnsi="宋体" w:hint="eastAsia"/>
            <w:noProof/>
            <w:sz w:val="24"/>
          </w:rPr>
          <w:t>十四、基金的收益与分配</w:t>
        </w:r>
        <w:r w:rsidRPr="00C83382">
          <w:rPr>
            <w:rFonts w:ascii="宋体" w:hAnsi="宋体"/>
            <w:noProof/>
            <w:sz w:val="24"/>
          </w:rPr>
          <w:tab/>
        </w:r>
        <w:r w:rsidRPr="00C83382">
          <w:rPr>
            <w:rFonts w:ascii="宋体" w:hAnsi="宋体"/>
            <w:noProof/>
            <w:sz w:val="24"/>
          </w:rPr>
          <w:fldChar w:fldCharType="begin"/>
        </w:r>
        <w:r w:rsidRPr="00C83382">
          <w:rPr>
            <w:rFonts w:ascii="宋体" w:hAnsi="宋体"/>
            <w:noProof/>
            <w:sz w:val="24"/>
          </w:rPr>
          <w:instrText xml:space="preserve"> PAGEREF _Toc240548879 \h </w:instrText>
        </w:r>
        <w:r w:rsidRPr="00C83382">
          <w:rPr>
            <w:rFonts w:ascii="宋体" w:hAnsi="宋体"/>
            <w:noProof/>
            <w:sz w:val="24"/>
          </w:rPr>
        </w:r>
        <w:r w:rsidRPr="00C83382">
          <w:rPr>
            <w:rFonts w:ascii="宋体" w:hAnsi="宋体"/>
            <w:noProof/>
            <w:sz w:val="24"/>
          </w:rPr>
          <w:fldChar w:fldCharType="separate"/>
        </w:r>
        <w:r w:rsidRPr="00C83382">
          <w:rPr>
            <w:rFonts w:ascii="宋体" w:hAnsi="宋体"/>
            <w:noProof/>
            <w:sz w:val="24"/>
          </w:rPr>
          <w:t>115</w:t>
        </w:r>
        <w:r w:rsidRPr="00C83382">
          <w:rPr>
            <w:rFonts w:ascii="宋体" w:hAnsi="宋体"/>
            <w:noProof/>
            <w:sz w:val="24"/>
          </w:rPr>
          <w:fldChar w:fldCharType="end"/>
        </w:r>
      </w:hyperlink>
    </w:p>
    <w:p w:rsidR="00C83382" w:rsidRPr="00C83382" w:rsidRDefault="00C83382" w:rsidP="00C83382">
      <w:pPr>
        <w:pStyle w:val="10"/>
        <w:tabs>
          <w:tab w:val="right" w:leader="dot" w:pos="8550"/>
        </w:tabs>
        <w:spacing w:line="360" w:lineRule="auto"/>
        <w:rPr>
          <w:rFonts w:ascii="宋体" w:hAnsi="宋体" w:cstheme="minorBidi"/>
          <w:noProof/>
          <w:sz w:val="24"/>
        </w:rPr>
      </w:pPr>
      <w:hyperlink w:anchor="_Toc240548880" w:history="1">
        <w:r w:rsidRPr="00C83382">
          <w:rPr>
            <w:rStyle w:val="aa"/>
            <w:rFonts w:ascii="宋体" w:hAnsi="宋体" w:hint="eastAsia"/>
            <w:noProof/>
            <w:sz w:val="24"/>
          </w:rPr>
          <w:t>十五、基金的费用与税收</w:t>
        </w:r>
        <w:r w:rsidRPr="00C83382">
          <w:rPr>
            <w:rFonts w:ascii="宋体" w:hAnsi="宋体"/>
            <w:noProof/>
            <w:sz w:val="24"/>
          </w:rPr>
          <w:tab/>
        </w:r>
        <w:r w:rsidRPr="00C83382">
          <w:rPr>
            <w:rFonts w:ascii="宋体" w:hAnsi="宋体"/>
            <w:noProof/>
            <w:sz w:val="24"/>
          </w:rPr>
          <w:fldChar w:fldCharType="begin"/>
        </w:r>
        <w:r w:rsidRPr="00C83382">
          <w:rPr>
            <w:rFonts w:ascii="宋体" w:hAnsi="宋体"/>
            <w:noProof/>
            <w:sz w:val="24"/>
          </w:rPr>
          <w:instrText xml:space="preserve"> PAGEREF _Toc240548880 \h </w:instrText>
        </w:r>
        <w:r w:rsidRPr="00C83382">
          <w:rPr>
            <w:rFonts w:ascii="宋体" w:hAnsi="宋体"/>
            <w:noProof/>
            <w:sz w:val="24"/>
          </w:rPr>
        </w:r>
        <w:r w:rsidRPr="00C83382">
          <w:rPr>
            <w:rFonts w:ascii="宋体" w:hAnsi="宋体"/>
            <w:noProof/>
            <w:sz w:val="24"/>
          </w:rPr>
          <w:fldChar w:fldCharType="separate"/>
        </w:r>
        <w:r w:rsidRPr="00C83382">
          <w:rPr>
            <w:rFonts w:ascii="宋体" w:hAnsi="宋体"/>
            <w:noProof/>
            <w:sz w:val="24"/>
          </w:rPr>
          <w:t>117</w:t>
        </w:r>
        <w:r w:rsidRPr="00C83382">
          <w:rPr>
            <w:rFonts w:ascii="宋体" w:hAnsi="宋体"/>
            <w:noProof/>
            <w:sz w:val="24"/>
          </w:rPr>
          <w:fldChar w:fldCharType="end"/>
        </w:r>
      </w:hyperlink>
    </w:p>
    <w:p w:rsidR="00C83382" w:rsidRPr="00C83382" w:rsidRDefault="00C83382" w:rsidP="00C83382">
      <w:pPr>
        <w:pStyle w:val="10"/>
        <w:tabs>
          <w:tab w:val="right" w:leader="dot" w:pos="8550"/>
        </w:tabs>
        <w:spacing w:line="360" w:lineRule="auto"/>
        <w:rPr>
          <w:rFonts w:ascii="宋体" w:hAnsi="宋体" w:cstheme="minorBidi"/>
          <w:noProof/>
          <w:sz w:val="24"/>
        </w:rPr>
      </w:pPr>
      <w:hyperlink w:anchor="_Toc240548881" w:history="1">
        <w:r w:rsidRPr="00C83382">
          <w:rPr>
            <w:rStyle w:val="aa"/>
            <w:rFonts w:ascii="宋体" w:hAnsi="宋体" w:hint="eastAsia"/>
            <w:noProof/>
            <w:sz w:val="24"/>
          </w:rPr>
          <w:t>十六、基金的会计与审计</w:t>
        </w:r>
        <w:r w:rsidRPr="00C83382">
          <w:rPr>
            <w:rFonts w:ascii="宋体" w:hAnsi="宋体"/>
            <w:noProof/>
            <w:sz w:val="24"/>
          </w:rPr>
          <w:tab/>
        </w:r>
        <w:r w:rsidRPr="00C83382">
          <w:rPr>
            <w:rFonts w:ascii="宋体" w:hAnsi="宋体"/>
            <w:noProof/>
            <w:sz w:val="24"/>
          </w:rPr>
          <w:fldChar w:fldCharType="begin"/>
        </w:r>
        <w:r w:rsidRPr="00C83382">
          <w:rPr>
            <w:rFonts w:ascii="宋体" w:hAnsi="宋体"/>
            <w:noProof/>
            <w:sz w:val="24"/>
          </w:rPr>
          <w:instrText xml:space="preserve"> PAGEREF _Toc240548881 \h </w:instrText>
        </w:r>
        <w:r w:rsidRPr="00C83382">
          <w:rPr>
            <w:rFonts w:ascii="宋体" w:hAnsi="宋体"/>
            <w:noProof/>
            <w:sz w:val="24"/>
          </w:rPr>
        </w:r>
        <w:r w:rsidRPr="00C83382">
          <w:rPr>
            <w:rFonts w:ascii="宋体" w:hAnsi="宋体"/>
            <w:noProof/>
            <w:sz w:val="24"/>
          </w:rPr>
          <w:fldChar w:fldCharType="separate"/>
        </w:r>
        <w:r w:rsidRPr="00C83382">
          <w:rPr>
            <w:rFonts w:ascii="宋体" w:hAnsi="宋体"/>
            <w:noProof/>
            <w:sz w:val="24"/>
          </w:rPr>
          <w:t>120</w:t>
        </w:r>
        <w:r w:rsidRPr="00C83382">
          <w:rPr>
            <w:rFonts w:ascii="宋体" w:hAnsi="宋体"/>
            <w:noProof/>
            <w:sz w:val="24"/>
          </w:rPr>
          <w:fldChar w:fldCharType="end"/>
        </w:r>
      </w:hyperlink>
    </w:p>
    <w:p w:rsidR="00C83382" w:rsidRPr="00C83382" w:rsidRDefault="00C83382" w:rsidP="00C83382">
      <w:pPr>
        <w:pStyle w:val="10"/>
        <w:tabs>
          <w:tab w:val="right" w:leader="dot" w:pos="8550"/>
        </w:tabs>
        <w:spacing w:line="360" w:lineRule="auto"/>
        <w:rPr>
          <w:rFonts w:ascii="宋体" w:hAnsi="宋体" w:cstheme="minorBidi"/>
          <w:noProof/>
          <w:sz w:val="24"/>
        </w:rPr>
      </w:pPr>
      <w:hyperlink w:anchor="_Toc240548882" w:history="1">
        <w:r w:rsidRPr="00C83382">
          <w:rPr>
            <w:rStyle w:val="aa"/>
            <w:rFonts w:ascii="宋体" w:hAnsi="宋体" w:hint="eastAsia"/>
            <w:noProof/>
            <w:sz w:val="24"/>
          </w:rPr>
          <w:t>十七、基金的信息披露</w:t>
        </w:r>
        <w:r w:rsidRPr="00C83382">
          <w:rPr>
            <w:rFonts w:ascii="宋体" w:hAnsi="宋体"/>
            <w:noProof/>
            <w:sz w:val="24"/>
          </w:rPr>
          <w:tab/>
        </w:r>
        <w:r w:rsidRPr="00C83382">
          <w:rPr>
            <w:rFonts w:ascii="宋体" w:hAnsi="宋体"/>
            <w:noProof/>
            <w:sz w:val="24"/>
          </w:rPr>
          <w:fldChar w:fldCharType="begin"/>
        </w:r>
        <w:r w:rsidRPr="00C83382">
          <w:rPr>
            <w:rFonts w:ascii="宋体" w:hAnsi="宋体"/>
            <w:noProof/>
            <w:sz w:val="24"/>
          </w:rPr>
          <w:instrText xml:space="preserve"> PAGEREF _Toc240548882 \h </w:instrText>
        </w:r>
        <w:r w:rsidRPr="00C83382">
          <w:rPr>
            <w:rFonts w:ascii="宋体" w:hAnsi="宋体"/>
            <w:noProof/>
            <w:sz w:val="24"/>
          </w:rPr>
        </w:r>
        <w:r w:rsidRPr="00C83382">
          <w:rPr>
            <w:rFonts w:ascii="宋体" w:hAnsi="宋体"/>
            <w:noProof/>
            <w:sz w:val="24"/>
          </w:rPr>
          <w:fldChar w:fldCharType="separate"/>
        </w:r>
        <w:r w:rsidRPr="00C83382">
          <w:rPr>
            <w:rFonts w:ascii="宋体" w:hAnsi="宋体"/>
            <w:noProof/>
            <w:sz w:val="24"/>
          </w:rPr>
          <w:t>121</w:t>
        </w:r>
        <w:r w:rsidRPr="00C83382">
          <w:rPr>
            <w:rFonts w:ascii="宋体" w:hAnsi="宋体"/>
            <w:noProof/>
            <w:sz w:val="24"/>
          </w:rPr>
          <w:fldChar w:fldCharType="end"/>
        </w:r>
      </w:hyperlink>
    </w:p>
    <w:p w:rsidR="00C83382" w:rsidRPr="00C83382" w:rsidRDefault="00C83382" w:rsidP="00C83382">
      <w:pPr>
        <w:pStyle w:val="10"/>
        <w:tabs>
          <w:tab w:val="right" w:leader="dot" w:pos="8550"/>
        </w:tabs>
        <w:spacing w:line="360" w:lineRule="auto"/>
        <w:rPr>
          <w:rFonts w:ascii="宋体" w:hAnsi="宋体" w:cstheme="minorBidi"/>
          <w:noProof/>
          <w:sz w:val="24"/>
        </w:rPr>
      </w:pPr>
      <w:hyperlink w:anchor="_Toc240548883" w:history="1">
        <w:r w:rsidRPr="00C83382">
          <w:rPr>
            <w:rStyle w:val="aa"/>
            <w:rFonts w:ascii="宋体" w:hAnsi="宋体" w:hint="eastAsia"/>
            <w:noProof/>
            <w:sz w:val="24"/>
          </w:rPr>
          <w:t>十八、侧袋机制</w:t>
        </w:r>
        <w:r w:rsidRPr="00C83382">
          <w:rPr>
            <w:rFonts w:ascii="宋体" w:hAnsi="宋体"/>
            <w:noProof/>
            <w:sz w:val="24"/>
          </w:rPr>
          <w:tab/>
        </w:r>
        <w:r w:rsidRPr="00C83382">
          <w:rPr>
            <w:rFonts w:ascii="宋体" w:hAnsi="宋体"/>
            <w:noProof/>
            <w:sz w:val="24"/>
          </w:rPr>
          <w:fldChar w:fldCharType="begin"/>
        </w:r>
        <w:r w:rsidRPr="00C83382">
          <w:rPr>
            <w:rFonts w:ascii="宋体" w:hAnsi="宋体"/>
            <w:noProof/>
            <w:sz w:val="24"/>
          </w:rPr>
          <w:instrText xml:space="preserve"> PAGEREF _Toc240548883 \h </w:instrText>
        </w:r>
        <w:r w:rsidRPr="00C83382">
          <w:rPr>
            <w:rFonts w:ascii="宋体" w:hAnsi="宋体"/>
            <w:noProof/>
            <w:sz w:val="24"/>
          </w:rPr>
        </w:r>
        <w:r w:rsidRPr="00C83382">
          <w:rPr>
            <w:rFonts w:ascii="宋体" w:hAnsi="宋体"/>
            <w:noProof/>
            <w:sz w:val="24"/>
          </w:rPr>
          <w:fldChar w:fldCharType="separate"/>
        </w:r>
        <w:r w:rsidRPr="00C83382">
          <w:rPr>
            <w:rFonts w:ascii="宋体" w:hAnsi="宋体"/>
            <w:noProof/>
            <w:sz w:val="24"/>
          </w:rPr>
          <w:t>128</w:t>
        </w:r>
        <w:r w:rsidRPr="00C83382">
          <w:rPr>
            <w:rFonts w:ascii="宋体" w:hAnsi="宋体"/>
            <w:noProof/>
            <w:sz w:val="24"/>
          </w:rPr>
          <w:fldChar w:fldCharType="end"/>
        </w:r>
      </w:hyperlink>
    </w:p>
    <w:p w:rsidR="00C83382" w:rsidRPr="00C83382" w:rsidRDefault="00C83382" w:rsidP="00C83382">
      <w:pPr>
        <w:pStyle w:val="10"/>
        <w:tabs>
          <w:tab w:val="right" w:leader="dot" w:pos="8550"/>
        </w:tabs>
        <w:spacing w:line="360" w:lineRule="auto"/>
        <w:rPr>
          <w:rFonts w:ascii="宋体" w:hAnsi="宋体" w:cstheme="minorBidi"/>
          <w:noProof/>
          <w:sz w:val="24"/>
        </w:rPr>
      </w:pPr>
      <w:hyperlink w:anchor="_Toc240548884" w:history="1">
        <w:r w:rsidRPr="00C83382">
          <w:rPr>
            <w:rStyle w:val="aa"/>
            <w:rFonts w:ascii="宋体" w:hAnsi="宋体" w:hint="eastAsia"/>
            <w:noProof/>
            <w:sz w:val="24"/>
          </w:rPr>
          <w:t>十九、风险揭示</w:t>
        </w:r>
        <w:r w:rsidRPr="00C83382">
          <w:rPr>
            <w:rFonts w:ascii="宋体" w:hAnsi="宋体"/>
            <w:noProof/>
            <w:sz w:val="24"/>
          </w:rPr>
          <w:tab/>
        </w:r>
        <w:r w:rsidRPr="00C83382">
          <w:rPr>
            <w:rFonts w:ascii="宋体" w:hAnsi="宋体"/>
            <w:noProof/>
            <w:sz w:val="24"/>
          </w:rPr>
          <w:fldChar w:fldCharType="begin"/>
        </w:r>
        <w:r w:rsidRPr="00C83382">
          <w:rPr>
            <w:rFonts w:ascii="宋体" w:hAnsi="宋体"/>
            <w:noProof/>
            <w:sz w:val="24"/>
          </w:rPr>
          <w:instrText xml:space="preserve"> PAGEREF _Toc240548884 \h </w:instrText>
        </w:r>
        <w:r w:rsidRPr="00C83382">
          <w:rPr>
            <w:rFonts w:ascii="宋体" w:hAnsi="宋体"/>
            <w:noProof/>
            <w:sz w:val="24"/>
          </w:rPr>
        </w:r>
        <w:r w:rsidRPr="00C83382">
          <w:rPr>
            <w:rFonts w:ascii="宋体" w:hAnsi="宋体"/>
            <w:noProof/>
            <w:sz w:val="24"/>
          </w:rPr>
          <w:fldChar w:fldCharType="separate"/>
        </w:r>
        <w:r w:rsidRPr="00C83382">
          <w:rPr>
            <w:rFonts w:ascii="宋体" w:hAnsi="宋体"/>
            <w:noProof/>
            <w:sz w:val="24"/>
          </w:rPr>
          <w:t>131</w:t>
        </w:r>
        <w:r w:rsidRPr="00C83382">
          <w:rPr>
            <w:rFonts w:ascii="宋体" w:hAnsi="宋体"/>
            <w:noProof/>
            <w:sz w:val="24"/>
          </w:rPr>
          <w:fldChar w:fldCharType="end"/>
        </w:r>
      </w:hyperlink>
    </w:p>
    <w:p w:rsidR="00C83382" w:rsidRPr="00C83382" w:rsidRDefault="00C83382" w:rsidP="00C83382">
      <w:pPr>
        <w:pStyle w:val="10"/>
        <w:tabs>
          <w:tab w:val="right" w:leader="dot" w:pos="8550"/>
        </w:tabs>
        <w:spacing w:line="360" w:lineRule="auto"/>
        <w:rPr>
          <w:rFonts w:ascii="宋体" w:hAnsi="宋体" w:cstheme="minorBidi"/>
          <w:noProof/>
          <w:sz w:val="24"/>
        </w:rPr>
      </w:pPr>
      <w:hyperlink w:anchor="_Toc240548885" w:history="1">
        <w:r w:rsidRPr="00C83382">
          <w:rPr>
            <w:rStyle w:val="aa"/>
            <w:rFonts w:ascii="宋体" w:hAnsi="宋体" w:hint="eastAsia"/>
            <w:noProof/>
            <w:sz w:val="24"/>
          </w:rPr>
          <w:t>二十、基金合同的变更、终止与基金财产的清算</w:t>
        </w:r>
        <w:r w:rsidRPr="00C83382">
          <w:rPr>
            <w:rFonts w:ascii="宋体" w:hAnsi="宋体"/>
            <w:noProof/>
            <w:sz w:val="24"/>
          </w:rPr>
          <w:tab/>
        </w:r>
        <w:r w:rsidRPr="00C83382">
          <w:rPr>
            <w:rFonts w:ascii="宋体" w:hAnsi="宋体"/>
            <w:noProof/>
            <w:sz w:val="24"/>
          </w:rPr>
          <w:fldChar w:fldCharType="begin"/>
        </w:r>
        <w:r w:rsidRPr="00C83382">
          <w:rPr>
            <w:rFonts w:ascii="宋体" w:hAnsi="宋体"/>
            <w:noProof/>
            <w:sz w:val="24"/>
          </w:rPr>
          <w:instrText xml:space="preserve"> PAGEREF _Toc240548885 \h </w:instrText>
        </w:r>
        <w:r w:rsidRPr="00C83382">
          <w:rPr>
            <w:rFonts w:ascii="宋体" w:hAnsi="宋体"/>
            <w:noProof/>
            <w:sz w:val="24"/>
          </w:rPr>
        </w:r>
        <w:r w:rsidRPr="00C83382">
          <w:rPr>
            <w:rFonts w:ascii="宋体" w:hAnsi="宋体"/>
            <w:noProof/>
            <w:sz w:val="24"/>
          </w:rPr>
          <w:fldChar w:fldCharType="separate"/>
        </w:r>
        <w:r w:rsidRPr="00C83382">
          <w:rPr>
            <w:rFonts w:ascii="宋体" w:hAnsi="宋体"/>
            <w:noProof/>
            <w:sz w:val="24"/>
          </w:rPr>
          <w:t>141</w:t>
        </w:r>
        <w:r w:rsidRPr="00C83382">
          <w:rPr>
            <w:rFonts w:ascii="宋体" w:hAnsi="宋体"/>
            <w:noProof/>
            <w:sz w:val="24"/>
          </w:rPr>
          <w:fldChar w:fldCharType="end"/>
        </w:r>
      </w:hyperlink>
    </w:p>
    <w:p w:rsidR="00C83382" w:rsidRPr="00C83382" w:rsidRDefault="00C83382" w:rsidP="00C83382">
      <w:pPr>
        <w:pStyle w:val="10"/>
        <w:tabs>
          <w:tab w:val="right" w:leader="dot" w:pos="8550"/>
        </w:tabs>
        <w:spacing w:line="360" w:lineRule="auto"/>
        <w:rPr>
          <w:rFonts w:ascii="宋体" w:hAnsi="宋体" w:cstheme="minorBidi"/>
          <w:noProof/>
          <w:sz w:val="24"/>
        </w:rPr>
      </w:pPr>
      <w:hyperlink w:anchor="_Toc240548886" w:history="1">
        <w:r w:rsidRPr="00C83382">
          <w:rPr>
            <w:rStyle w:val="aa"/>
            <w:rFonts w:ascii="宋体" w:hAnsi="宋体" w:hint="eastAsia"/>
            <w:noProof/>
            <w:sz w:val="24"/>
          </w:rPr>
          <w:t>二十一、基金合同的内容摘要</w:t>
        </w:r>
        <w:r w:rsidRPr="00C83382">
          <w:rPr>
            <w:rFonts w:ascii="宋体" w:hAnsi="宋体"/>
            <w:noProof/>
            <w:sz w:val="24"/>
          </w:rPr>
          <w:tab/>
        </w:r>
        <w:r w:rsidRPr="00C83382">
          <w:rPr>
            <w:rFonts w:ascii="宋体" w:hAnsi="宋体"/>
            <w:noProof/>
            <w:sz w:val="24"/>
          </w:rPr>
          <w:fldChar w:fldCharType="begin"/>
        </w:r>
        <w:r w:rsidRPr="00C83382">
          <w:rPr>
            <w:rFonts w:ascii="宋体" w:hAnsi="宋体"/>
            <w:noProof/>
            <w:sz w:val="24"/>
          </w:rPr>
          <w:instrText xml:space="preserve"> PAGEREF _Toc240548886 \h </w:instrText>
        </w:r>
        <w:r w:rsidRPr="00C83382">
          <w:rPr>
            <w:rFonts w:ascii="宋体" w:hAnsi="宋体"/>
            <w:noProof/>
            <w:sz w:val="24"/>
          </w:rPr>
        </w:r>
        <w:r w:rsidRPr="00C83382">
          <w:rPr>
            <w:rFonts w:ascii="宋体" w:hAnsi="宋体"/>
            <w:noProof/>
            <w:sz w:val="24"/>
          </w:rPr>
          <w:fldChar w:fldCharType="separate"/>
        </w:r>
        <w:r w:rsidRPr="00C83382">
          <w:rPr>
            <w:rFonts w:ascii="宋体" w:hAnsi="宋体"/>
            <w:noProof/>
            <w:sz w:val="24"/>
          </w:rPr>
          <w:t>143</w:t>
        </w:r>
        <w:r w:rsidRPr="00C83382">
          <w:rPr>
            <w:rFonts w:ascii="宋体" w:hAnsi="宋体"/>
            <w:noProof/>
            <w:sz w:val="24"/>
          </w:rPr>
          <w:fldChar w:fldCharType="end"/>
        </w:r>
      </w:hyperlink>
    </w:p>
    <w:p w:rsidR="00C83382" w:rsidRPr="00C83382" w:rsidRDefault="00C83382" w:rsidP="00C83382">
      <w:pPr>
        <w:pStyle w:val="10"/>
        <w:tabs>
          <w:tab w:val="right" w:leader="dot" w:pos="8550"/>
        </w:tabs>
        <w:spacing w:line="360" w:lineRule="auto"/>
        <w:rPr>
          <w:rFonts w:ascii="宋体" w:hAnsi="宋体" w:cstheme="minorBidi"/>
          <w:noProof/>
          <w:sz w:val="24"/>
        </w:rPr>
      </w:pPr>
      <w:hyperlink w:anchor="_Toc240548887" w:history="1">
        <w:r w:rsidRPr="00C83382">
          <w:rPr>
            <w:rStyle w:val="aa"/>
            <w:rFonts w:ascii="宋体" w:hAnsi="宋体" w:hint="eastAsia"/>
            <w:noProof/>
            <w:sz w:val="24"/>
          </w:rPr>
          <w:t>二十二、托管协议的内容摘要</w:t>
        </w:r>
        <w:r w:rsidRPr="00C83382">
          <w:rPr>
            <w:rFonts w:ascii="宋体" w:hAnsi="宋体"/>
            <w:noProof/>
            <w:sz w:val="24"/>
          </w:rPr>
          <w:tab/>
        </w:r>
        <w:r w:rsidRPr="00C83382">
          <w:rPr>
            <w:rFonts w:ascii="宋体" w:hAnsi="宋体"/>
            <w:noProof/>
            <w:sz w:val="24"/>
          </w:rPr>
          <w:fldChar w:fldCharType="begin"/>
        </w:r>
        <w:r w:rsidRPr="00C83382">
          <w:rPr>
            <w:rFonts w:ascii="宋体" w:hAnsi="宋体"/>
            <w:noProof/>
            <w:sz w:val="24"/>
          </w:rPr>
          <w:instrText xml:space="preserve"> PAGEREF _Toc240548887 \h </w:instrText>
        </w:r>
        <w:r w:rsidRPr="00C83382">
          <w:rPr>
            <w:rFonts w:ascii="宋体" w:hAnsi="宋体"/>
            <w:noProof/>
            <w:sz w:val="24"/>
          </w:rPr>
        </w:r>
        <w:r w:rsidRPr="00C83382">
          <w:rPr>
            <w:rFonts w:ascii="宋体" w:hAnsi="宋体"/>
            <w:noProof/>
            <w:sz w:val="24"/>
          </w:rPr>
          <w:fldChar w:fldCharType="separate"/>
        </w:r>
        <w:r w:rsidRPr="00C83382">
          <w:rPr>
            <w:rFonts w:ascii="宋体" w:hAnsi="宋体"/>
            <w:noProof/>
            <w:sz w:val="24"/>
          </w:rPr>
          <w:t>159</w:t>
        </w:r>
        <w:r w:rsidRPr="00C83382">
          <w:rPr>
            <w:rFonts w:ascii="宋体" w:hAnsi="宋体"/>
            <w:noProof/>
            <w:sz w:val="24"/>
          </w:rPr>
          <w:fldChar w:fldCharType="end"/>
        </w:r>
      </w:hyperlink>
    </w:p>
    <w:p w:rsidR="00C83382" w:rsidRPr="00C83382" w:rsidRDefault="00C83382" w:rsidP="00C83382">
      <w:pPr>
        <w:pStyle w:val="10"/>
        <w:tabs>
          <w:tab w:val="right" w:leader="dot" w:pos="8550"/>
        </w:tabs>
        <w:spacing w:line="360" w:lineRule="auto"/>
        <w:rPr>
          <w:rFonts w:ascii="宋体" w:hAnsi="宋体" w:cstheme="minorBidi"/>
          <w:noProof/>
          <w:sz w:val="24"/>
        </w:rPr>
      </w:pPr>
      <w:hyperlink w:anchor="_Toc240548888" w:history="1">
        <w:r w:rsidRPr="00C83382">
          <w:rPr>
            <w:rStyle w:val="aa"/>
            <w:rFonts w:ascii="宋体" w:hAnsi="宋体" w:hint="eastAsia"/>
            <w:noProof/>
            <w:sz w:val="24"/>
          </w:rPr>
          <w:t>二十三、对基金份额持有人的服务</w:t>
        </w:r>
        <w:r w:rsidRPr="00C83382">
          <w:rPr>
            <w:rFonts w:ascii="宋体" w:hAnsi="宋体"/>
            <w:noProof/>
            <w:sz w:val="24"/>
          </w:rPr>
          <w:tab/>
        </w:r>
        <w:r w:rsidRPr="00C83382">
          <w:rPr>
            <w:rFonts w:ascii="宋体" w:hAnsi="宋体"/>
            <w:noProof/>
            <w:sz w:val="24"/>
          </w:rPr>
          <w:fldChar w:fldCharType="begin"/>
        </w:r>
        <w:r w:rsidRPr="00C83382">
          <w:rPr>
            <w:rFonts w:ascii="宋体" w:hAnsi="宋体"/>
            <w:noProof/>
            <w:sz w:val="24"/>
          </w:rPr>
          <w:instrText xml:space="preserve"> PAGEREF _Toc240548888 \h </w:instrText>
        </w:r>
        <w:r w:rsidRPr="00C83382">
          <w:rPr>
            <w:rFonts w:ascii="宋体" w:hAnsi="宋体"/>
            <w:noProof/>
            <w:sz w:val="24"/>
          </w:rPr>
        </w:r>
        <w:r w:rsidRPr="00C83382">
          <w:rPr>
            <w:rFonts w:ascii="宋体" w:hAnsi="宋体"/>
            <w:noProof/>
            <w:sz w:val="24"/>
          </w:rPr>
          <w:fldChar w:fldCharType="separate"/>
        </w:r>
        <w:r w:rsidRPr="00C83382">
          <w:rPr>
            <w:rFonts w:ascii="宋体" w:hAnsi="宋体"/>
            <w:noProof/>
            <w:sz w:val="24"/>
          </w:rPr>
          <w:t>177</w:t>
        </w:r>
        <w:r w:rsidRPr="00C83382">
          <w:rPr>
            <w:rFonts w:ascii="宋体" w:hAnsi="宋体"/>
            <w:noProof/>
            <w:sz w:val="24"/>
          </w:rPr>
          <w:fldChar w:fldCharType="end"/>
        </w:r>
      </w:hyperlink>
    </w:p>
    <w:p w:rsidR="00C83382" w:rsidRPr="00C83382" w:rsidRDefault="00C83382" w:rsidP="00C83382">
      <w:pPr>
        <w:pStyle w:val="10"/>
        <w:tabs>
          <w:tab w:val="right" w:leader="dot" w:pos="8550"/>
        </w:tabs>
        <w:spacing w:line="360" w:lineRule="auto"/>
        <w:rPr>
          <w:rFonts w:ascii="宋体" w:hAnsi="宋体" w:cstheme="minorBidi"/>
          <w:noProof/>
          <w:sz w:val="24"/>
        </w:rPr>
      </w:pPr>
      <w:hyperlink w:anchor="_Toc240548889" w:history="1">
        <w:r w:rsidRPr="00C83382">
          <w:rPr>
            <w:rStyle w:val="aa"/>
            <w:rFonts w:ascii="宋体" w:hAnsi="宋体" w:hint="eastAsia"/>
            <w:noProof/>
            <w:sz w:val="24"/>
          </w:rPr>
          <w:t>二十四、其他应披露事项</w:t>
        </w:r>
        <w:r w:rsidRPr="00C83382">
          <w:rPr>
            <w:rFonts w:ascii="宋体" w:hAnsi="宋体"/>
            <w:noProof/>
            <w:sz w:val="24"/>
          </w:rPr>
          <w:tab/>
        </w:r>
        <w:r w:rsidRPr="00C83382">
          <w:rPr>
            <w:rFonts w:ascii="宋体" w:hAnsi="宋体"/>
            <w:noProof/>
            <w:sz w:val="24"/>
          </w:rPr>
          <w:fldChar w:fldCharType="begin"/>
        </w:r>
        <w:r w:rsidRPr="00C83382">
          <w:rPr>
            <w:rFonts w:ascii="宋体" w:hAnsi="宋体"/>
            <w:noProof/>
            <w:sz w:val="24"/>
          </w:rPr>
          <w:instrText xml:space="preserve"> PAGEREF _Toc240548889 \h </w:instrText>
        </w:r>
        <w:r w:rsidRPr="00C83382">
          <w:rPr>
            <w:rFonts w:ascii="宋体" w:hAnsi="宋体"/>
            <w:noProof/>
            <w:sz w:val="24"/>
          </w:rPr>
        </w:r>
        <w:r w:rsidRPr="00C83382">
          <w:rPr>
            <w:rFonts w:ascii="宋体" w:hAnsi="宋体"/>
            <w:noProof/>
            <w:sz w:val="24"/>
          </w:rPr>
          <w:fldChar w:fldCharType="separate"/>
        </w:r>
        <w:r w:rsidRPr="00C83382">
          <w:rPr>
            <w:rFonts w:ascii="宋体" w:hAnsi="宋体"/>
            <w:noProof/>
            <w:sz w:val="24"/>
          </w:rPr>
          <w:t>179</w:t>
        </w:r>
        <w:r w:rsidRPr="00C83382">
          <w:rPr>
            <w:rFonts w:ascii="宋体" w:hAnsi="宋体"/>
            <w:noProof/>
            <w:sz w:val="24"/>
          </w:rPr>
          <w:fldChar w:fldCharType="end"/>
        </w:r>
      </w:hyperlink>
    </w:p>
    <w:p w:rsidR="00C83382" w:rsidRPr="00C83382" w:rsidRDefault="00C83382" w:rsidP="00C83382">
      <w:pPr>
        <w:pStyle w:val="10"/>
        <w:tabs>
          <w:tab w:val="right" w:leader="dot" w:pos="8550"/>
        </w:tabs>
        <w:spacing w:line="360" w:lineRule="auto"/>
        <w:rPr>
          <w:rFonts w:ascii="宋体" w:hAnsi="宋体" w:cstheme="minorBidi"/>
          <w:noProof/>
          <w:sz w:val="24"/>
        </w:rPr>
      </w:pPr>
      <w:hyperlink w:anchor="_Toc240548890" w:history="1">
        <w:r w:rsidRPr="00C83382">
          <w:rPr>
            <w:rStyle w:val="aa"/>
            <w:rFonts w:ascii="宋体" w:hAnsi="宋体" w:hint="eastAsia"/>
            <w:noProof/>
            <w:sz w:val="24"/>
          </w:rPr>
          <w:t>二十五、招募说明书的存放及查阅方式</w:t>
        </w:r>
        <w:r w:rsidRPr="00C83382">
          <w:rPr>
            <w:rFonts w:ascii="宋体" w:hAnsi="宋体"/>
            <w:noProof/>
            <w:sz w:val="24"/>
          </w:rPr>
          <w:tab/>
        </w:r>
        <w:r w:rsidRPr="00C83382">
          <w:rPr>
            <w:rFonts w:ascii="宋体" w:hAnsi="宋体"/>
            <w:noProof/>
            <w:sz w:val="24"/>
          </w:rPr>
          <w:fldChar w:fldCharType="begin"/>
        </w:r>
        <w:r w:rsidRPr="00C83382">
          <w:rPr>
            <w:rFonts w:ascii="宋体" w:hAnsi="宋体"/>
            <w:noProof/>
            <w:sz w:val="24"/>
          </w:rPr>
          <w:instrText xml:space="preserve"> PAGEREF _Toc240548890 \h </w:instrText>
        </w:r>
        <w:r w:rsidRPr="00C83382">
          <w:rPr>
            <w:rFonts w:ascii="宋体" w:hAnsi="宋体"/>
            <w:noProof/>
            <w:sz w:val="24"/>
          </w:rPr>
        </w:r>
        <w:r w:rsidRPr="00C83382">
          <w:rPr>
            <w:rFonts w:ascii="宋体" w:hAnsi="宋体"/>
            <w:noProof/>
            <w:sz w:val="24"/>
          </w:rPr>
          <w:fldChar w:fldCharType="separate"/>
        </w:r>
        <w:r w:rsidRPr="00C83382">
          <w:rPr>
            <w:rFonts w:ascii="宋体" w:hAnsi="宋体"/>
            <w:noProof/>
            <w:sz w:val="24"/>
          </w:rPr>
          <w:t>182</w:t>
        </w:r>
        <w:r w:rsidRPr="00C83382">
          <w:rPr>
            <w:rFonts w:ascii="宋体" w:hAnsi="宋体"/>
            <w:noProof/>
            <w:sz w:val="24"/>
          </w:rPr>
          <w:fldChar w:fldCharType="end"/>
        </w:r>
      </w:hyperlink>
    </w:p>
    <w:p w:rsidR="00C83382" w:rsidRPr="00C83382" w:rsidRDefault="00C83382" w:rsidP="00C83382">
      <w:pPr>
        <w:pStyle w:val="10"/>
        <w:tabs>
          <w:tab w:val="right" w:leader="dot" w:pos="8550"/>
        </w:tabs>
        <w:spacing w:line="360" w:lineRule="auto"/>
        <w:rPr>
          <w:rFonts w:ascii="宋体" w:hAnsi="宋体" w:cstheme="minorBidi"/>
          <w:noProof/>
          <w:sz w:val="24"/>
        </w:rPr>
      </w:pPr>
      <w:hyperlink w:anchor="_Toc240548891" w:history="1">
        <w:r w:rsidRPr="00C83382">
          <w:rPr>
            <w:rStyle w:val="aa"/>
            <w:rFonts w:ascii="宋体" w:hAnsi="宋体" w:hint="eastAsia"/>
            <w:noProof/>
            <w:sz w:val="24"/>
          </w:rPr>
          <w:t>二十六、备查文件</w:t>
        </w:r>
        <w:r w:rsidRPr="00C83382">
          <w:rPr>
            <w:rFonts w:ascii="宋体" w:hAnsi="宋体"/>
            <w:noProof/>
            <w:sz w:val="24"/>
          </w:rPr>
          <w:tab/>
        </w:r>
        <w:r w:rsidRPr="00C83382">
          <w:rPr>
            <w:rFonts w:ascii="宋体" w:hAnsi="宋体"/>
            <w:noProof/>
            <w:sz w:val="24"/>
          </w:rPr>
          <w:fldChar w:fldCharType="begin"/>
        </w:r>
        <w:r w:rsidRPr="00C83382">
          <w:rPr>
            <w:rFonts w:ascii="宋体" w:hAnsi="宋体"/>
            <w:noProof/>
            <w:sz w:val="24"/>
          </w:rPr>
          <w:instrText xml:space="preserve"> PAGEREF _Toc240548891 \h </w:instrText>
        </w:r>
        <w:r w:rsidRPr="00C83382">
          <w:rPr>
            <w:rFonts w:ascii="宋体" w:hAnsi="宋体"/>
            <w:noProof/>
            <w:sz w:val="24"/>
          </w:rPr>
        </w:r>
        <w:r w:rsidRPr="00C83382">
          <w:rPr>
            <w:rFonts w:ascii="宋体" w:hAnsi="宋体"/>
            <w:noProof/>
            <w:sz w:val="24"/>
          </w:rPr>
          <w:fldChar w:fldCharType="separate"/>
        </w:r>
        <w:r w:rsidRPr="00C83382">
          <w:rPr>
            <w:rFonts w:ascii="宋体" w:hAnsi="宋体"/>
            <w:noProof/>
            <w:sz w:val="24"/>
          </w:rPr>
          <w:t>183</w:t>
        </w:r>
        <w:r w:rsidRPr="00C83382">
          <w:rPr>
            <w:rFonts w:ascii="宋体" w:hAnsi="宋体"/>
            <w:noProof/>
            <w:sz w:val="24"/>
          </w:rPr>
          <w:fldChar w:fldCharType="end"/>
        </w:r>
      </w:hyperlink>
    </w:p>
    <w:p w:rsidR="008D105C" w:rsidRPr="00C83382" w:rsidRDefault="00C83382" w:rsidP="00C83382">
      <w:pPr>
        <w:pStyle w:val="ad"/>
        <w:snapToGrid w:val="0"/>
        <w:spacing w:after="240" w:line="360" w:lineRule="auto"/>
        <w:jc w:val="center"/>
        <w:rPr>
          <w:rFonts w:ascii="宋体" w:hAnsi="宋体"/>
          <w:color w:val="000000"/>
          <w:sz w:val="24"/>
        </w:rPr>
      </w:pPr>
      <w:r w:rsidRPr="00C83382">
        <w:rPr>
          <w:rFonts w:ascii="宋体" w:hAnsi="宋体"/>
          <w:color w:val="000000"/>
          <w:position w:val="-4"/>
          <w:sz w:val="24"/>
          <w:szCs w:val="30"/>
        </w:rPr>
        <w:fldChar w:fldCharType="end"/>
      </w:r>
      <w:bookmarkStart w:id="3" w:name="_GoBack"/>
      <w:bookmarkEnd w:id="3"/>
    </w:p>
    <w:p w:rsidR="008D105C" w:rsidRDefault="008D105C">
      <w:pPr>
        <w:autoSpaceDE w:val="0"/>
        <w:autoSpaceDN w:val="0"/>
        <w:adjustRightInd w:val="0"/>
        <w:snapToGrid w:val="0"/>
        <w:spacing w:line="360" w:lineRule="auto"/>
        <w:ind w:left="120" w:rightChars="6" w:right="13"/>
        <w:rPr>
          <w:rFonts w:ascii="宋体" w:hAnsi="宋体"/>
          <w:kern w:val="0"/>
          <w:szCs w:val="24"/>
        </w:rPr>
        <w:sectPr w:rsidR="008D105C">
          <w:pgSz w:w="11920" w:h="16840"/>
          <w:pgMar w:top="1480" w:right="1680" w:bottom="280" w:left="1680" w:header="0" w:footer="1073" w:gutter="0"/>
          <w:cols w:space="720"/>
        </w:sectPr>
      </w:pPr>
    </w:p>
    <w:p w:rsidR="008D105C" w:rsidRDefault="0025570F">
      <w:pPr>
        <w:pStyle w:val="1"/>
        <w:snapToGrid w:val="0"/>
        <w:spacing w:beforeLines="0" w:before="240" w:after="240"/>
        <w:rPr>
          <w:rFonts w:ascii="宋体" w:hAnsi="宋体"/>
          <w:szCs w:val="30"/>
        </w:rPr>
      </w:pPr>
      <w:bookmarkStart w:id="4" w:name="_Toc240548866"/>
      <w:r>
        <w:rPr>
          <w:rFonts w:ascii="Times New Roman" w:hAnsi="Times New Roman"/>
          <w:sz w:val="30"/>
        </w:rPr>
        <w:lastRenderedPageBreak/>
        <w:t>一、绪言</w:t>
      </w:r>
      <w:bookmarkEnd w:id="4"/>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先进制造混合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规定》”）和其他相关法律法规的规定以及《交银施罗德先进制造混合型证券投资基金基金合同》（以下简称“基金合同”）编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变更注册的。本基金管理人没有委托或授权任何其他人提供未在本招募说明书中载明的信息，或对本招募说明书作任何解释或者说明。</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变更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阅基金合同。</w:t>
      </w:r>
    </w:p>
    <w:p w:rsidR="00B439CC" w:rsidRDefault="002557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05C" w:rsidRDefault="0025570F">
      <w:pPr>
        <w:pStyle w:val="1"/>
        <w:snapToGrid w:val="0"/>
        <w:spacing w:beforeLines="0" w:before="240" w:after="240"/>
        <w:rPr>
          <w:rFonts w:ascii="宋体" w:hAnsi="宋体"/>
          <w:szCs w:val="30"/>
        </w:rPr>
      </w:pPr>
      <w:bookmarkStart w:id="5" w:name="_Toc240548867"/>
      <w:r>
        <w:rPr>
          <w:rFonts w:ascii="Times New Roman" w:hAnsi="Times New Roman"/>
          <w:sz w:val="30"/>
        </w:rPr>
        <w:lastRenderedPageBreak/>
        <w:t>二、释义</w:t>
      </w:r>
      <w:bookmarkEnd w:id="5"/>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1、基金或本基金：指交银施罗德先进制造混合型证券投资基金，本基金由交银施罗德先进制造股票证券投资基金变更而来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3、基金托管人或本基金托管人：指中国农业银行股份有限公司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4、基金合同：指《交银施罗德先进制造混合型证券投资基金基金合同》及对基金合同的任何有效修订和补充</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5、托管协议：指基金管理人与基金托管人就本基金签订之《交银施罗德先进制造混合型证券投资基金托管协议》及对该托管协议的任何有效修订和补充</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6、招募说明书或本招募说明书：指《交银施罗德先进制造混合型证券投资基金招募说明书》，及其更新</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7、发售公告：指交银施罗德先进制造股票证券投资基金根据《运作办法》变更为混合型基金前的《交银施罗德先进制造股票证券投资基金份额发售公告》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8、基金产品资料概要：指《交银施罗德先进制造混合型证券投资基金基金产品资料概要》及其更新</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9、法律法规：指中国现行有效并公布实施的法律、行政法规、司法解释、部门规章、地方性法规、地方政府规章及其他对基金合同当事人有约束力的规范性文件及对该等法律法规不时作出的修订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14、《流动性规定》：指《公开募集开放式证券投资基金流动性风险管理规定》及颁布机关对其不时做出的修订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15、中国：指中华人民共和国，就基金合同而言，不包括香港特别行政区、澳门特别行政区和台湾地区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16、中国证监会：指中国证券监督管理委员会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17、银行业监督管理机构：指中国人民银行和/或中国银行保险监督管理委员会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18、基金合同当事人：指受基金合同约束，根据基金合同享有权利并承担义务的法律主体，包括基金管理人、基金托管人和基金份额持有人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19、个人投资者：指符合法律法规规定的条件可以投资证券投资基金的自然人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20、机构投资者：指符合法律法规规定可以投资证券投资基金的在中华人民共和国注册登记或经政府有关部门批准设立的机构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合格境外投资者：指符合《合格境外机构投资者和人民币合格境外机构投资者境内证券期货投资管理办法》及相关法律法规规定使用来自境外的资金进行境内证券期货投资的境外机构投资者，包括合格境外机构投资者和人民币合格境外机构投资者</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22、基金投资者或投资者：指个人投资者、机构投资者、合格境外投资者，以及法律法规或中国证监会允许购买证券投资基金的其他投资者</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23、基金份额持有人：指依招募说明书和基金合同合法取得基金份额的基金投资者</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24、基金销售业务：指基金管理人或销售机构宣传推介基金，销售基金份额，办理基金份额的申购、赎回、转换、转托管及定期定额投资等业务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注册登记业务：指基金登记、存管、过户、清算和结算业务，具体内容包括基金投资者基金账户的建立和管理、基金份额注册登记、基金销售业务的确认、清算和结算、代理发放红利、建立并保管基金份额持有人名册、办理非交易过户业务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27、注册登记机构：指办理注册登记业务的机构。基金的注册登记机构为交银施罗德基金管理有限公司或接受交银施罗德基金管理有限公司委托代为办理注册登记业务的机构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28、基金账户：指注册登记机构为基金投资者开立的、记录其持有的、基金管理人所管理的基金份额余额及其变动情况的账户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29、基金交易账户：指销售机构为基金投资者开立的、记录基金投资者通过该销售机构办理交易业务而引起的基金份额的变动及结余情况的账户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生效日：指根据2021年12月21日至2022年1月20日基金份额持有人大会审议通过的《关于交银施罗德先进制造混合型证券投资基金调整投资范围及修改基金合同有关事项的议案》所修订的《交银施罗德先进制造混合型证券投资基金基金合同》生效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31、基金合同终止日：指基金合同规定的基金合同终止事由出现后，按照基金合同规定的程序终止基金合同的日期</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32、基金募集期：指自交银施罗德先进制造股票证券投资基金基金份额发售之日起至发售结束之日止的期间，最长不得超过3个月</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33、存续期：指《交银施罗德先进制造股票证券投资基金基金合同》生效至《交银施罗德先进制造混合型证券投资基金基金合同》终止之间的不定期期限</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35、日：指公历日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36、月：指公历月</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37、T日：指销售机构在规定时间受理基金投资者申购、赎回或其他基金业务申请的工作日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38、T+n日：指自T日起第n个工作日（不包含T日）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39、开放日：指为基金投资者办理基金份额申购、赎回或其他业务的工作日（若该工作日为非港股通交易日，则本基金可不开放）</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40、开放时间：指开放日基金接受申购、赎回或其他交易的时间段</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41、认购：指在交银施罗德先进制造股票证券投资基金募集期间，基金投资者申请购买基金份额的行为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42、申购：指在基金存续期内，基金投资者按基金合同和招募说明书的规定申请购买基金份额的行为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43、赎回：指在基金存续期内基金份额持有人按基金合同和招募说明书的规定的条件要求申请将基金份额兑换为现金的行为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44、场外：指不通过上海证券交易所的交易系统办理基金份额认购、申购和赎</w:t>
      </w:r>
      <w:r>
        <w:rPr>
          <w:rFonts w:ascii="宋体" w:hAnsi="宋体"/>
          <w:sz w:val="24"/>
        </w:rPr>
        <w:lastRenderedPageBreak/>
        <w:t>回等业务的销售机构和场所</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45、场内：指通过上海证券交易所的交易系统办理基金份额认购、申购和赎回等业务的销售机构和场所</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46、注册登记系统：指中国证券登记结算有限责任公司开放式基金登记结算系统</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47、证券登记结算系统：指中国证券登记结算有限责任公司上海分公司证券登记结算系统</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转换：指基金份额持有人按照本基金合同和基金管理人届时有效公告规定的条件，申请将其持有基金管理人管理的、某一基金的基金份额转换为该基金其他份额（如有）或基金管理人管理的其他基金基金份额的行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定期定额投资计划：指基金投资者通过有关销售机构提出申请，约定每期申购日、扣款金额及扣款方式，由销售机构在基金投资者指定银行账户内自动完成扣款并于每期约定的申购日提交基金申购申请的一种投资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50、转托管：指基金份额持有人在本基金的不同销售机构之间实施变更所持基金份额销售机构的行为，包括系统内转托管及跨系统转托管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51、系统内转托管：指基金份额持有人将持有的基金份额在注册登记系统内不同销售机构（网点）之间或证券登记结算系统内不同会员单位（交易单元）之间进行转登记的行为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52、跨系统转托管：指基金份额持有人将持有的基金份额在注册登记系统和证券登记结算系统间进行转登记的行为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巨额赎回：指本基金单个开放日，基金净赎回申请（赎回申请份额总数加上基金转换中转出申请份额总数后扣除申购申请份额总数及基金转换中转入申请份额总数后的余额）超过上一工作日基金总份额的10%的情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54、元：指人民币元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55、基金利润：指基金利息收入、投资收益、公允价值变动收益和其他收入扣除相关费用后的余额</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56、基金资产总值：指基金拥有的各类有价证券、股指期货合约、银行存款本息、基金应收款项及其他资产的价值总和</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57、基金资产净值：指基金资产总值减去基金负债后的净资产值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58、基金份额净值：指计算日基金资产净值除以计算日基金份额总数的数值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59、基金资产估值：指计算评估基金资产和负债的价值，以确定基金资产净值和基金份额净值的过程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60、港股通：指内地投资者委托内地证券公司，经由内地证券交易所在香港设立的证券交易服务公司，向香港联合交易所进行申报，买卖规定范围内的香港联合交易所上市的股票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61、销售服务费：指从基金财产中计提的，用于本基金市场推广、销售以及基金份额持有人服务的费用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62、A类基金份额：指在投资人申购时收取申购费用且不从本类别基金资产中计提销售服务费的基金份额</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63、C类基金份额：指在投资人申购时不收取申购费用，并从本类别基金资产中计提销售服务费的基金份额</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68、规定媒介：指符合中国证监会规定条件的用以进行信息披露的全国性报刊及《信息披露办法》规定的互联网网站（包括基金管理人网站、基金托管人网站、</w:t>
      </w:r>
      <w:r>
        <w:rPr>
          <w:rFonts w:ascii="宋体" w:hAnsi="宋体"/>
          <w:sz w:val="24"/>
        </w:rPr>
        <w:lastRenderedPageBreak/>
        <w:t>中国证监会基金电子披露网站）等媒介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69、《业务规则》：指中国证券登记结算有限责任公司相关业务规则及其不时做出的修订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不可抗力：指基金合同当事人不能预见、不能避免且不能克服，且在基金合同由基金管理人、基金托管人签署之日后发生的，使基金合同当事人无法全部或部分履行基金合同的任何事件，包括但不限于洪水、地震及其他自然灾害、战争、骚乱、火灾、政府征用、没收、法律法规变化、突发停电或其他突发事件、证券/期货交易所非正常暂停或停止交易</w:t>
      </w:r>
    </w:p>
    <w:p w:rsidR="00B439CC" w:rsidRDefault="002557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05C" w:rsidRDefault="0025570F">
      <w:pPr>
        <w:pStyle w:val="1"/>
        <w:snapToGrid w:val="0"/>
        <w:spacing w:beforeLines="0" w:before="240" w:after="240"/>
        <w:rPr>
          <w:rFonts w:ascii="宋体" w:hAnsi="宋体"/>
          <w:szCs w:val="30"/>
        </w:rPr>
      </w:pPr>
      <w:bookmarkStart w:id="6" w:name="_Toc240548868"/>
      <w:r>
        <w:rPr>
          <w:rFonts w:ascii="Times New Roman" w:hAnsi="Times New Roman"/>
          <w:sz w:val="30"/>
        </w:rPr>
        <w:lastRenderedPageBreak/>
        <w:t>三、基金管理人</w:t>
      </w:r>
      <w:bookmarkEnd w:id="6"/>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郭若先生:香港大学金融学硕士、清华大学工业设计及经济学双学士。8年证券投资行业从业经验。2018年加入交银施罗德基金管理有限公司，曾任行业分析师，现任基金经理。现任交银施罗德启信混合型发起式证券投资基金(2023年03月01日至今)、交银施罗德先进制造混合型证券投资基金(2025年09月15日至今)、交银施罗德远见成长混合型证券投资基金(2025年11月17日至今)的基金经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黄义志先生(2011年06月22日至2012年08月09日)；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张科兵先生(2012年03月13日至2013年04月25日)；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王少成先生(2013年03月21日至2015年08月14日)；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任相栋先生(2015年01月21日至2018年06月22日)；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刘鹏先生(2018年05月29日至2025年09月20日)。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w:t>
      </w:r>
      <w:r>
        <w:rPr>
          <w:rFonts w:ascii="宋体" w:hAnsi="宋体"/>
          <w:sz w:val="24"/>
        </w:rPr>
        <w:lastRenderedPageBreak/>
        <w:t>收益；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（6）法律、行政法规和中国证监会规定禁止的其他行为。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3、不泄露在任职期间知悉的有关证券、基金的商业秘密，尚未依法公开的基金投资内容、基金投资计划等信息，或利用该信息从事或者明示、暗示他人从事相关的交易活动；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w:t>
      </w:r>
      <w:r>
        <w:rPr>
          <w:rFonts w:ascii="宋体" w:hAnsi="宋体"/>
          <w:sz w:val="24"/>
        </w:rPr>
        <w:lastRenderedPageBreak/>
        <w:t>价，监督检查公司财务状况，审计公司的财务报表，评估公司的财务表现，保证公司的财务运作符合法律的要求和通行的会计标准。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w:t>
      </w:r>
      <w:r>
        <w:rPr>
          <w:rFonts w:ascii="宋体" w:hAnsi="宋体"/>
          <w:sz w:val="24"/>
        </w:rPr>
        <w:lastRenderedPageBreak/>
        <w:t>务活动有恰当的组织和授权，确保监察活动独立，并得到高管人员的支持，同时置备操作手册，并定期更新。</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2557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05C" w:rsidRDefault="0025570F">
      <w:pPr>
        <w:pStyle w:val="1"/>
        <w:snapToGrid w:val="0"/>
        <w:spacing w:beforeLines="0" w:before="240" w:after="240"/>
        <w:rPr>
          <w:rFonts w:ascii="宋体" w:hAnsi="宋体"/>
          <w:szCs w:val="30"/>
        </w:rPr>
      </w:pPr>
      <w:bookmarkStart w:id="7" w:name="_Toc240548869"/>
      <w:r>
        <w:rPr>
          <w:rFonts w:ascii="Times New Roman" w:hAnsi="Times New Roman"/>
          <w:sz w:val="30"/>
        </w:rPr>
        <w:lastRenderedPageBreak/>
        <w:t>四、基金托管人</w:t>
      </w:r>
      <w:bookmarkEnd w:id="7"/>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w:t>
      </w:r>
      <w:r>
        <w:rPr>
          <w:rFonts w:ascii="宋体" w:hAnsi="宋体"/>
          <w:sz w:val="24"/>
        </w:rPr>
        <w:lastRenderedPageBreak/>
        <w:t>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截止到2026年3月31日，中国农业银行托管的封闭式证券投资基金和开放式证券投资基金共1027只。</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（二）基金托管人的内部风险控制制度说明</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w:t>
      </w:r>
      <w:r>
        <w:rPr>
          <w:rFonts w:ascii="宋体" w:hAnsi="宋体"/>
          <w:sz w:val="24"/>
        </w:rPr>
        <w:lastRenderedPageBreak/>
        <w:t>整，确保有关信息的真实、准确、完整、及时，保护基金份额持有人的合法权益。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rsidR="00B439CC" w:rsidRDefault="002557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05C" w:rsidRDefault="0025570F">
      <w:pPr>
        <w:pStyle w:val="1"/>
        <w:snapToGrid w:val="0"/>
        <w:spacing w:beforeLines="0" w:before="240" w:after="240"/>
        <w:rPr>
          <w:rFonts w:ascii="宋体" w:hAnsi="宋体"/>
          <w:szCs w:val="30"/>
        </w:rPr>
      </w:pPr>
      <w:bookmarkStart w:id="8" w:name="_Toc240548870"/>
      <w:r>
        <w:rPr>
          <w:rFonts w:ascii="Times New Roman" w:hAnsi="Times New Roman"/>
          <w:sz w:val="30"/>
        </w:rPr>
        <w:lastRenderedPageBreak/>
        <w:t>五、相关服务机构</w:t>
      </w:r>
      <w:bookmarkEnd w:id="8"/>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本基金直销机构为基金管理人直销柜台以及基金管理人的网上直销交易平台（网站及手机APP，下同）。</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个人投资者可以通过基金管理人网上直销交易平台办理开户、本基金的申购、赎回、转换及定期定额投资等业务，具体交易细则请参阅基金管理人网站。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客户服务电话：96005</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住所：上海市中山东一路12 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（3）名称：杭州银行股份有限公司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住所：杭州市庆春路46号杭州银行大厦</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办公地址：杭州市庆春路46号杭州银行大厦</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法定代表人：陈震山</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电话：（0571）85108195、85120696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传真：（0571）86475527</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联系人：严峻、夏帆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网址：www.hzbank.com.cn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（4）名称：华夏银行股份有限公司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住所：北京市东城区建国门内大街22号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办公地址：北京市东城区建国门内大街22号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法定代表人：李民吉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客户服务电话：95577</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网址：www.hxb.com.cn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（5）名称：江苏银行股份有限公司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住所：南京市中华路26号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办公地址：南京市中华路26号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法定代表人：夏平</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电话：（025）58587018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传真：（025）58587038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联系人：田春慧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客户服务电话：95319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网址：www.jsbchina.cn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（6）名称：北京银行股份有限公司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住所：北京市西城区金融大街甲17号首层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办公地址：北京市西城区金融大街甲17号首层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法定代表人：张东宁</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传真：（010）66226045</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联系人：孔超</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网址：www.bankofbeijing.com.cn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（7）名称：中国民生银行股份有限公司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（8）名称：中国农业银行股份有限公司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（9）名称：东莞农村商业银行股份有限公司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办公地址：东莞市东城区鸿福东路2号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（10）名称：江苏常熟农村商业银行股份有限公司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住所：江苏省常熟市新世纪大道58号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办公地址：江苏省常熟市新世纪大道58号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法定代表人：宋建明</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联系电话：（0512）52909128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传真：（0512）52909122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联系人：黄晓</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客户服务电话：962000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网址：www.csrcbank.com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（11）名称：中信银行股份有限公司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（12）名称：上海银行股份有限公司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住所：上海市银城中路168号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办公地址：上海市银城中路168号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法定代表人：金煜</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电话：（021）68475888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传真：（021）68476111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联系人：张萍</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客户服务电话：（021）962888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网址：www.bankofshanghai.com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（13）名称：中国建设银行股份有限公司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（14）名称：中国光大银行股份有限公司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（15）名称：交通银行股份有限公司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（16）名称：宁波银行股份有限公司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（17）名称：兴业银行股份有限公司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（18）名称：南京银行股份有限公司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住所：南京市玄武区中山路288号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办公地址：南京市玄武区中山路288号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法定代表人：胡升荣</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电话：025-86776111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传真：025-86775054</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客户服务电话：95302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网址：www.njcb.com.cn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（19）名称：平安银行股份有限公司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联系人：赵杨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（20）名称：中国工商银行股份有限公司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注册地址：北京市西城区复兴门内大街55号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办公地址：北京市西城区复兴门内大街55号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法定代表人：廖林</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网址：www.icbc.com.cn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（21）名称：招商银行股份有限公司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（22）名称：中国邮政储蓄银行股份有限公司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（23）名称：光大证券股份有限公司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电话：（021）22169999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（24）名称：东北证券股份有限公司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住所：长春市自由大路1138号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办公地址：长春市自由大路1138号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法定代表人：矫正中</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电话：（0431）85096709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联系人：潘锴</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客户服务电话：4006000686，（0431）85096733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网址：www.nesc.cn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（25）名称：中银国际证券股份有限公司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住所：上海市银城中路200号39层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办公地址：中国上海浦东银城中路200号中银大厦39-40层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客户服务电话：400-620-8888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网址：www.bocichina.com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（26）名称：中国民族证券有限责任公司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住所：北京市西城区金融街5号新盛大厦A座6-9层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办公地址：北京市西城区金融街5号新盛大厦A座6-9层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法定代表人：赵大建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客户服务电话：400-889-5618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网址：www.e5618.com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（27）名称：国投证券股份有限公司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电话：（0755）81688000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（28）名称：中航证券有限公司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办公地址：南昌市红谷滩新区红谷中大道1619号国际金融大厦41楼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客户服务电话：400-8895-335</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（29）名称：财通证券股份有限公司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注册地址：杭州市杭大路15号嘉华国际商务中心201、501、502、1103、1601-1615、1701-1716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（30）名称：国信证券股份有限公司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客户服务电话：95536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（31）名称：湘财证券股份有限公司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住所：湖南省长沙市黄兴中路63号中山国际大厦12楼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办公地址：湖南省长沙市天心区湘府中路198号标志商务中心11楼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法定代表人：林俊波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电话：（021）68634518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传真：（021）68865680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联系人：钟康莺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客户服务电话：400-888-1551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网址：www.xcsc.com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（32）名称：华龙证券股份有限公司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（33）名称：长城国瑞证券有限公司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（34）名称：爱建证券有限责任公司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住所：上海市南京西路758号24楼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办公地址：上海市浦东新区世纪大道1600号32楼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法定代表人：张建华</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电话：（021）32229888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传真：（021）68728703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客户服务电话：（021）63340678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网址：www.ajzq.com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（35）名称：长江证券股份有限公司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办公地址：武汉市新华路特8号长江证券大厦</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法定代表人：胡运钊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（36）名称：招商证券股份有限公司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（37）名称：粤开证券股份有限公司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注册地址：广州市黄埔区科学大道60号开发区控股中心19、22、23层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办公地址：广州市黄埔区科学大道60号开发区控股中心19、22、23层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法定代表人：郭川舟</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客服电话：95564</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网址：www.ykzq.com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（38）名称：西南证券股份有限公司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（39）名称：信达证券股份有限公司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（40）名称：渤海证券股份有限公司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住所：天津经济技术开发区第二大街42号写字楼101室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办公地址：天津市南开区宾水西道8号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法定代表人：安志勇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电话：（022）28451991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传真：（022）28451892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956066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网址：www.ewww.com.cn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（41）名称：长城证券有限责任公司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住所：深圳市福田区深南大道6008号特区报业大厦14、16、17层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（42）名称：瑞银证券有限责任公司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住所：北京市西城区金融大街7号英蓝国际金融中心12层、15层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办公地址：北京市西城区金融大街7号英蓝国际金融中心12层、15层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法定代表人：程宜荪</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电话：（010）58328112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传真：（010）58328740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联系人：牟冲</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客户服务电话：400-887-8827</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网址：www.ubssecurities.com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（43）名称：中国国际金融股份有限公司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（44）名称：华鑫证券有限责任公司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华鑫证券有限责任公司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4001099918，95323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www.cfsc.com.cn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（45）名称：江海证券有限公司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法定代表人：孙名扬</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（46）名称：申万宏源西部证券有限公司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（47）名称：中国银河证券股份有限公司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（48）名称：申万宏源证券有限公司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网址：www.sywg.com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（49）名称：国都证券股份有限公司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（50）名称：大同证券有限责任公司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（51）名称：国联民生证券股份有限公司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（52）名称：山西证券股份有限公司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客户服务电话：400-666-1618、95573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（53）名称：联储证券有限责任公司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住所：深圳市福田区福田街道岗厦社区深南大道南侧金地中心大厦9楼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办公地址：北京市朝阳区安定路5号院3号楼中建财富国际中心27层联储证券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法定代表人：吕春卫</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传真：010-86499401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祝博文、张婉婷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 400-620-6868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www.lczq.com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（54）名称：东方财富证券股份有限公司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（55）名称：德邦证券股份有限公司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（56）名称：平安证券股份有限公司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法定代表人：杨宇翔</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（57）名称：中信建投证券股份有限公司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（58）名称：东兴证券股份有限公司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住所：北京市西城区金融大街5号新盛大厦B座12-15层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法定代表人：徐勇力</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电话：（010）66555316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传真：（010）66555246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联系人：汤漫川</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400-8888-993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网址：www.dxzq.net</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（59）名称：国新证券股份有限公司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网址：www.crsec.com.cn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（60）名称：华泰证券股份有限公司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（61）名称：浙商证券股份有限公司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住所：浙江省杭州市江干区五星路201号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办公地址：浙江省杭州市江干区五星路201号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法定代表人：吴承根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电话：（0571）87901964</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传真：（0571）87901955</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联系人：胡相斌</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客户服务电话：95345</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网址：www.stocke.com.cn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（62）名称：广发证券股份有限公司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（63）名称：兴业证券股份有限公司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办公地址：上海市浦东新区长柳路36号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（64）名称：中国中金财富证券有限公司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（65）名称：国元证券股份有限公司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住所：中国安徽省合肥市梅山路18号安徽国际金融中心A座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办公地址：中国安徽省合肥市梅山路18号安徽国际金融中心A座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法定代表人：俞仕新</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联系电话：0551-62207400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传真：0551-62207148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联系人：汪先哲</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网址：www.gyzq.com.cn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（66）名称：方正证券股份有限公司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联系人：张达</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（67）名称：第一创业证券股份有限公司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（68）名称：中原证券股份有限公司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（69）名称：华宝证券股份有限公司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（70）名称：华西证券股份有限公司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住所：四川省成都市高新区天府二街198号华西证券大厦</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（71）名称：万联证券股份有限公司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注册地址：广州市天河区珠江东路11号18、19楼全层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办公地址：广东省广州市天河区珠江东路13号高德置地广场E座12层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法定代表人：王达</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 系 人：丁思</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联系方式：020-83988334</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客服电话：95322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公司官网：www.wlzq.cn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（72）名称：金融街证券股份有限公司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注册地址：内蒙古自治区呼和浩特市新城区海拉尔东街满世尚都办公商业综合楼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办公地址：内蒙古自治区呼和浩特市新城区海拉尔东街满世尚都办公商业综合楼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法定代表人：祝艳辉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联系人：熊丽、王捷勋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联系电话：0471-4968480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客户服务电话：956088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网址：www.cnht.com.cn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（73）名称：南京证券股份有限公司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住所：南京市江东中路389号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办公地址：南京市江东中路389号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法定代表人：李剑锋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电话：（025）58519529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传真：（025）83369725</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联系人：曹梦媛</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网址：www.nizq.com.cn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（74）名称：国泰海通证券股份有限公司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（75）名称：中信证券（山东）有限责任公司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（76）名称：中信证券股份有限公司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（77）名称：中信证券华南股份有限公司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（78）名称：开源证券股份有限公司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（79）名称：东方证券股份有限公司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（80）名称：东莞证券股份有限公司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联系人：李荣</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（81）名称：国金证券股份有限公司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（82）名称：中泰证券股份有限公司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（83）名称：华福证券股份有限公司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住所：福建省福州市鼓楼区鼓屏路27号1#楼3层、4层、5层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办公地址：福建省福州市鼓楼区鼓屏路27号1#楼3层、4层、5层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法定代表人：黄德良</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（84）名称：西部证券股份有限公司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住所：陕西省西安市新城区东新街 319 号 8 幢 10000 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（85）名称：民生证券股份有限公司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住所：北京市东城区建国门内大街28号民生金融中心A座16层--18层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办公地址：北京市东城区建国门内大街28号民生金融中心A座16层--18层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法定代表人：冯鹤年</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电话：（010）85127561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传真：（010）85127641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联系人：周照清</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客户服务电话：400-619-8888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网址：www.mszq.com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（86）名称：北京广源达信基金销售有限公司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（87）名称：天相投资顾问有限公司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传真：（010）66045518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（88）名称：上海中欧财富基金销售有限公司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（89）名称：大连网金基金销售有限公司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（90）名称：阳光人寿保险股份有限公司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网址：http://fund.sinosig.com/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（91）名称：玄元保险代理有限公司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（92）名称：京东肯特瑞基金销售有限公司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（93）名称：上海大智慧基金销售有限公司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（94）名称：和耕传承基金销售有限公司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办公地址：河南自贸试验区郑州片区（郑东）东风南路东康宁街北6号楼5楼503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（95）名称：腾安基金销售（深圳）有限公司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（96）名称：珠海盈米基金销售有限公司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（97）名称：上海华夏财富投资管理有限公司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电话：010-88066632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（98）名称：北京度小满基金销售有限公司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（99）名称：南京苏宁基金销售有限公司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（100）名称：嘉实财富管理有限公司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客户服务电话：400-021-8850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（101）名称：北京汇成基金销售有限公司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（102）名称：上海利得基金销售有限公司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（103）名称：北京虹点基金销售有限公司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（104）名称：上海陆金所基金销售有限公司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住所：上海市浦东新区陆家嘴环路1333号14楼09单元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（105）名称：上海挖财基金销售有限公司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（106）名称：万家财富基金销售（天津）有限公司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（107）名称：上海万得基金销售有限公司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 宋晓言</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（108）名称：格上富信投资顾问有限公司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（109）名称：深圳市金斧子基金销售有限公司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（110）名称：北京雪球基金销售有限公司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联系人：武安广</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（111）名称：北京新浪仓石基金销售有限公司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（112）名称：中证金牛（北京）基金销售有限公司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（113）名称：上海证达通基金销售有限公司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网址：www.zdt.fund</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（114）名称：北京创金启富基金销售有限公司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（115）名称：奕丰基金销售有限公司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（116）名称：上海天天基金销售有限公司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（117）名称：和讯信息科技有限公司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住所：北京市朝阳区朝外大街22号泛利大厦10层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（118）名称：诺亚正行基金销售有限公司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（119）名称：上海好买基金销售有限公司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（120）名称：上海长量基金销售有限公司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传真：（021）20691861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（121）名称：深圳众禄基金销售股份有限公司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（122）名称：蚂蚁（杭州）基金销售有限公司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（123）名称：上海基煜基金销售有限公司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客户服务电话：（021）65370077</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（124）名称：浙江同花顺基金销售有限公司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（125）名称：宜信普泽（北京）基金销售有限公司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（126）名称：上海联泰基金销售有限公司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（127）名称：深圳市新兰德证券投资咨询有限公司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住所：深圳市福田区华强北路赛格科技园4栋10层1006#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（128）名称：北京展恒基金销售股份有限公司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（129）名称：泛华普益基金销售有限公司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（130）名称：济安财富（北京）基金销售有限公司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电话：010-65309516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（131）名称：博时财富基金销售有限公司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（132）名称：深圳前海微众银行股份有限公司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（133）名称：中信期货有限公司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电话：010-60833754</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（134）名称：中国人寿保险股份有限公司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的场内销售机构是指由中国证监会核准的具有开放式基金销售资格，并经上海证券交易所和中国证券登记结算有限责任公司认可的上海证券交易所会员（以下简称“有资格的上证所会员”），名单详见上海证券交易所网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传真：（021）31358600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2557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05C" w:rsidRDefault="0025570F">
      <w:pPr>
        <w:pStyle w:val="1"/>
        <w:snapToGrid w:val="0"/>
        <w:spacing w:beforeLines="0" w:before="240" w:after="240"/>
        <w:rPr>
          <w:rFonts w:ascii="宋体" w:hAnsi="宋体"/>
          <w:szCs w:val="30"/>
        </w:rPr>
      </w:pPr>
      <w:bookmarkStart w:id="9" w:name="_Toc240548871"/>
      <w:r>
        <w:rPr>
          <w:rFonts w:ascii="Times New Roman" w:hAnsi="Times New Roman"/>
          <w:sz w:val="30"/>
        </w:rPr>
        <w:lastRenderedPageBreak/>
        <w:t>六、基金的历史沿革</w:t>
      </w:r>
      <w:bookmarkEnd w:id="9"/>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交银施罗德先进制造混合型证券投资基金由交银施罗德先进制造股票证券投资基金更名而成。</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先进制造股票证券投资基金经中国证监会证监许可[2011]639号文核准，自2011年5月23日起向社会公开募集，于2011年6月17日结束募集工作，并于2011年6月22日获得中国证监会的书面确认，《交银施罗德先进制造股票证券投资基金基金合同》自该日起生效。</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关于实施&lt;公开募集证券投资基金运作管理办法&gt;有关问题的规定》、《交银施罗德先进制造股票证券投资基金基金合同》及基金管理人于2015年8月5日发布的《交银施罗德基金管理有限公司关于旗下部分基金变更基金类别及修改基金名称并相应修改基金合同和托管协议的公告》，交银施罗德先进制造股票证券投资基金的基金类别自2015年8月8日变更为混合型基金，基金名称由“交银施罗德先进制造股票证券投资基金”修改为“交银施罗德先进制造混合型证券投资基金”。</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2018年2月13日至2018年3月19日交银施罗德先进制造混合型证券投资基金以通讯方式召开基金份额持有人大会，大会于2018年3月20日审议通过了《关于交银施罗德先进制造混合型证券投资基金调整投资范围及修改基金合同有关事项的议案》，内容包括交银施罗德先进制造混合型证券投资基金调整投资范围、投资策略、投资比例限制、业绩比较基准、估值方法及修改基金合同等事项，上述基金份额持有人大会决议事项自表决通过之日起生效。自2018年3月21日起，根据《关于交银施罗德先进制造混合型证券投资基金调整投资范围及修改基金合同有关事项的议案》修改而成的《交银施罗德先进制造混合型证券投资基金基金合同》生效。</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2021年12月21日至2022年1月20日交银施罗德先进制造混合型证券投资基金以通讯方式召开基金份额持有人大会，大会于2022年1月21日审议通过了《关于交银施罗德先进制造混合型证券投资基金调整投资范围及修改基金合同有关事项的议案》，内容包括在交银施罗德先进制造混合型证券投资基金的投资范围中增加港股通标的股票，相应调整投资策略、投资比例限制、业绩比较基准、估值方法等内容，并调整基金赎回费率、增加基金合同自动终止条款、增加C类基金份额、增加侧袋机制相关表述及修改基金合同其他条款等事项，上述基金份额持有人大会决议</w:t>
      </w:r>
      <w:r>
        <w:rPr>
          <w:rFonts w:ascii="宋体" w:hAnsi="宋体"/>
          <w:sz w:val="24"/>
        </w:rPr>
        <w:lastRenderedPageBreak/>
        <w:t>事项自表决通过之日起生效。自2022年1月24日起，根据《关于交银施罗德先进制造混合型证券投资基金调整投资范围及修改基金合同有关事项的议案》修改而成的《交银施罗德先进制造混合型证券投资基金基金合同》生效。</w:t>
      </w:r>
    </w:p>
    <w:p w:rsidR="00B439CC" w:rsidRDefault="002557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05C" w:rsidRDefault="0025570F">
      <w:pPr>
        <w:pStyle w:val="1"/>
        <w:snapToGrid w:val="0"/>
        <w:spacing w:beforeLines="0" w:before="240" w:after="240"/>
        <w:rPr>
          <w:rFonts w:ascii="宋体" w:hAnsi="宋体"/>
          <w:szCs w:val="30"/>
        </w:rPr>
      </w:pPr>
      <w:bookmarkStart w:id="10" w:name="_Toc240548872"/>
      <w:r>
        <w:rPr>
          <w:rFonts w:ascii="Times New Roman" w:hAnsi="Times New Roman"/>
          <w:sz w:val="30"/>
        </w:rPr>
        <w:lastRenderedPageBreak/>
        <w:t>七、基金的存续</w:t>
      </w:r>
      <w:bookmarkEnd w:id="10"/>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法律法规或监管机构另有规定时，从其规定。</w:t>
      </w:r>
    </w:p>
    <w:p w:rsidR="00B439CC" w:rsidRDefault="002557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05C" w:rsidRDefault="0025570F">
      <w:pPr>
        <w:pStyle w:val="1"/>
        <w:snapToGrid w:val="0"/>
        <w:spacing w:beforeLines="0" w:before="240" w:after="240"/>
        <w:rPr>
          <w:rFonts w:ascii="宋体" w:hAnsi="宋体"/>
          <w:szCs w:val="30"/>
        </w:rPr>
      </w:pPr>
      <w:bookmarkStart w:id="11" w:name="_Toc240548873"/>
      <w:r>
        <w:rPr>
          <w:rFonts w:ascii="Times New Roman" w:hAnsi="Times New Roman"/>
          <w:sz w:val="30"/>
        </w:rPr>
        <w:lastRenderedPageBreak/>
        <w:t>八、基金份额的申购与赎回</w:t>
      </w:r>
      <w:bookmarkEnd w:id="11"/>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投资者可通过下述场所按照规定的方式进行申购或赎回：</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本基金直销机构为基金管理人以及基金管理人的网上直销交易平台。</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个人投资者可以通过基金管理人网上直销交易平台办理开户、本基金A类基金份额和C类基金份额的申购、赎回、转换及定期定额投资等业务，具体交易细则请参阅基金管理人网站。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2、不通过上海证券交易所交易系统办理相关业务的场外销售机构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本基金的场外销售机构请见本招募说明书“五、相关服务机构”章节或拨打基金管理人客户服务电话进行咨询。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3、通过上海证券交易所交易系统办理相关业务的上海证券交易所会员单位，目前场内交易只支持A类前端基金份额的申购。具体名单详见上海证券交易所网站。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投资者可通过上述场所按照规定的方式进行申购或赎回。本基金管理人可根据情况变更或增减基金销售机构，并在管理人网站公示。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投资者在开放日申请办理基金份额的申购和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期货交易市场、证券/期货交易所交易时间变更或其他特殊情况，基金管理人将视情况对前述开放日及开放时间进行相应的调整，但应在实施日前依照《信息披露办法》的有关规定在规定媒介上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本基金A类基金份额已于2011年9月13日起开放申购、赎回业务。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本基金C类基金份额已于2022年1月24日起开放申购、赎回业务。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基金投资者在基金合同约定之外的日期和时间提出申购、赎回或转换申请且登记机构确认接受的，其基金份额申购、赎回价格为下一开放日基金份额申购、赎回的价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（三）申购和赎回的原则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1、“未知价”原则，即基金份额的申购与赎回价格以申请当日收市后计算的基金份额净值为基准进行计算；</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2、基金采用金额申购和份额赎回的原则，即申购以金额申请，赎回以份额申请；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赎回时，除指定赎回外，基金管理人按“先进先出”的原则，对该持有人账户在该销售机构托管的基金份额进行处理，即注册登记确认日期在先的基金份额先赎回，注册登记确认日期在后的基金份额后赎回，以确定被赎回基金份额的持有期限和所适用的赎回费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4、当日的申购与赎回申请可以在基金管理人规定的时间以内撤销，但申请经登记机构受理的不得撤销；</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5、基金管理人在不损害基金份额持有人权益的情况下可更改上述原则，但最迟应在新的原则实施前依照《信息披露办法》的有关规定在规定媒介上公告。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场外申购时，场外销售机构每个账户单笔申购的最低金额为单笔1元，如果销</w:t>
      </w:r>
      <w:r>
        <w:rPr>
          <w:rFonts w:ascii="宋体" w:hAnsi="宋体"/>
          <w:sz w:val="24"/>
        </w:rPr>
        <w:lastRenderedPageBreak/>
        <w:t>售机构业务规则规定的最低单笔申购金额高于1元，以该销售机构的规定为准。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者不受首次申购最低金额的限制。通过基金管理人网上直销交易平台办理基金申购业务的不受直销机构单笔申购最低金额的限制，申购最低金额为单笔1元。本基金直销机构单笔申购最低金额可由基金管理人酌情调整。</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场内申购时，每笔申购金额最低为1000元人民币，同时每笔申购必须是100元的整数倍，并且单笔申购最高不超过99,999,900元。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场外赎回时，赎回的最低份额为1份基金份额，如果销售机构业务规则规定的最低单笔赎回份额高于1份，以该销售机构的规定为准；场内赎回时，赎回的最低份额为50 份基金份额，同时赎回份额必须是整数份额，并且单笔赎回最多不超过99,999,999份基金份额。</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每个工作日投资者在单个交易账户保留的本基金份额余额少于1份时，若当日该账户同时有份额减少类业务（如赎回、转换出等）被确认，则基金管理人有权将投资者在该账户保留的本基金份额一次性全部赎回。</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5、基金管理人可根据市场情况，在法律法规允许的情况下，调整上述规定的数量或比例限制，基金管理人必须在调整前依照《信息披露办法》的有关规定在规定媒介公告。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投资者必须根据基金销售机构规定的程序，在开放日的业务办理时间向基金销售机构提出申购或赎回的申请。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投资者在申购本基金时须按销售机构规定的方式备足申购资金，否则所提交的</w:t>
      </w:r>
      <w:r>
        <w:rPr>
          <w:rFonts w:ascii="宋体" w:hAnsi="宋体"/>
          <w:sz w:val="24"/>
        </w:rPr>
        <w:lastRenderedPageBreak/>
        <w:t>申购申请不成立。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投资者在提交赎回申请时，必须持有足够的基金份额余额，否则所提交的赎回申请不成立。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2、申购和赎回申请的确认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T 日规定时间受理的申请，正常情况下，注册登记机构在T+1 日内（包括该日）为投资者对该交易的有效性进行确认，基金投资者应在T+2日后（包括该日）及时到销售网点柜台或以销售机构规定的其他方式查询申请的确认情况，否则如因申请未得到注册登记机构的确认而产生的后果，由投资者自行承担。</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基金管理人可以在法律法规允许的范围内，依法对上述申购和赎回申请的确认时间进行调整，并必须在调整实施日前按照《信息披露办法》的有关规定在规定媒介上公告。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销售机构对申购、赎回申请的受理并不代表该申请一定成功，而仅代表销售机构确实接收到申购、赎回申请。申购、赎回申请的确认以注册登记机构的确认结果为准。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3、申购和赎回的款项支付</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采用全额缴款方式，若申购资金在规定时间内未全额到账则申购不成立。投资人全额交付申购款项，申购成立；注册登记机构确认基金份额时，申购生效。若申购不成立或无效，基金管理人或基金管理人指定的销售机构将基金投资者已缴付的申购款项本金退还给投资者。</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注册登记机构确认赎回时，赎回生效。基金投资者赎回申请成功后，基金管理人将通过注册登记机构及其相关销售机构在T＋7日（包括该日）内将赎回款项划往基金份额持有人账户。在发生巨额赎回或基金合同载明的其他暂停赎回或延缓支付赎回款项的情形时，款项的支付办法参照基金合同有关条款处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4、申购和赎回基金份额的份额注册登记</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（1）投资者T 日申购基金成功后，正常情况下，注册登记机构在T＋1 日为投资者增加权益并办理注册登记手续，投资者自T＋2 日（含该日）起有权赎回该部分基金份额。</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（2）投资者T 日赎回基金成功后，正常情况下，基金注册登记机构在T＋1 日为投资者扣除权益并办理相应的注册登记手续。</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（3）基金管理人可在法律法规允许的范围内，对上述注册登记办理时间进行调整，并最迟于开始实施前按照《信息披露办法》的有关规定在规定媒介上公告。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提供两种申购费用的支付模式。投资者可以选择前端收费模式，即在申购时支付申购费用；也可以选择后端收费模式，即在赎回时才支付相应的申购费用，该费用随基金份额的持有时间递减。场外申购可以采取前端收费模式和后端收费模式，场内申购目前只支持前端收费模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本基金A类基金份额的申购费用由申购A类基金份额的基金申购人承担，不列入基金财产，主要用于本基金的市场推广、销售、注册登记等各项费用。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投资者可以多次申购本基金，申购费率按每笔申购申请单独计算。</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8D105C">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类基金份额申购费率（前端）</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类基金份额前端申购费率</w:t>
            </w:r>
          </w:p>
        </w:tc>
      </w:tr>
      <w:tr w:rsidR="008D105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D105C" w:rsidRDefault="008D105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8D105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D105C" w:rsidRDefault="008D105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8D105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D105C" w:rsidRDefault="008D105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8D105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D105C" w:rsidRDefault="008D105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8D105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D105C" w:rsidRDefault="008D105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r w:rsidR="008D105C">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类基金份额申购费率（后端）</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持有时间</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类基金份额后端申购费率</w:t>
            </w:r>
          </w:p>
        </w:tc>
      </w:tr>
      <w:tr w:rsidR="008D105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D105C" w:rsidRDefault="008D105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年以内（含）</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1.8%</w:t>
            </w:r>
          </w:p>
        </w:tc>
      </w:tr>
      <w:tr w:rsidR="008D105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D105C" w:rsidRDefault="008D105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8D105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D105C" w:rsidRDefault="008D105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r>
              <w:rPr>
                <w:rFonts w:ascii="Times New Roman" w:hAnsi="Times New Roman"/>
                <w:color w:val="000000"/>
                <w:kern w:val="0"/>
                <w:sz w:val="25"/>
                <w:szCs w:val="24"/>
              </w:rPr>
              <w:t>年</w:t>
            </w:r>
            <w:r>
              <w:rPr>
                <w:rFonts w:ascii="Times New Roman" w:hAnsi="Times New Roman"/>
                <w:color w:val="000000"/>
                <w:kern w:val="0"/>
                <w:sz w:val="25"/>
                <w:szCs w:val="24"/>
              </w:rPr>
              <w:t>—5</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8D105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D105C" w:rsidRDefault="008D105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本基金对通过基金管理人直销柜台申购本基金A类前端基金份额的养老金客户实施特定申购费率。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w:t>
      </w:r>
      <w:r>
        <w:rPr>
          <w:rFonts w:ascii="宋体" w:hAnsi="宋体"/>
          <w:sz w:val="24"/>
        </w:rPr>
        <w:lastRenderedPageBreak/>
        <w:t>保障基金、企业年金单一计划以及集合计划、企业年金理事会委托的特定客户资产管理计划、企业年金养老金产品。如将来出现经养老基金监管部门认可的新的养老基金类型，基金管理人可在招募说明书更新或发布临时公告将其纳入养老金客户范围。</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通过基金管理人直销柜台申购本基金A类前端基金份额的养老金客户特定申购费率如下表：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8D105C">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类基金份额特定申购费率（前端）</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类基金份额前端特定申购费率</w:t>
            </w:r>
          </w:p>
        </w:tc>
      </w:tr>
      <w:tr w:rsidR="008D105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D105C" w:rsidRDefault="008D105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0.60%</w:t>
            </w:r>
          </w:p>
        </w:tc>
      </w:tr>
      <w:tr w:rsidR="008D105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D105C" w:rsidRDefault="008D105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0.48%</w:t>
            </w:r>
          </w:p>
        </w:tc>
      </w:tr>
      <w:tr w:rsidR="008D105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D105C" w:rsidRDefault="008D105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8D105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D105C" w:rsidRDefault="008D105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0.20%</w:t>
            </w:r>
          </w:p>
        </w:tc>
      </w:tr>
      <w:tr w:rsidR="008D105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D105C" w:rsidRDefault="008D105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有关养老金客户实施特定申购费率的具体规定以及活动时间如有变化，敬请投资人留意基金管理人发布的相关公告。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8D105C">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类基金份额赎回费率</w:t>
            </w:r>
          </w:p>
        </w:tc>
      </w:tr>
      <w:tr w:rsidR="008D105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D105C" w:rsidRDefault="008D105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8D105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D105C" w:rsidRDefault="008D105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8D105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D105C" w:rsidRDefault="008D105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—6</w:t>
            </w:r>
            <w:r>
              <w:rPr>
                <w:rFonts w:ascii="Times New Roman" w:hAnsi="Times New Roman"/>
                <w:color w:val="000000"/>
                <w:kern w:val="0"/>
                <w:sz w:val="25"/>
                <w:szCs w:val="24"/>
              </w:rPr>
              <w:t>个月</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8D105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D105C" w:rsidRDefault="008D105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r>
              <w:rPr>
                <w:rFonts w:ascii="Times New Roman" w:hAnsi="Times New Roman"/>
                <w:color w:val="000000"/>
                <w:kern w:val="0"/>
                <w:sz w:val="25"/>
                <w:szCs w:val="24"/>
              </w:rPr>
              <w:t>个月以上（含）</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用由赎回A类基金份额的基金份额持有人承担，在基金份额持有人赎回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上述“月”指的是30个自然日。未归入基金财产的部分用于支付登记费和其他必要的手续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8D105C">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类基金份额赎回费率</w:t>
            </w:r>
          </w:p>
        </w:tc>
      </w:tr>
      <w:tr w:rsidR="008D105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D105C" w:rsidRDefault="008D105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8D105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D105C" w:rsidRDefault="008D105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8D105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D105C" w:rsidRDefault="008D105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5、当发生大额申购或赎回情形时，基金管理人可以采用摆动定价机制以确保基金估值的公平性。具体处理原则与操作规范遵循相关法律法规以及监管部门、自律规则的规定。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份额余额的处理方式：申购A类基金份额或C类基金份额的有效份额为按实际确认的申购金额在扣除相应的费用（如有）后，以当日该类基金份额的基金份额净值为基准计算，场外申购份额计算结果保留到小数点后2位，小数点后两位以后的部分四舍五入，由此产生的误差计入基金财产。场内申购有效份额的计算截位保留到整数位，剩余部分折回金额返还投资者，折回金额的计算保留到小数点后两位，小数点两位以后的部分四舍五入，由此产生的误差计入基金财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的处理方式：赎回金额为按实际确认的A类基金份额和C类基金份额有效赎回份额乘以当日基金份额净值并扣除相应的费用（如有），赎回金额计算结果保留到小数点后2位，小数点后两位以后的部分四舍五入，由此产生的误差计入基金财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（1）A类基金份额的申购</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场外申购A类基金份额可以采取前端收费模式和后端收费模式，场内申购A类基金份额目前只支持前端收费模式。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场内申购金额的有效份额保留到整数位，剩余部分对应申购资金返还投资者。</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例一：某投资者投资40,000元申购本基金A类基金份额，假设申购当日A类基金份额净值为1.0400元，如果其选择前端收费方式，申购费率为1.5%，则其可得到的申购份额为：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申购份额=（40,000-591.13）/1.0400=37,893.14份</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如果投资者是场外申购，申购份额为37,893.14份。</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如果投资者是场内申购，则申购份额为37,893份，其余0.14份对应金额返回给投资者。</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申购份额＝申购总金额/T日A类基金份额净值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当投资者提出赎回时，后端认购费用的计算方法为：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后端申购费用＝赎回份额×申购日基金份额净值×后端申购费率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例二：某投资者投资40,000元申购本基金A类基金份额，假设申购当日A类基金份额净值为1.0400元，如果其选择后端收费方式，则其可得到的申购份额为：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 ＝ 40,000 / 1.0400 ＝ 38,461.54份</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即：投资者投资40,000元申购本基金A类基金份额，假设申购当日A类基金份额净值为1.0400元，则可得到38,461.54份A类基金份额，但其在赎回时需根据其持有时间按对应的后端申购费率交纳后端申购费用。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例三：某投资者投资40,000元申购本基金的C类基金份额，假设申购当日C类基金份额净值为1.0400元，则其可得到的申购份额为：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申购份额＝40,000/1.0400＝38,461.54份</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即：投资者投资40,000元申购本基金的C类基金份额，假设申购当日C类基金份额净值为1.0400元，则其可得到38,461.54份C类基金份额。</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赎回金额为按实际确认的有效赎回份额乘以当日该类基金份额净值并扣除相应的费用，赎回金额单位为元，计算结果保留到小数点后两位，第三位四舍五入。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1）如果投资者在申购A类基金份额时选择交纳前端申购费用，则赎回金额的计算方法如下：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例四：某投资者赎回通过前端申购持有的10,000份A类基金份额，持有期限为30日，对应的赎回费率为0.5%，假设赎回当日A类基金份额净值是1.0160元，则其可得到的赎回金额为：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即：投资者赎回本基金10,000份A类基金份额，假设赎回当日A类基金份额净值是1.0160元，则其可得到的赎回金额为10,109.20元。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2）如果投资者在申购A类基金份额时选择交纳后端申购费用，则赎回金额的计算方法如下：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赎回总额＝赎回份额×T日A类基金份额净值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后端申购费用＝赎回份额×申购日A类基金份额净值×后端申购费率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赎回费用＝赎回总额×赎回费率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赎回金额＝赎回总额－后端申购费用－赎回费用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通过后端申购持有的10,000份A类基金份额，持有期限为30日，对应的后端申购费率是1.8%，赎回费率为0.5%，假设赎回当日A类基金份额净值是1.0160元，申购时的A类基金份额净值为1.0100元，则其可得到的赎回金额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赎回总额=10,000×1.0160=10,160元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后端申购费用=10,000×1.0100×1.8%=181.80元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赎回费用=10,160×0.5%=50.80元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赎回金额=10,160-181.80-50.80=9,927.40元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A类基金份额，对应的赎回费率为0.5%，假设赎回当日A类基金份额净值是1.0160元，投资者对应的后端申购费率是1.8%，申购时的A类基金份额净值为1.0100元，则其可得到的赎回金额为9,927.40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例六：某投资者赎回持有的10,000份C类基金份额，假设持有时间为20日，对应的赎回费率为0.5%，假设赎回当日C类基金份额净值是1.0160元，则其可得到的赎回金额为：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即：投资者赎回本基金10,000份C类基金份额，假设持有时间为20日，对应的赎回费率为0.5%，假设赎回当日C类基金份额净值是1.0160元，则其可得到的赎回金额为10,109.20元。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w:t>
      </w:r>
      <w:r>
        <w:rPr>
          <w:rFonts w:ascii="宋体" w:hAnsi="宋体"/>
          <w:sz w:val="24"/>
        </w:rPr>
        <w:lastRenderedPageBreak/>
        <w:t>总数</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公告。遇特殊情况，经中国证监会同意，可以适当延迟计算或公告。本基金A类基金份额和C类基金份额的份额净值的计算，均保留到小数点后4位，小数点后第5位四舍五入，由此产生的收益或损失由基金财产承担。</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（八）拒绝或暂停申购的情形及处理方式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发生下列情况时，基金管理人可拒绝或暂停接受基金投资者的申购申请：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2、证券/期货交易所交易时间非正常停市或港股通临时停市，导致基金管理人无法计算当日基金资产净值；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3、发生基金合同规定的暂停基金资产估值情况；</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4、基金资产规模过大，使基金管理人无法找到合适的投资品种，或基金管理人认为会损害已有基金份额持有人利益的其他情形；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5、基金管理人认为会有损于现有基金份额持有人利益的某笔申购；</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6、基金管理人接受某笔或者某些申购申请有可能导致单一投资者持有基金份额的比例超过50%，或者变相规避50%集中度的。出现上述情形时，基金管理人有权将上述申购申请全部或部分确认失败；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7、港股通交易每日额度不足。</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前一估值日基金资产净值50%以上的资产出现无可参考的活跃市场价格且采用估值技术仍导致公允价值存在重大不确定性时，经与基金托管人协商确认后，基金管理人应当暂停基金估值，并采取暂停接受基金申购申请的措施。</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除第5、6项以外的暂停申购情形之一且基金管理人决定暂停接受投资人的申购申请时，基金管理人应当根据有关规定在规定媒介上刊登暂停申购公告。如果基金投资者的申购申请被拒绝，被拒绝的申购款项将退还给投资者。在暂停申购的情况消除时，基金管理人应及时恢复申购业务的办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（九）暂停赎回或者延缓支付赎回款项的情形及处理方式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发生下列情形时，基金管理人可暂停接受基金投资者的赎回申请或延缓支付赎回款项：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2、证券/期货交易所交易时间非正常停市或港股通临时停市，导致基金管理人无法计算当日基金资产净值；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3、连续两个或两个以上开放日发生巨额赎回；</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4、发生基金合同规定的暂停基金资产估值情况；</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基金估值，并采取延缓支付赎回款项或暂停接受基金赎回申请的措施。</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6、法律法规规定、中国证监会认定或基金合同约定的其他情形。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及时报中国证监会备案，已成功确认的赎回申请，基金管理人应足额支付；如暂时不能足额支付，可延期支付。</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上述第3项所述情形，按基金合同的相关条款处理。投资者在申请赎回时可事先选择将当日可能未获受理部分予以撤销。暂停赎回或延缓支付款项的场内处理，按照上海证券交易所及中国证券登记结算有限责任公司的有关规定办理。在暂停赎回的情况消除时，基金管理人应及时恢复赎回业务的办理并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工作日的基金总份额的10%，即认为是发生了巨额赎回。</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（1）巨额赎回的场外处理方式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1）全额赎回：当基金管理人认为有能力支付基金投资者的赎回申请时，按正常赎回程序执行。</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基金投资者的赎回申请有困难或认为支付投资者的赎回申请而进行的财产变现可能会对基金资产净值造成较大波动时，基金管理人在当日接受赎回比例不低于上一工作日基金总份额的10%的前提</w:t>
      </w:r>
      <w:r>
        <w:rPr>
          <w:rFonts w:ascii="宋体" w:hAnsi="宋体"/>
          <w:sz w:val="24"/>
        </w:rPr>
        <w:lastRenderedPageBreak/>
        <w:t>下，对其余赎回申请延期办理。对于当日的赎回申请，应当按单个账户赎回申请量占赎回申请总量的比例，确定当日受理的赎回份额；基金投资者未能赎回部分，投资者在提交赎回申请时可以选择延期赎回或取消赎回。选择延期赎回的，将自动转入下一个开放日继续赎回，直到全部赎回为止；选择取消赎回的，当日未获赎回的部分申请将被撤销。延期的赎回申请与下一开放日赎回申请一并处理，无优先权并以下一开放日的基金份额净值为基础计算赎回金额，并以此类推，直到全部赎回为止。如基金投资者在提交赎回申请时未作明确选择，投资者未能赎回部分作自动延期赎回处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（2）巨额赎回的场内处理方式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巨额赎回业务的场内处理，按照上海证券交易所及中国证券登记结算有限责任公司的有关规定办理。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当发生巨额赎回并延期赎回时，基金管理人应当通过邮寄、传真、刊登公告或者通知基金销售机构代为告知等方式在3个交易日内通知基金份额持有人，说明有关处理方法，并在2日内在规定媒介上刊登公告。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连续2日以上（含本数）发生巨额赎回，如基金管理人认为有必要，可暂停接受基金的赎回申请；已经确认成功的赎回申请可以延缓支付赎回款项，但不得超过20个工作日，并应当在规定媒介上进行公告。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2、暂停结束，基金重新开放申购或赎回时，基金管理人应依照《信息披露管理办法》的有关规定，在规定媒介上刊登基金重新开放申购或赎回公告，并公告最近1个工作日各类基金份额的基金份额净值。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（十二）转托管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本基金的份额采用分系统登记的原则。场外申购的基金份额登记在注册登记系统基金份额持有人开放式基金账户下；场内申购的基金份额登记在证券登记结算系统基金份额持有人上海证券账户下。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1、系统内转托管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系统内转托管是指基金份额持有人将持有的基金份额在注册登记系统内不同销售机构之间或证券登记结算系统内不同会员单位之间进行转登记的行为。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2、跨系统转托管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（1）跨系统转托管是指基金份额持有人将持有的基金份额在注册登记系统和证券登记结算系统之间进行转登记的行为。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（2）本基金跨系统转托管的具体业务按照中国证券登记结算有限责任公司的相关规定办理。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基金管理人、注册登记机构、办理转托管的销售机构因技术系统性能限制或其它合理原因，可以暂停该业务或者拒绝基金份额持有人的转托管申请。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（十三）定期定额投资计划</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2011年9月7日刊登公告自2011年9月13日起开通A类基金份额的定期定额投资计划业务，本基金2022年2月23日刊登公告自2022年2月28日起开通C类基金份额的定期定额投资计划业务，具体开通销售机构名单和业务规则参见相关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（十四）基金的非交易过户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指注册登记机构受理继承、捐赠、司法强制执行和经注册登记机构认可的其它情况而产生的非交易过户。无论在上述何种情况下，接受划转的主体必须是依法可以持有本基金基金份额的投资者。</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w:t>
      </w:r>
      <w:r>
        <w:rPr>
          <w:rFonts w:ascii="宋体" w:hAnsi="宋体"/>
          <w:sz w:val="24"/>
        </w:rPr>
        <w:lastRenderedPageBreak/>
        <w:t>额强制划转给其他自然人、法人或其他组织。办理非交易过户必须提供注册登记机构要求提供的相关资料，对于符合条件的非交易过户申请按注册登记机构的有关规定办理，并按注册登记机构规定的标准收费。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（十六）实施侧袋机制期间本基金的申购与赎回</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本基金实施侧袋机制的，本基金的申购和赎回安排详见招募说明书“侧袋机制”部分的规定或相关公告。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（十七）其他业务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2557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05C" w:rsidRDefault="0025570F">
      <w:pPr>
        <w:pStyle w:val="1"/>
        <w:snapToGrid w:val="0"/>
        <w:spacing w:beforeLines="0" w:before="240" w:after="240"/>
        <w:rPr>
          <w:rFonts w:ascii="宋体" w:hAnsi="宋体"/>
          <w:szCs w:val="30"/>
        </w:rPr>
      </w:pPr>
      <w:bookmarkStart w:id="12" w:name="_Toc240548874"/>
      <w:r>
        <w:rPr>
          <w:rFonts w:ascii="Times New Roman" w:hAnsi="Times New Roman"/>
          <w:sz w:val="30"/>
        </w:rPr>
        <w:lastRenderedPageBreak/>
        <w:t>九、基金的转换</w:t>
      </w:r>
      <w:bookmarkEnd w:id="12"/>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基金转换是指开放式基金份额持有人将其持有某只基金的部分或全部份额转换为该基金其他份额（如有）或同一基金管理人管理的另一只开放式基金份额。基金转换只能在同一销售机构进行。</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2011年9月7日刊登公告自2011年9月13日起开放A类基金份额的日常转换业务，本基金2022年2月23日刊登公告自2022年2月28日起开放C类基金份额的日常转换业务。本基金2025年10月23日刊登公告自2025年10月23日起开放开通同一基金不同类别基金份额转换业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（四）基金转换的数额限制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转出基金的赎回费用及归入基金财产的比例按照各基金最新的更新招募说明书及相关公告规定的赎回费率和计费方式收取。</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w:t>
      </w:r>
      <w:r>
        <w:rPr>
          <w:rFonts w:ascii="宋体" w:hAnsi="宋体"/>
          <w:sz w:val="24"/>
        </w:rPr>
        <w:lastRenderedPageBreak/>
        <w:t>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6、基金管理人可以根据法律法规及基金合同的规定对上述收费方式和费率进行调整，并应于调整后的收费方式和费率在实施前依照《信息披露办法》的有关规定在中国证监会规定媒介上公告。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w:t>
      </w:r>
      <w:r>
        <w:rPr>
          <w:rFonts w:ascii="宋体" w:hAnsi="宋体"/>
          <w:sz w:val="24"/>
        </w:rPr>
        <w:lastRenderedPageBreak/>
        <w:t>五入，误差部分归基金财产。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w:t>
      </w:r>
      <w:r>
        <w:rPr>
          <w:rFonts w:ascii="宋体" w:hAnsi="宋体"/>
          <w:sz w:val="24"/>
        </w:rPr>
        <w:lastRenderedPageBreak/>
        <w:t>元，交银货币的基金份额净值为1.00元。若该投资者将100,000份交银货币A级基金份额转换为交银增利A类基金份额，则转入确认的交银增利A类基金份额为：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w:t>
      </w:r>
      <w:r>
        <w:rPr>
          <w:rFonts w:ascii="宋体" w:hAnsi="宋体"/>
          <w:sz w:val="24"/>
        </w:rPr>
        <w:lastRenderedPageBreak/>
        <w:t>一年半，转换申请当日交银先锋的A类基金份额净值为1.2500元，交银货币的基金份额净值为1.00元。若该投资者将100,000份交银先锋后端A类基金份额转换为交银货币，则转入交银货币的基金份额为：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w:t>
      </w:r>
      <w:r>
        <w:rPr>
          <w:rFonts w:ascii="宋体" w:hAnsi="宋体"/>
          <w:sz w:val="24"/>
        </w:rPr>
        <w:lastRenderedPageBreak/>
        <w:t>申购状态。</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货币市场基金、债券基金C类基金份额与其他基金之间的转换不受上述收费模式的限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前一工作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2557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05C" w:rsidRDefault="0025570F">
      <w:pPr>
        <w:pStyle w:val="1"/>
        <w:snapToGrid w:val="0"/>
        <w:spacing w:beforeLines="0" w:before="240" w:after="240"/>
        <w:rPr>
          <w:rFonts w:ascii="宋体" w:hAnsi="宋体"/>
          <w:szCs w:val="30"/>
        </w:rPr>
      </w:pPr>
      <w:bookmarkStart w:id="13" w:name="_Toc240548875"/>
      <w:r>
        <w:rPr>
          <w:rFonts w:ascii="Times New Roman" w:hAnsi="Times New Roman"/>
          <w:sz w:val="30"/>
        </w:rPr>
        <w:lastRenderedPageBreak/>
        <w:t>十、基金的投资</w:t>
      </w:r>
      <w:bookmarkEnd w:id="13"/>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 投资理念</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中国传统工业已经发展到一定程度，未来经济发展的动力源自新兴产业和装备升级。在“中国制造”向“中国智造”的战略升级过程中，本基金可以通过专业研究挖掘相关行业的投资机会。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（二）投资目标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本基金通过重点投资于与先进制造主题相关的优质企业，把握中国产业结构升级的投资机会，在控制风险并保持基金资产良好的流动性的前提下，力争实现基金资产的长期稳定增值。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（三）投资范围</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创业板、科创板以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货币市场工具、债券回购、同业存单、银行存款（含协议存款、定期存款及其他银行存款）、资产支持证券、股指期货以及法律法规或中国证监会允许基金投资的其他金融工具（但须符合中国证监会的相关规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如法律法规或监管机构以后允许本基金投资其他品种，基金管理人在履行适当程序后，可以将其纳入投资范围。</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（四）投资对象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50%-95%（其中投资于港股通标的股票的比例占股票资产的0%-50%），投资于先进制造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（五）业绩比较基准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本基金业绩比较基准：中证高端装备制造指数收益率×60%+中债-国债总财富（1-3年）指数收益率×25%+中证港股通综合指数（人民币）收益率×15%</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1、业绩比较基准设定的原因</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于基金投资范围以及预期投资的主要资产类别，本基金主要投资于A股股票、港股通标的股票、债券等资产，相应选取与之匹配的A股指数、港股指数与债券指数作为基准要素；同时基于基金投资股票资产（含存托凭证）占基金资产的比例为50%-95%（其中投资于港股通标的股票的比例占股票资产的0%-50%）、投资于先进制造主题相关证券的比例不低于非现金基金资产的80%，以及预期的资产配置比例，本基金将股票资产与债券资产所对应的基准要素权重分别设置为75%与25%，其中将股票资产中的A股股票与港股通标的股票所对应的基准要素权重分别设置为60%与15%。</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于基金投资目标、投资范围和投资策略，本基金的股票资产主要投向先进制造主题相关公司，并在先进制造主题相关领域中精选在公司治理、财务及管理品质上符合基本品质要求、估值具有吸引力的优质公司，从而力争在控制风险的基础上追求超越业绩比较基准的投资回报。综合考虑基准指数与产品定位、投资风格与主题库的匹配度，同时兼顾考虑基准指数的表征性、认可度，以及指数主题界定、市值覆盖、行业与个股分布等，本基金选取中证高端装备制造指数和中证港股通综合指数（人民币）分别作为A股股票和港股通标的股票部分的基准要素，具体情况如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高端装备制造指数从上市公司中，选取通信设备、电力设备、机械制造、航空航天与国防、电子、半导体、乘用车及零部件等行业中具有代表性的公司作为样本，以反映高端装备制造产业公司的整体表现，适合作为本基金A股股票部分的业绩比较基准要素。</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中证港股通综合指数（人民币）选取符合港股通资格的上市公司证券作为指数样本，以反映港股通范围内上市公司的整体表现，适合作为本基金港股通标的股票部分的业绩比较基准要素。</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于基金投资目标、投资范围和投资策略，本基金的债券资产采用全市场策略，主要通过类属配置、久期配置、个券选择等进行投资管理。综合考虑基准指数与产品定位和投资风格的匹配度，同时兼顾考虑基准指数的表征性、认可度，</w:t>
      </w:r>
      <w:r>
        <w:rPr>
          <w:rFonts w:ascii="宋体" w:hAnsi="宋体"/>
          <w:sz w:val="24"/>
        </w:rPr>
        <w:lastRenderedPageBreak/>
        <w:t>以及基准指数券种、久期、信用等级分布特征等，本基金选取中债-国债总财富（1-3年）指数作为债券部分的业绩比较基准要素。</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中债-国债总财富（1-3年）指数隶属于中债-国债总指数，该指数成份券由在境内公开发行且上市流通的记账式国债组成，成份券待偿期在1-3年（含1年），适合作为本基金债券部分的业绩比较基准要素。</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综上，本基金选取的业绩比较基准与基金投资目标、投资范围、投资策略、投资比例限制相匹配。</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2、业绩比较基准要素的基本信息</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中证高端装备制造指数由中证指数有限公司编制发布，指数代码为930599，指数具体信息详见中证指数有限公司网站，网址：www.csindex.com.cn。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中债-国债总财富（1-3年）指数由中债金融估值中心有限公司编制发布，指数代码为CBA00621，指数具体信息详见中国债券信息网，网址：www.chinabond.com.cn。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中证港股通综合指数（人民币）由中证指数有限公司编制发布，指数代码为930933，指数具体信息详见中证指数有限公司网站，网址：www.csindex.com.cn。</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3、业绩比较基准的计算方法</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收益率的计算方法以每日收益率为基础，以时间加权为计算原则。本基金先分别计算业绩比较基准中中证高端装备制造指数、中债-国债总财富（1-3年）指数、中证港股通综合指数（人民币）的每日收益率，再按照预设权重比例计算当日组合要素基准的日收益率，并连乘每日收益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4、管理投资偏离业绩比较基准的定性或定量方法</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对基金实际投资与业绩比较基准的偏离情况进行动态跟踪与监测评估，监测指标主要包括超额收益、信息比率、跟踪误差、股票配置偏离度、基准覆盖率等，以更好管理基金实际投资与业绩比较基准的偏离情况，保持主要配置先进制造主题的上市公司，从而力争在控制风险的基础上追求超越业绩比较基准的投资回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主动管理型基金，其业绩比较基准是表征产品风格、衡量产品业绩、约束投资行为的参考标准，并非本基金的跟踪标的，也不构成对产品收益的承诺。基金管理人在基金合同约定的投资范围、投资限制内享有充分的投资决策自主权，可根据投资策略、市场研判等综合因素，自主构建投资组合，包括酌情投资于业绩</w:t>
      </w:r>
      <w:r>
        <w:rPr>
          <w:rFonts w:ascii="宋体" w:hAnsi="宋体"/>
          <w:sz w:val="24"/>
        </w:rPr>
        <w:lastRenderedPageBreak/>
        <w:t>比较基准要素成份证券外的证券。本基金投资组合相对业绩比较基准要素成份证券和权重可能存在偏离。</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5、未来可能变更业绩比较基准的情况和程序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（2）调整业绩比较基准的要素权重、更换相同或相近特征的要素等，使新业绩比较基准代表性更强，且符合相关法律法规规定的；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（3）中国证监会认可的其他情形。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业绩比较基准变更涉及以下情形的，基金管理人应当按照规定履行变更注册、召开基金份额持有人大会等程序，法律法规、中国证监会另有规定的除外：</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（1）基金投资目标、投资范围、投资策略、投资比例等拟进行重大调整，并变更业绩比较基准的；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（2）其他对基金份额持有人利益产生重大实质性影响的情形。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（六）投资策略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本基金充分发挥基金管理人的研究优势，将严谨、规范化的选股方法与积极主动的投资风格相结合，自下而上挖掘与先进制造主题相关的上市公司投资机会，以谋求良好收益。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1、资产配置</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自上而下”的定性分析和定量分析相结合形成对不同资产市场表现的预测和判断，确定基金资产在沪深A股、港股、债券及货币市场工具等各类别资产间的分配比例，并随着各类证券风险收益特征的相对变化，动态调整组合中各类资产的比例，以规避或控制市场风险，提高基金收益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具体操作中，基金管理人采用经济周期理论下的资产配置模型，通过对宏观经济运行指标、利率和货币政策等相关因素的分析，对中国的宏观经济运行情况进行</w:t>
      </w:r>
      <w:r>
        <w:rPr>
          <w:rFonts w:ascii="宋体" w:hAnsi="宋体"/>
          <w:sz w:val="24"/>
        </w:rPr>
        <w:lastRenderedPageBreak/>
        <w:t>判断和预测，然后利用经济周期理论确定基金资产在各类别资产间的战略配置策略。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（1）先进制造主题的范畴</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所指的先进制造，是指在中国经济和制造行业转型升级的大背景下，立足我国国情和科技、产业基础，通过信息化与工业化的深度融合，运用先进的科技技术、材料工艺以及生产方式，推进制造行业生产过程智能化、自动化和制造领域的互联网化，全面提升企业研发、生产、管理和服务水平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本基金将“先进制造”主题聚焦于以下两方面：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是聚焦满足国家战略需求的先进制造业：考虑到中国所处的发展阶段和制造行业转型升级过程中的实际情况，基金管理人将在充分结合中国的实际国情的基础上，重点配置符合国家战略需求的先进制造业领域，例如核心基础零部件、先进基础工艺、关键基础材料等制造业基础产业领域，也包括根据战略性新兴产业的特征，持续跟踪国家相关政策，深度挖掘如与新一代信息技术、高端装备、新材料相关的制造业新兴产业领域；</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是聚焦制造行业生产过程智能化、自动化和制造领域的互联网化，包括具备深度感知、智慧决策、自动执行功能的高档数控机床、工业机器人、增材制造装备、农机装备等智能制造装备以及智能化生产线，同时包括基于互联网的个性化定制、众包设计、云制造等新型制造模式和基于消费需求动态感知的研发、制造和产业组织方式所产生的制造应用领域。</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如果随着先进制造范畴的变化及发展、政策或市场环境变化导致本基金对先进制造界定范围发生变动，本基金在履行适当程序后可调整上述界定标准。本基金由于上述原因调整界定范围应及时告知基金托管人，并在更新的招募说明书中进行公告。若因本基金界定先进制造主题的方法调整或者上市公司经营发生变化等原因导致本基金持有的先进制造主题相关证券的比例低于非现金基金资产的80%，本基金将在十个交易日之内进行调整。</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（2）股票选择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本基金综合运用交银施罗德股票研究分析方法和其它投资分析工具，充分发挥研究团队“自下而上”的主动选股能力，精选具有投资潜力的股票构建投资组合。具体分以下两个层次进行股票挑选：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1）品质筛选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筛选出在公司治理、财务及管理品质上符合基本品质要求的上市公司，构建备选股票池。主要筛选指标包括：</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盈利能力指标：如市盈率（P/E）、市现率（P/Cash Flow）、股价与每股自由现金流比率（P/FCF）、市销率（P/S）、股价与每股息税前利润比率（P/EBIT）等；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经营效率指标：如净资产收益率（ROE）、资产收益率（ROA）、经营资产回报率（Return on operating assets）等；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财务状况指标：如资产负债率（D/A）、流动比率等。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2）价值评估</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在公司备选股票池基础上，本基金将进一步通过对备选上市公司详实的案头分析和深入的实地调研，以定性与定量相结合的方法对公司价值进行综合评估，构建本基金风格池。具体从三方面进行系统分析：</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行业分析</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该部分主要通过对公司所处行业的基本面、主题投资机会、行业整合机会、行业市场表现以及行业的估值情况进行综合考察，把握影响公司所在行业的发展前景和整体投资机会。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公司质量评价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本基金对公司质量的评价主要包括企业财务状况、企业的成长动力以及公司治理、管理层评价等方面。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首先，通过深入的财务分析对公司状况及经营能力进行细致考察，探究企业竞争优势和经营绩效间的内在模式，寻找财务状况良好、信用评价高的企业，并为后续的估值判断提供基础（具体指标包括公司ROE和调整后ROE，ROE历史变化率和ROE预测变化率，营业利润/税前利润；利息保障倍数，经营现金流/净利润，折旧/资本支出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其次，本基金通过企业的全球化动力、产业结构优化动力、经济增长方式转变动力、区域协调发展动力和制度变革动力等多个角度的分析，进一步考察企业的可持续增长能力。</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此外，本基金在考察上市公司是否具有持续投资价值的重要方面，特别注重公司治理和管理层评价，通过研究员与公司的直接接触和实地调研加强对公司的深入</w:t>
      </w:r>
      <w:r>
        <w:rPr>
          <w:rFonts w:ascii="宋体" w:hAnsi="宋体"/>
          <w:sz w:val="24"/>
        </w:rPr>
        <w:lastRenderedPageBreak/>
        <w:t>了解，从而确定公司是否有意愿持续为股东创造价值，董事会和管理层是否有良好的战略执行能力等。其中公司治理主要从公司的信息披露、重要股东状况、激励约束机制等方面进行综合考察。管理层评价则注重管理层素质、战略思维、执行能力、过往经营业绩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估值水平</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如PE、PB、EV/EBITDA、DCF模型等）对公司的内在价值进行评估，筛选出估值具有吸引力的公司作为投资目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最后，本基金根据对个股价值的评估和市场机会的判断构建股票组合。</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（3）存托凭证的投资策略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（4）港股通标的股票投资策略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本基金可通过内地与香港股票市场交易互联互通机制投资于香港股票市场。本基金优先将基本面健康、业绩向上弹性较大、具有估值优势的港股纳入本基金的股票投资组合。</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本基金可根据投资策略需要或不同配置地市场环境的变化，选择将部分基金资产投资于港股或选择不将基金资产投资于港股，基金资产并非必然投资港股。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以期获取债券市场的长期稳定收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4、可转换债券与可交换公司债券投资策略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本基金对于可转换债券与可交换公司债券股性的研究将完全依托于公司投研团队对标的股票的研究，在此基础上利用可转换债券与可交换公司债券定价模型，充</w:t>
      </w:r>
      <w:r>
        <w:rPr>
          <w:rFonts w:ascii="宋体" w:hAnsi="宋体"/>
          <w:sz w:val="24"/>
        </w:rPr>
        <w:lastRenderedPageBreak/>
        <w:t>分考虑转债发行后目标转债标的股票股价波动率可能出现的变化，对目标转债的股性进行合理定价。通过对标的转债股性与债性的合理定价，力求寻找出被市场低估的品种，构建本基金可转换债券与可交换公司债券的投资组合。</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5、资产支持证券投资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资产支持证券将综合运用久期管理、收益率曲线、个券选择和把握市场交易机会等积极策略，在严格控制风险的情况下，通过信用研究和流动性管理，选择风险调整后的收益高的品种进行投资，以期获得长期稳定收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6、股指期货投资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（七）投资组合限制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本基金的投资组合应遵循以下限制：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（1）股票资产（含存托凭证）占基金资产的50%-95%（其中投资于港股通标的股票的比例占股票资产的0%-50%），投资于先进制造主题相关证券的比例不低于非现金基金资产的80%；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（2）每个交易日日终在扣除股指期货合约需缴纳的交易保证金后，保持不低于基金资产净值5%的现金或者到期日在一年以内的政府债券，其中现金不包括结算备付金、存出保证金、应收申购款等；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（7）本基金与私募类证券资管产品及中国证监会认定的其他主体为交易对手开展逆回购交易的，可接受质押品的资质要求应当与基金合同约定的投资范围保持一致；</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（14）本基金进入全国银行间同业市场进行债券回购的资金余额不得超过基金资产净值的40%；本基金在全国银行间同业市场中的债券回购最长期限为1年，债券回购到期后不得展期；</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（15）当本基金投资股指期货时，则：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（16）本基金的基金资产总值不得超过基金资产净值的140%；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（17）本基金投资存托凭证的比例限制依照境内上市交易的股票执行；</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项、第（6）项、第（7）项、第（12）项以外，因证券、期货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约定。在上述期间内，本基金的投资范围、投资策略应当符合基金合同的约定。基金托管人对基金的投资的监督与检查自基金合同生效之日起开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法律法规对上述投资组合比例限制进行变更的，以变更后的规定为准。法律法规或监管部门取消上述限制，如适用于本基金，则本基金投资不再受相关限制。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（八）禁止行为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7、法律、行政法规和中国证监会规定禁止的其他活动。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若法律、行政法规或监管部门取消上述禁止性规定，如适用于本基金，基金管理人在履行适当程序后，本基金投资可不受上述规定限制。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w:t>
      </w:r>
      <w:r w:rsidRPr="00BB248E">
        <w:rPr>
          <w:rFonts w:ascii="宋体" w:hAnsi="宋体" w:hint="eastAsia"/>
          <w:kern w:val="0"/>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（十）风险收益特征</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本基金是一只混合型基金，其预期风险和预期收益高于债券型基金和货币市场基金，低于股票型基金。</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（十一）基金管理人代表基金行使股东及债权人权利的处理原则及方法</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1、基金管理人按照国家有关规定代表基金独立行使股东和债权人权利，保护基金份额持有人的利益；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（十二）侧袋机制的实施和投资运作安排</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侧袋账户的实施条件、实施程序、运作安排、投资安排、特定资产的处置变现和支付等对投资者权益有重大影响的事项详见招募说明书“侧袋机制”部分的规定。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（十三）基金投资组合报告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本基金托管人中国农业银行根据本基金合同规定，于2026年04月20日复核了本报告中的财务指标、净值表现和投资组合报告等内容，保证复核内容不存在虚假记载、误导性陈述或者重大遗漏。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本报告期为2026年01月01日起至03月31日止。本报告财务资料未经审计师审计。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2,990,594,805.25</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76.77</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2,990,594,805.25</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76.77</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232,075,860.27</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5.96</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232,075,860.27</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5.96</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667,492,056.86</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17.13</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5,433,684.59</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3,895,596,406.97</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注：本基金本报告期末通过港股通机制投资香港股票的公允价值为389,675,591.29元，占基金资产净值比例为10.12%。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80,703,396.00</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2.10</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226,126,158.01</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5.87</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2,240,924,783.72</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58.20</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22,167,507.51</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0.58</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21,739.80</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30,915,225.40</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0.80</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60,403.52</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2,600,919,213.96</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67.55</w:t>
            </w:r>
          </w:p>
        </w:tc>
      </w:tr>
    </w:tbl>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tbl>
      <w:tblPr>
        <w:tblW w:w="5000" w:type="pct"/>
        <w:tblCellMar>
          <w:left w:w="0" w:type="dxa"/>
          <w:right w:w="0" w:type="dxa"/>
        </w:tblCellMar>
        <w:tblLook w:val="0000" w:firstRow="0" w:lastRow="0" w:firstColumn="0" w:lastColumn="0" w:noHBand="0" w:noVBand="0"/>
      </w:tblPr>
      <w:tblGrid>
        <w:gridCol w:w="1547"/>
        <w:gridCol w:w="4645"/>
        <w:gridCol w:w="2478"/>
      </w:tblGrid>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原材料</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152,461,077.92</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3.96</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通信服务</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125,409,380.31</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3.26</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工业</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48,268,538.11</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1.25</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能源</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41,385,632.40</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1.07</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21,909,018.02</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0.57</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医药卫生</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208,941.29</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信息技术</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31,650.10</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1,353.14</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389,675,591.29</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10.12</w:t>
            </w:r>
          </w:p>
        </w:tc>
      </w:tr>
    </w:tbl>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注：本报告采用中证CICS一级分类标准编制。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605117</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德业股份</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1,329,034</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174,714,809.64</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4.54</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300502</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新易盛</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370,496</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164,070,448.64</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4.26</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688002</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睿创微纳</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1,602,981</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162,221,677.20</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4.21</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300677</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英科医疗</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2,683,691</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157,478,987.88</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4.09</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300308</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中际旭创</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275,783</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157,033,598.03</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4.08</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02259 HK</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紫金黄金国际</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991,800</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152,461,077.92</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3.96</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000975</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山金国际</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4,916,200</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145,912,816.00</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3.79</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00700 HK</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腾讯控股</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293,400</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125,383,844.52</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3.26</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603986</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兆易创新</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508,300</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121,026,230.00</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3.14</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600499</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科达制造</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7,186,900</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114,199,841.00</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2.97</w:t>
            </w:r>
          </w:p>
        </w:tc>
      </w:tr>
    </w:tbl>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232,075,860.27</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6.03</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232,075,860.27</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6.03</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232,075,860.27</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6.03</w:t>
            </w:r>
          </w:p>
        </w:tc>
      </w:tr>
    </w:tbl>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250431</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农发</w:t>
            </w:r>
            <w:r>
              <w:rPr>
                <w:rFonts w:ascii="Times New Roman" w:hAnsi="Times New Roman"/>
                <w:color w:val="000000"/>
                <w:kern w:val="0"/>
                <w:sz w:val="25"/>
                <w:szCs w:val="24"/>
              </w:rPr>
              <w:t>31</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2,300,000</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232,075,860.27</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6.03</w:t>
            </w:r>
          </w:p>
        </w:tc>
      </w:tr>
    </w:tbl>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7、报告期末按公允价值占基金资产净值比例大小排序的前五名贵金属投资明细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2025年08月01日,国家金融监督管理总局公示行政处罚决定书,给予中国农业发展银行1020万元人民币的行政处罚。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基金投资的前十名股票中，没有超出基金合同规定的备选股票库之外的股票。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1,679,089.64</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3,754,594.95</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right"/>
              <w:rPr>
                <w:rFonts w:ascii="宋体" w:hAnsi="宋体"/>
                <w:color w:val="000000"/>
                <w:kern w:val="0"/>
                <w:sz w:val="25"/>
                <w:szCs w:val="24"/>
              </w:rPr>
            </w:pPr>
            <w:r>
              <w:rPr>
                <w:rFonts w:ascii="Times New Roman" w:hAnsi="Times New Roman"/>
                <w:color w:val="000000"/>
                <w:kern w:val="0"/>
                <w:sz w:val="25"/>
                <w:szCs w:val="24"/>
              </w:rPr>
              <w:t>5,433,684.59</w:t>
            </w:r>
          </w:p>
        </w:tc>
      </w:tr>
    </w:tbl>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2557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05C" w:rsidRDefault="0025570F">
      <w:pPr>
        <w:pStyle w:val="1"/>
        <w:snapToGrid w:val="0"/>
        <w:spacing w:beforeLines="0" w:before="240" w:after="240"/>
        <w:rPr>
          <w:rFonts w:ascii="宋体" w:hAnsi="宋体"/>
          <w:szCs w:val="30"/>
        </w:rPr>
      </w:pPr>
      <w:bookmarkStart w:id="14" w:name="_Toc240548876"/>
      <w:r>
        <w:rPr>
          <w:rFonts w:ascii="Times New Roman" w:hAnsi="Times New Roman"/>
          <w:sz w:val="30"/>
        </w:rPr>
        <w:lastRenderedPageBreak/>
        <w:t>十一、基金的业绩</w:t>
      </w:r>
      <w:bookmarkEnd w:id="14"/>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（1）交银先进制造混合A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8D105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8D105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5.89%</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1.23%</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-1.93%</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7.82%</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r>
      <w:tr w:rsidR="008D105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47.83%</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1.24%</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11.43%</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36.40%</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r>
      <w:tr w:rsidR="008D105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5.42%</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1.67%</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12.74%</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-7.32%</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0.90%</w:t>
            </w:r>
          </w:p>
        </w:tc>
      </w:tr>
      <w:tr w:rsidR="008D105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-24.11%</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0.95%</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-5.09%</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-19.02%</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r>
      <w:tr w:rsidR="008D105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-14.70%</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1.36%</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-12.04%</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0.78%</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-2.66%</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r>
      <w:tr w:rsidR="008D105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37.48%</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1.28%</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38.24%</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r>
      <w:tr w:rsidR="008D105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75.57%</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1.53%</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17.63%</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57.94%</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r>
      <w:tr w:rsidR="008D105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60.01%</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1.25%</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23.09%</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0.74%</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36.92%</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r>
      <w:tr w:rsidR="008D105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-20.09%</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1.37%</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-15.15%</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0.88%</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-4.94%</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r>
      <w:tr w:rsidR="008D105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15.69%</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-4.28%</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19.97%</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r>
      <w:tr w:rsidR="008D105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2.59%</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1.71%</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-12.87%</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1.46%</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15.46%</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r>
      <w:tr w:rsidR="008D105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100.68%</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2.77%</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46.73%</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2.13%</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53.95%</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r>
      <w:tr w:rsidR="008D105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14.05%</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1.08%</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28.79%</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-14.74%</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r w:rsidR="008D105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2013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33.76%</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20.83%</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12.93%</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rsidR="008D105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2012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3.11%</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-2.54%</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1.13%</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5.65%</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8D105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2011</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-16.40%</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-17.21%</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1.20%</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0.81%</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r>
    </w:tbl>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（2）交银先进制造混合C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8D105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阶段</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8D105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5.78%</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1.23%</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-1.93%</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7.71%</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r>
      <w:tr w:rsidR="008D105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47.23%</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1.24%</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11.43%</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35.80%</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r>
      <w:tr w:rsidR="008D105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1.67%</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12.74%</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-7.74%</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0.90%</w:t>
            </w:r>
          </w:p>
        </w:tc>
      </w:tr>
      <w:tr w:rsidR="008D105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-24.43%</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0.95%</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-5.09%</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-19.34%</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r>
      <w:tr w:rsidR="008D105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r>
              <w:rPr>
                <w:rFonts w:ascii="Times New Roman" w:hAnsi="Times New Roman"/>
                <w:color w:val="000000"/>
                <w:kern w:val="0"/>
                <w:sz w:val="25"/>
                <w:szCs w:val="24"/>
              </w:rPr>
              <w:t>2022</w:t>
            </w:r>
            <w:r>
              <w:rPr>
                <w:rFonts w:ascii="Times New Roman" w:hAnsi="Times New Roman"/>
                <w:color w:val="000000"/>
                <w:kern w:val="0"/>
                <w:sz w:val="25"/>
                <w:szCs w:val="24"/>
              </w:rPr>
              <w:t>年</w:t>
            </w:r>
            <w:r>
              <w:rPr>
                <w:rFonts w:ascii="Times New Roman" w:hAnsi="Times New Roman"/>
                <w:color w:val="000000"/>
                <w:kern w:val="0"/>
                <w:sz w:val="25"/>
                <w:szCs w:val="24"/>
              </w:rPr>
              <w:t>1</w:t>
            </w:r>
            <w:r>
              <w:rPr>
                <w:rFonts w:ascii="Times New Roman" w:hAnsi="Times New Roman"/>
                <w:color w:val="000000"/>
                <w:kern w:val="0"/>
                <w:sz w:val="25"/>
                <w:szCs w:val="24"/>
              </w:rPr>
              <w:t>月</w:t>
            </w:r>
            <w:r>
              <w:rPr>
                <w:rFonts w:ascii="Times New Roman" w:hAnsi="Times New Roman"/>
                <w:color w:val="000000"/>
                <w:kern w:val="0"/>
                <w:sz w:val="25"/>
                <w:szCs w:val="24"/>
              </w:rPr>
              <w:t>25</w:t>
            </w:r>
            <w:r>
              <w:rPr>
                <w:rFonts w:ascii="Times New Roman" w:hAnsi="Times New Roman"/>
                <w:color w:val="000000"/>
                <w:kern w:val="0"/>
                <w:sz w:val="25"/>
                <w:szCs w:val="24"/>
              </w:rPr>
              <w:t>日至</w:t>
            </w:r>
            <w:r>
              <w:rPr>
                <w:rFonts w:ascii="Times New Roman" w:hAnsi="Times New Roman"/>
                <w:color w:val="000000"/>
                <w:kern w:val="0"/>
                <w:sz w:val="25"/>
                <w:szCs w:val="24"/>
              </w:rPr>
              <w:t>2022</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-8.18%</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1.36%</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-10.63%</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2.45%</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r>
    </w:tbl>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业绩比较基准自2015年10月1日起，由“75%×申银万国装备制造指数收益率+25%×中信标普全债指数收益率”变更为“75%×申银万国装备制造指数收益率+25%×中证综合债券指数收益率”。详情见本基金管理人于2015年9月28日发布的《交银施罗德基金管理有限公司关于旗下部分基金业绩比较基准变更并修改基金合同相关内容的公告》。 　2、本基金业绩比较基准自2018年3月21日起，由“75%×申银万国装备制造指数收益率+25%×中证综合债券指数收益率”变更为“60%×沪深300指数收益率+40%×中证综合债券指数收益率”。详情见本基金管理人于2018年3月21日发布的《交银施罗德基金管理有限公司关于交银施罗德先进制造混合型证券投资基金基金份额持有人大会表决结果暨决议生效的公告》。 　3、本基金业绩比较基准自2022年1月24日起，由“60%×沪深300指数收益率+40%×中证综合债券指数收益率”变更为“沪深300指数收益率×55%+恒生指数收益率×5%+中证综合债券指数收益率×40%”。详情见本基金管理人于2022年1月24日发布的《交银施罗德基金管理有限公司关于交银施罗德先进制造混合型证券投资基金基金份额持有人大会（二次召开）表决结果暨决议生效的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8D105C" w:rsidRDefault="0025570F">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交银施罗德先进制造混合型证券投资基金</w:t>
      </w:r>
    </w:p>
    <w:p w:rsidR="008D105C" w:rsidRDefault="0025570F">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8D105C" w:rsidRDefault="0025570F">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（2011年6月22日至2026年03月31日）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（1）交银先进制造混合A</w:t>
      </w:r>
    </w:p>
    <w:p w:rsidR="008D105C" w:rsidRDefault="00C83382">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（2）交银先进制造混合C</w:t>
      </w:r>
    </w:p>
    <w:p w:rsidR="008D105C" w:rsidRDefault="00C83382">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39.5pt;height:268.5pt">
            <v:imagedata r:id="rId16" o:title="1521256610242020828"/>
          </v:shape>
        </w:pic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2、本基金自2022年1月24日起，开始销售C类份额，投资者提交的申购申请于2022年1月25日被确认并将有效份额登记在册。</w:t>
      </w:r>
    </w:p>
    <w:p w:rsidR="00B439CC" w:rsidRDefault="002557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05C" w:rsidRDefault="0025570F">
      <w:pPr>
        <w:pStyle w:val="1"/>
        <w:snapToGrid w:val="0"/>
        <w:spacing w:beforeLines="0" w:before="240" w:after="240"/>
        <w:rPr>
          <w:rFonts w:ascii="宋体" w:hAnsi="宋体"/>
          <w:szCs w:val="30"/>
        </w:rPr>
      </w:pPr>
      <w:bookmarkStart w:id="15" w:name="_Toc240548877"/>
      <w:r>
        <w:rPr>
          <w:rFonts w:ascii="Times New Roman" w:hAnsi="Times New Roman"/>
          <w:sz w:val="30"/>
        </w:rPr>
        <w:lastRenderedPageBreak/>
        <w:t>十二、基金的财产</w:t>
      </w:r>
      <w:bookmarkEnd w:id="15"/>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基金资产总值是指基金拥有的各类有价证券、股指期货合约、银行存款本息、基金应收款项以及其他资产的价值总和。</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基金资产净值是指基金资产总值减去基金负债后的金额。</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以基金名义开立银行存款账户，以基金托管人的名义开立证券交易清算资金的结算备付金账户，以基金托管人和本基金联名的方式开立基金证券账户，以本基金的名义开立银行间债券托管账户，基金托管人协助开立股指期货业务相关账户及交易编码。开立的基金专用账户与基金管理人、基金托管人、基金销售机构和注册登记机构自有的财产账户以及其他基金财产账户相独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（四）基金财产的处分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独立于基金管理人、基金托管人和基金销售机构的固有财产，并由基金托管人保管。基金管理人、基金托管人因基金财产的管理、运用或者其他情形而取得的财产和收益归入基金财产。基金管理人、基金托管人可以按基金合同的约定收取管理费、托管费以及基金合同约定的其他费用。基金管理人、基金托管人以其自有财产承担法律责任，其债权人不得对基金财产行使请求冻结、扣押和其他权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基金财产的债权，不得与基金管理人、基金托管人固有财产的债务相抵销；不同基金财产的债权债务，不得相互抵销。</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除依据《基金法》、基金合同及其他有关规定处分外，基金财产不得被处分。非因基金财产本身承担的债务，不得对基金财产强制执行。</w:t>
      </w:r>
    </w:p>
    <w:p w:rsidR="00B439CC" w:rsidRDefault="002557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05C" w:rsidRDefault="0025570F">
      <w:pPr>
        <w:pStyle w:val="1"/>
        <w:snapToGrid w:val="0"/>
        <w:spacing w:beforeLines="0" w:before="240" w:after="240"/>
        <w:rPr>
          <w:rFonts w:ascii="宋体" w:hAnsi="宋体"/>
          <w:szCs w:val="30"/>
        </w:rPr>
      </w:pPr>
      <w:bookmarkStart w:id="16" w:name="_Toc240548878"/>
      <w:r>
        <w:rPr>
          <w:rFonts w:ascii="Times New Roman" w:hAnsi="Times New Roman"/>
          <w:sz w:val="30"/>
        </w:rPr>
        <w:lastRenderedPageBreak/>
        <w:t>十三、基金资产的估值</w:t>
      </w:r>
      <w:bookmarkEnd w:id="16"/>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（一）估值目的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基金资产的估值目的是客观、准确地反映基金资产是否保值、增值，并为基金份额提供计价依据。</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本基金的估值日为相关的证券/期货交易场所的正常交易日，以及国家法律法规规定需要对外披露基金净值的非交易日。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（三）估值对象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基金所拥有的股票、债券、衍生工具和其它投资等持续以公允价值计量的金融资产及负债。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（四）估值原则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w:t>
      </w:r>
      <w:r>
        <w:rPr>
          <w:rFonts w:ascii="宋体" w:hAnsi="宋体"/>
          <w:sz w:val="24"/>
        </w:rPr>
        <w:lastRenderedPageBreak/>
        <w:t>调整并确定公允价值。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（五）估值方法</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w:t>
      </w:r>
      <w:r>
        <w:rPr>
          <w:rFonts w:ascii="宋体" w:hAnsi="宋体"/>
          <w:sz w:val="24"/>
        </w:rPr>
        <w:lastRenderedPageBreak/>
        <w:t>值技术难以可靠计量公允价值的情况下，按成本估值；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5、同一证券同时在两个或两个以上市场交易的，按证券所处的市场分别估值。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估值计算中涉及港币对人民币汇率的，将依据下列信息提供机构所提供的汇率为基准：当日中国人民银行或其授权机构公布的人民币汇率中间价。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税收：对于按照中国法律法规和基金投资境内外股票市场交易互联互通机制涉及的境外交易场所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6、当发生大额申购或赎回情形时，基金管理人可以采用摆动定价机制，以确保基金估值的公平性。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7、本基金投资存托凭证的估值核算依照境内上市交易的股票执行。</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8、如有确凿证据表明按上述方法进行估值不能客观反映其公允价值的，基金管理人可根据具体情况与基金托管人商定后，按最能反映公允价值的价格估值。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如基金管理人或基金托管人发现基金估值违反基金合同订明的估值方法、程序及相关法律法规的规定或者未能充分维护基金份额持有人利益时，应立即通知对方，共同查明原因，双方协商解决。</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（六）估值程序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是按照每个工作日闭市后，基金资产净值除以当日基金份额的余额数量计算，精确到0.0001元，小数点后第5位四舍五入。基金管理人可以设立大额赎回情形下的净值精度应急调整机制，具体可参见相关公告。国家另有规定的，从其规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基金管理人于每个工作日计算基金资产净值及基金份额净值，并按规定公告。如遇特殊情况，经履行适当程序，可以适当延迟计算或公告。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（七）估值错误的处理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对于因技术原因引起的差错，若系同行业现有技术水平无法预见、无法避免、无法抗拒，则属不可抗力，按照下述规定执行。</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w:t>
      </w:r>
      <w:r>
        <w:rPr>
          <w:rFonts w:ascii="宋体" w:hAnsi="宋体"/>
          <w:sz w:val="24"/>
        </w:rPr>
        <w:lastRenderedPageBreak/>
        <w:t>正和赔偿损失；</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（八）暂停估值的情形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（九）基金净值的确认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和基金份额净值由基金管理人负责计算，基金托管人负责进行复核。基金管理人应于每个开放日交易结束后计算当日的基金资产净值和基金份额净值并发送给基金托管人。基金托管人对净值计算结果复核确认后发送给基金管理人，由基金管理人依据基金合同和相关法律法规的规定对基金净值予以公布。</w:t>
      </w:r>
      <w:r w:rsidRPr="00BB248E">
        <w:rPr>
          <w:rFonts w:ascii="宋体" w:hAnsi="宋体" w:hint="eastAsia"/>
          <w:b/>
          <w:kern w:val="0"/>
          <w:sz w:val="24"/>
        </w:rPr>
        <w:t>（十）特殊情形的处理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1、基金管理人或基金托管人按估值方法的第8项进行估值时，所造成的误差不作为基金资产估值错误处理。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（十一）实施侧袋机制期间的基金资产估值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2557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05C" w:rsidRDefault="0025570F">
      <w:pPr>
        <w:pStyle w:val="1"/>
        <w:snapToGrid w:val="0"/>
        <w:spacing w:beforeLines="0" w:before="240" w:after="240"/>
        <w:rPr>
          <w:rFonts w:ascii="宋体" w:hAnsi="宋体"/>
          <w:szCs w:val="30"/>
        </w:rPr>
      </w:pPr>
      <w:bookmarkStart w:id="17" w:name="_Toc240548879"/>
      <w:r>
        <w:rPr>
          <w:rFonts w:ascii="Times New Roman" w:hAnsi="Times New Roman"/>
          <w:sz w:val="30"/>
        </w:rPr>
        <w:lastRenderedPageBreak/>
        <w:t>十四、基金的收益与分配</w:t>
      </w:r>
      <w:bookmarkEnd w:id="17"/>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本基金收益分配应遵循下列原则：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1、由于本基金A类基金份额不收取销售服务费，C类基金份额收取销售服务费，各基金份额类别对应的可供分配利润将有所不同；本基金同一基金份额类别的每一基金份额享有同等分配权；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3、基金收益分配后任一类基金份额净值不能低于面值；即基金收益分配基准日的任一类基金份额净值减去每单位该类基金份额收益分配金额后不能低于面值；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收益分配方式分为两种：现金分红与红利再投资，基金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5、法律法规或监管机构另有规定的从其规定。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基金收益分配方案中应载明基金收益分配基准日可供分配利润、基金收益分配对象、分配时间、分配数额及比例、分配方式等内容。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1、本基金收益分配方案由基金管理人拟定、由基金托管人核实后确定，依照《信息披露办法》的有关规定在规定媒介公告。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2、本基金收益分配的发放日距离收益分配基准日的时间不超过15个工作日。</w:t>
      </w:r>
      <w:r>
        <w:rPr>
          <w:rFonts w:ascii="宋体" w:hAnsi="宋体"/>
          <w:sz w:val="24"/>
        </w:rPr>
        <w:lastRenderedPageBreak/>
        <w:t>在分配方案公布后（依据具体方案的规定），基金管理人就支付的现金红利向基金托管人发送划款指令，基金托管人按照基金管理人的指令及时进行分红资金的划付。</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3、法律法规或监管机关另有规定的，从其规定。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（六）收益分配中发生的费用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注册登记机构可将基金份额持有人的现金红利自动转为相应类别的基金份额。红利再投资的计算方法，依照《业务规则》执行。</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投资者可至销售机构办理收益分配方式的修改，投资者对不同的交易账户可设置不同的收益分配方式。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投资者同一日多次申报分红方式变更的，按照《业务规则》执行，最终确认的分红方式以基金注册登记机构记录为准。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2557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05C" w:rsidRDefault="0025570F">
      <w:pPr>
        <w:pStyle w:val="1"/>
        <w:snapToGrid w:val="0"/>
        <w:spacing w:beforeLines="0" w:before="240" w:after="240"/>
        <w:rPr>
          <w:rFonts w:ascii="宋体" w:hAnsi="宋体"/>
          <w:szCs w:val="30"/>
        </w:rPr>
      </w:pPr>
      <w:bookmarkStart w:id="18" w:name="_Toc240548880"/>
      <w:r>
        <w:rPr>
          <w:rFonts w:ascii="Times New Roman" w:hAnsi="Times New Roman"/>
          <w:sz w:val="30"/>
        </w:rPr>
        <w:lastRenderedPageBreak/>
        <w:t>十五、基金的费用与税收</w:t>
      </w:r>
      <w:bookmarkEnd w:id="18"/>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3、基金合同生效后的信息披露费用；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4、基金份额持有人大会费用；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5、基金合同生效后与基金有关的会计师费、律师费、仲裁费和诉讼费；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7、基金财产拨划支付的银行费用；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8、基金财产投资运营过程中的增值税；</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9、基金的开户费用、账户维护费用；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10、因投资港股通标的股票而产生的各项合理费用；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11、本基金从C类基金份额的基金财产中计提的销售服务费；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12、按照国家有关规定和基金合同约定可以在基金财产中列支的其他费用。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在通常情况下，基金管理费按前一日基金资产净值的1.2%年费率计提。计算方法如下：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H＝E×年管理费率÷当年天数，本基金年管理费率为1.2%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E为前一日基金资产净值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财产中一次性支付给基金管理人。若遇法定节假日、休息日或不可抗力致使无法按时支付的，顺延至最近可支付日支付。</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在通常情况下，基金托管费按前一日基金资产净值的0.2%年费率计提。计算方法如下：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H＝E×年托管费率÷当年天数，本基金年托管费率为0.2%</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E为前一日基金资产净值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财产中一次性支付给基金托管人。若遇法定节假日、休息日或不可抗力致使无法按时支付的，顺延至最近可支付日支付。</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本基金A类基金份额不收取销售服务费，C类基金份额的销售服务费按前一日C类基金资产净值的0.4%年费率计提。计算方法如下：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H＝E×0.4%÷当年天数</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按月支付。由基金管理人向基金托管人发送销售服务费划付指令，经基金托管人复核后于次月首日起3个工作日内从基金财产中一次性支付给基金管理人，由基金管理人代付给销售机构。若遇法定节假日、休息日或不可抗力致使无法按时支付的，顺延至最近可支付日支付。</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C类基金份额的销售服务费将专门用于本基金的市场推广、销售与基金份额持有人服务。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（4）上述“（一）基金费用的种类”中3到10项、第12项费用由基金托管人根据其他有关法律法规及相应协议的规定，按费用支出金额支付，列入或摊入当期基金费用。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本基金转换费的费率水平、计算公式和收取方式详见“基金的转换”一章。</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因未履行或未完全履行义务导致的费用支出或基金财产的损失，以及处理与基金运作无关的事项发生的费用等不列入基金费用。基金募集期间所发生的信息披露费、律师费和会计师费以及其他费用不从基金财产中支付。</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本基金实施侧袋机制的，与侧袋账户有关的费用可以从侧袋账户中列支，但应待侧袋账户资产变现后方可列支，有关费用可酌情收取或减免，但不得收取管理费，详见招募说明书“侧袋机制”部分的规定。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基金和基金份额持有人根据国家法律法规的规定，履行纳税义务。基金需缴纳的增值税，以基金管理人为纳税人，按照税务机关的要求进行核算，从基金财产中支付。</w:t>
      </w:r>
    </w:p>
    <w:p w:rsidR="00B439CC" w:rsidRDefault="002557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05C" w:rsidRDefault="0025570F">
      <w:pPr>
        <w:pStyle w:val="1"/>
        <w:snapToGrid w:val="0"/>
        <w:spacing w:beforeLines="0" w:before="240" w:after="240"/>
        <w:rPr>
          <w:rFonts w:ascii="宋体" w:hAnsi="宋体"/>
          <w:szCs w:val="30"/>
        </w:rPr>
      </w:pPr>
      <w:bookmarkStart w:id="19" w:name="_Toc240548881"/>
      <w:r>
        <w:rPr>
          <w:rFonts w:ascii="Times New Roman" w:hAnsi="Times New Roman"/>
          <w:sz w:val="30"/>
        </w:rPr>
        <w:lastRenderedPageBreak/>
        <w:t>十六、基金的会计与审计</w:t>
      </w:r>
      <w:bookmarkEnd w:id="19"/>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1、基金管理人为本基金的会计责任方；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2、本基金的会计年度为公历每年的1月1日至12月31日；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3、本基金的会计核算以人民币为记账本位币，以人民币元为记账单位；</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4、会计制度执行国家有关的会计制度；</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6、基金管理人及基金托管人分别保留完整的会计账目、凭证并进行日常的会计核算，按照有关规定编制基金会计报表；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7、基金托管人定期与基金管理人就基金的会计核算、报表编制等进行核对并书面确认。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（二）基金的审计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1、基金管理人聘请符合《中华人民共和国证券法》规定的会计师事务所及其注册会计师对本基金年度财务报表及其他规定事项进行审计。会计师事务所及其注册会计师与基金管理人、基金托管人相互独立。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2、会计师事务所更换经办注册会计师时，应事先征得基金管理人同意。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3、基金管理人认为有充足理由更换会计师事务所，须通报基金托管人。更换会计师事务所需按照《信息披露办法》的有关规定在规定媒介公告。</w:t>
      </w:r>
    </w:p>
    <w:p w:rsidR="00B439CC" w:rsidRDefault="002557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05C" w:rsidRDefault="0025570F">
      <w:pPr>
        <w:pStyle w:val="1"/>
        <w:snapToGrid w:val="0"/>
        <w:spacing w:beforeLines="0" w:before="240" w:after="240"/>
        <w:rPr>
          <w:rFonts w:ascii="宋体" w:hAnsi="宋体"/>
          <w:szCs w:val="30"/>
        </w:rPr>
      </w:pPr>
      <w:bookmarkStart w:id="20" w:name="_Toc240548882"/>
      <w:r>
        <w:rPr>
          <w:rFonts w:ascii="Times New Roman" w:hAnsi="Times New Roman"/>
          <w:sz w:val="30"/>
        </w:rPr>
        <w:lastRenderedPageBreak/>
        <w:t>十七、基金的信息披露</w:t>
      </w:r>
      <w:bookmarkEnd w:id="20"/>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（一）本基金的信息披露应符合《基金法》、《运作办法》、《信息披露办法》、《流动性规定》、基金合同及其他有关规定。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（三）本基金信息披露义务人在承诺公开披露的基金信息时，不得有下列行为：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1、招募说明书、基金合同、托管协议、基金产品资料概要</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基金经中国证监会准予变更注册后，基金管理人根据《信息披露办法》的规定将招募说明书、基金合同登载在规定网站上；基金管理人、基金托管人应当将基金合同、托管协议登载在网站上。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2、基金份额申购、赎回价格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3、基金净值信息</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《基金合同》生效后，在开始办理基金份额申购或者赎回前，基金管理人应当至少每周在规定网站分别披露一次A类基金份额和C类基金份额所对应的基金份额净值和基金份额累计净值。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在开始办理基金份额申购或者赎回后，基金管理人应当在不晚于每个开放日的次日，通过规定网站、销售机构网站或者营业网点分别披露开放日的A类基金份额</w:t>
      </w:r>
      <w:r>
        <w:rPr>
          <w:rFonts w:ascii="宋体" w:hAnsi="宋体"/>
          <w:sz w:val="24"/>
        </w:rPr>
        <w:lastRenderedPageBreak/>
        <w:t>和C类基金份额所对应的基金份额净值和基金份额累计净值。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基金管理人应当在不晚于半年度和年度最后一日的次日，在规定网站披露半年度和年度最后一日A类基金份额和C类基金份额所对应的基金份额净值和基金份额累计净值。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4、基金定期报告，包括基金年度报告、基金中期报告和基金季度报告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5、临时报告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本基金发生重大事件，有关信息披露义务人应当在2日内编制临时报告书，并登载在规定报刊和规定网站上。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w:t>
      </w:r>
      <w:r>
        <w:rPr>
          <w:rFonts w:ascii="宋体" w:hAnsi="宋体"/>
          <w:sz w:val="24"/>
        </w:rPr>
        <w:lastRenderedPageBreak/>
        <w:t>事项，基金托管人委托基金服务机构代为办理基金的核算、估值、复核等事项；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（21）本基金采用摆动定价机制进行估值；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（22）发生涉及基金申购、赎回事项调整或潜在影响投资者赎回等重大事项时；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（23）基金推出新业务或服务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（24）本基金连续30个工作日、40个工作日、45个工作日出现基金份额持有人</w:t>
      </w:r>
      <w:r>
        <w:rPr>
          <w:rFonts w:ascii="宋体" w:hAnsi="宋体"/>
          <w:sz w:val="24"/>
        </w:rPr>
        <w:lastRenderedPageBreak/>
        <w:t>数量不满200人或者基金资产净值低于5000万元情形的；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（25）基金信息披露义务人认为可能对基金份额持有人权益或者基金份额的价格产生重大影响的其他事项或中国证监会规定的其他事项。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6、澄清公告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7、基金份额持有人大会决议</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8、实施侧袋机制期间的信息披露</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本基金实施侧袋机制的，相关信息披露义务人应当根据法律法规、基金合同和招募说明书的规定进行信息披露，详见招募说明书“侧袋机制”部分的规定。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9、清算报告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10、基金投资股指期货情况</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11、基金投资资产支持证券情况</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w:t>
      </w:r>
      <w:r>
        <w:rPr>
          <w:rFonts w:ascii="宋体" w:hAnsi="宋体"/>
          <w:sz w:val="24"/>
        </w:rPr>
        <w:lastRenderedPageBreak/>
        <w:t>券总额、资产支持证券市值占基金净资产的比例和报告期末按市值占基金净资产比例大小排序的前10名资产支持证券明细。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12、基金投资流通受限证券情况</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流通受限证券，基金管理人应在基金投资非公开发行股票后两个交易日内，在中国证监会规定媒介披露所投资非公开发行股票的名称、数量、总成本、账面价值，以及总成本和账面价值占基金资产净值的比例、锁定期等信息。</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13、基金投资港股通标的股票情况</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基金应当在季度报告、中期报告、年度报告等定期报告和招募说明书（更新）等文件中披露港股通标的股票的投资情况。法律法规或中国证监会另有规定的，从其规定。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14、中国证监会规定的其他信息。</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基金管理人、基金托管人应当在规定报刊中选择一家报刊披露本基金信息。基金管理人、基金托管人应当向中国证监会基金电子披露网站报送拟披露的基金信息，并保证相关报送信息的真实、准确、完整、及时。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w:t>
      </w:r>
      <w:r>
        <w:rPr>
          <w:rFonts w:ascii="宋体" w:hAnsi="宋体"/>
          <w:sz w:val="24"/>
        </w:rPr>
        <w:lastRenderedPageBreak/>
        <w:t>常投资操作的前提下，自主提升信息披露服务的质量。具体要求应当符合中国证监会及自律规则的相关规定。前述自主披露如产生信息披露费用，该费用不得从基金财产中列支。</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（八）本基金信息披露事项以法律法规规定及本章节约定的内容为准。</w:t>
      </w:r>
    </w:p>
    <w:p w:rsidR="00B439CC" w:rsidRDefault="002557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05C" w:rsidRDefault="0025570F">
      <w:pPr>
        <w:pStyle w:val="1"/>
        <w:snapToGrid w:val="0"/>
        <w:spacing w:beforeLines="0" w:before="240" w:after="240"/>
        <w:rPr>
          <w:rFonts w:ascii="宋体" w:hAnsi="宋体"/>
          <w:szCs w:val="30"/>
        </w:rPr>
      </w:pPr>
      <w:bookmarkStart w:id="21" w:name="_Toc240548883"/>
      <w:r>
        <w:rPr>
          <w:rFonts w:ascii="Times New Roman" w:hAnsi="Times New Roman"/>
          <w:sz w:val="30"/>
        </w:rPr>
        <w:lastRenderedPageBreak/>
        <w:t>十八、侧袋机制</w:t>
      </w:r>
      <w:bookmarkEnd w:id="21"/>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25570F"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8D105C" w:rsidRDefault="0025570F">
      <w:pPr>
        <w:pStyle w:val="1"/>
        <w:snapToGrid w:val="0"/>
        <w:spacing w:beforeLines="0" w:before="240" w:after="240"/>
        <w:rPr>
          <w:rFonts w:ascii="宋体" w:hAnsi="宋体"/>
          <w:szCs w:val="30"/>
        </w:rPr>
      </w:pPr>
      <w:bookmarkStart w:id="22" w:name="_Toc240548884"/>
      <w:r>
        <w:rPr>
          <w:rFonts w:ascii="Times New Roman" w:hAnsi="Times New Roman"/>
          <w:sz w:val="30"/>
        </w:rPr>
        <w:lastRenderedPageBreak/>
        <w:t>十九、风险揭示</w:t>
      </w:r>
      <w:bookmarkEnd w:id="22"/>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者购买基金，既可能按其持有份额分享基金投资所产生的收益，也可能承担基金投资所带来的损失。</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扣除申购申请份额总数及基金转换中转入申请份额总数后的余额）超过上一开放日基金总份额的百分之十时，投资者将可能无法及时赎回持有的全部基金份额。</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者投资不同类型的基金将获得不同的收益预期，也将承担不同程度的风险。一般来说，基金的收益预期越高，投资者承担的风险也越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应当认真阅读基金合同、招募说明书、基金产品资料概要等基金法律文件，了解基金的风险收益特征，并根据自身的投资目的、投资期限、投资经验、资产状况等判断基金是否和投资者的风险承受能力相适应。</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应当充分了解基金定期定额投资和零存整取等储蓄方式的区别。定期定额投资是引导投资者进行长期投资、平均投资成本的一种简单易行的投资方式。但是定期定额投资并不能规避基金投资所固有的风险，不能保证投资者获得收益，也不是替代储蓄的等效理财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者基金投资的“买者自负”原则，在做出投资决策后，基金运营状况与基金净值变化引致的投资风险，由投资者自行负</w:t>
      </w:r>
      <w:r>
        <w:rPr>
          <w:rFonts w:ascii="宋体" w:hAnsi="宋体"/>
          <w:sz w:val="24"/>
        </w:rPr>
        <w:lastRenderedPageBreak/>
        <w:t>担。</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者的赎回。如果基金资产不能迅速转变成现金，或者变现为现金时使资金净值产生不利的影响，都会影响基金运作和收益水平。尤其是在发生巨额赎回时，如果基金</w:t>
      </w:r>
      <w:r>
        <w:rPr>
          <w:rFonts w:ascii="宋体" w:hAnsi="宋体"/>
          <w:sz w:val="24"/>
        </w:rPr>
        <w:lastRenderedPageBreak/>
        <w:t>资产变现能力差，可能会产生基金仓位调整的困难，导致流动性风险，可能影响基金份额净值。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包括国内依法发行上市的股票、港股通标的股票、债券和货币市场工具等），同时本基金基于分散投资的原则在行业和个券方面未有高集中度的特征，综合评估在正常市场环境下本基金的流动性风险适中。</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工作日的基金总份额的10%，即认为是发生了巨额赎回。</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（1）巨额赎回的场外处理方式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1)全额赎回：当基金管理人认为有能力支付基金投资者的赎回申请时，按正常赎回程序执行。</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基金投资者的赎回申请有困难或认为支付投资者的赎回申请而进行的财产变现可能会对基金资产净值造成较大波动时，基金管理人在当日接受赎回比例不低于上一工作日基金总份额的10%的前提下，对其余赎回申请延期办理。对于当日的赎回申请，应当按单个账户赎回申请量占赎回申请总量的比例，确定当日受理的赎回份额；基金投资者未能赎回部分，投资者在提交赎回申请时可以选择延期赎回或取消赎回。选择延期赎回的，将自动转入下一个开放日继续赎回，直到全部赎回为止；选择取消赎回的，当日未获赎回的部分申请将被撤销。延期的赎回申请与下一开放日赎回申请一并处理，无优先权并以下一</w:t>
      </w:r>
      <w:r>
        <w:rPr>
          <w:rFonts w:ascii="宋体" w:hAnsi="宋体"/>
          <w:sz w:val="24"/>
        </w:rPr>
        <w:lastRenderedPageBreak/>
        <w:t>开放日的基金份额净值为基础计算赎回金额，并以此类推，直到全部赎回为止。如基金投资者在提交赎回申请时未作明确选择，投资者未能赎回部分作自动延期赎回处理。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（2）巨额赎回的场内处理方式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巨额赎回业务的场内处理，按照上海证券交易所及中国证券登记结算有限责任公司的有关规定办理。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确认成功的赎回申请可以延缓支付赎回款项，但不得超过20个工作日，并应当在规定媒介上进行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w:t>
      </w:r>
      <w:r>
        <w:rPr>
          <w:rFonts w:ascii="宋体" w:hAnsi="宋体"/>
          <w:sz w:val="24"/>
        </w:rPr>
        <w:lastRenderedPageBreak/>
        <w:t>大幅低于启用侧袋机制时的特定资产的估值，基金份额持有人可能因此面临损失。</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（五）本基金投资策略所特有的风险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1、本基金属于混合型基金，将维持较高的股票持仓比例。如果股票市场出现整体下跌，本基金的净值表现将受到影响。</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以先进制造相关行业的上市公司为重点投资对象。在选股策略上本基金特有的风险主要来自两个方面：一是先进制造有关行业板块的表现可能与市场整体表现出现偏差，从而直接影响本基金的业绩表现；二是对上市公司的基本面研究是否准确、深入，对股票的优选和判断是否科学、准确。基本面研究及上市企业分析的错误均可能导致所选择的证券不能完全符合本基金的预期目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3、本基金可投资港股通标的股票，会面临港股通机制下因投资环境、投资标的、市场制度以及交易规则等差异带来的特有风险，具体如下：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w:t>
      </w:r>
      <w:r>
        <w:rPr>
          <w:rFonts w:ascii="宋体" w:hAnsi="宋体"/>
          <w:sz w:val="24"/>
        </w:rPr>
        <w:lastRenderedPageBreak/>
        <w:t>算有限责任公司进行净额换汇，将换汇成本按成交金额分摊至每笔交易，确定交易实际适用的结算汇率。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 股市场规则，此外，在“内地与香港股票市场交易互联互通机制”下参与香港股票投资还将面临包括但不限于如下特殊风险：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a）香港市场实行T+0 回转交易机制（即当日买入的股票，在交收前可以于当日卖出），且证券交易价格并无涨跌幅上下限的规定，因此每日涨跌幅空间相对较大，可能表现出比A股更为剧烈的股价波动；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香港出现香港联合交易所规定的其他情形时，香港联合交易所将可能停市，投资者将面临在停市期间无法进行港股通交易的风险；出现上海证券交易所及深圳证券交易所证券交易服务公司认定的交易异常情况时，上海证券交易所及深圳证券交易所证券交易服务公司将可能暂停提供部分或者全部港股通服务，投资者将面临在暂停服务期间无法进行港股通交易的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w:t>
      </w:r>
      <w:r>
        <w:rPr>
          <w:rFonts w:ascii="宋体" w:hAnsi="宋体"/>
          <w:sz w:val="24"/>
        </w:rPr>
        <w:lastRenderedPageBreak/>
        <w:t>但不得买入，上海证券交易所及深圳证券交易所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（4）本基金可根据投资策略需要或不同配置地市场环境的变化，选择将部分基金资产投资于港股或选择不将基金资产投资于港股，基金资产并非必然投资港股。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4、基金合同提前终止风险。连续50个工作日出现基金份额持有人数量不满200人或者基金资产净值低于5000万元情形的，基金合同终止，不需召开基金份额持有人大会。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5、本基金可投资创业板股票，创业板个股上市后的前五个交易日不设价格涨跌幅限制，第六个交易日开始涨跌幅限制比例为20%。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（六）投资资产支持证券的特定风险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（七）投资股指期货的特定风险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w:t>
      </w:r>
      <w:r>
        <w:rPr>
          <w:rFonts w:ascii="宋体" w:hAnsi="宋体"/>
          <w:sz w:val="24"/>
        </w:rPr>
        <w:lastRenderedPageBreak/>
        <w:t>是股指期货投资中最主要的风险。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（八）投资流通受限证券的特定风险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（九）投资科创板股票的特定风险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（十）投资存托凭证的特定风险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（十一）本基金法律文件风险收益特征表述与销售机构基金风险评价可能不一致的风险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（十二）其他风险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2557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05C" w:rsidRDefault="0025570F">
      <w:pPr>
        <w:pStyle w:val="1"/>
        <w:snapToGrid w:val="0"/>
        <w:spacing w:beforeLines="0" w:before="240" w:after="240"/>
        <w:rPr>
          <w:rFonts w:ascii="宋体" w:hAnsi="宋体"/>
          <w:szCs w:val="30"/>
        </w:rPr>
      </w:pPr>
      <w:bookmarkStart w:id="23" w:name="_Toc240548885"/>
      <w:r>
        <w:rPr>
          <w:rFonts w:ascii="Times New Roman" w:hAnsi="Times New Roman"/>
          <w:sz w:val="30"/>
        </w:rPr>
        <w:lastRenderedPageBreak/>
        <w:t>二十、基金合同的变更、终止与基金财产的清算</w:t>
      </w:r>
      <w:bookmarkEnd w:id="23"/>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按照法律法规或基金合同的规定，对基金合同的变更应当召开基金份额持有人大会的，基金合同变更的内容经基金份额持有人大会决议通过后生效，并依法报中国证监会备案，并自决议生效之日起2日内在规定媒介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2.但出现下列情况时，可不经基金份额持有人大会决议，由基金管理人和基金托管人同意变更后公布经修订的基金合同，并报中国证监会备案：</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(1)在法律法规和基金合同规定的范围内调整基金的申购费率、调低赎回费率及销售服务费率、变更或增加收费方式；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(2)因相应的法律法规发生变动必须对基金合同进行修改；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(3)基金合同的修改不涉及基金合同当事人权利义务关系发生重大变化；</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(4)基金合同的修改对基金份额持有人利益无实质性不利影响；</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(5)按照法律法规或基金合同规定不需召开基金份额持有人大会的其他情形。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2、基金管理人职责终止，而在6个月内没有新的基金管理人承接的；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3、基金托管人职责终止，而在6个月内没有新的基金托管人承接的；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4、连续50个工作日出现基金份额持有人数量不满200人或者基金资产净值低于5000万元情形的，基金合同终止，不需召开基金份额持有人大会；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5、基金合同、相关法律法规和中国证监会规定的其他情况。</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（1）自出现《基金合同》终止事由之日起30个工作日内，成立基金清算小组，基金清算小组在中国证监会的监督下进行基金清算。</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（2）基金清算小组成员由基金管理人、基金托管人、符合《中华人民共和国证券法》规定的注册会计师、律师以及中国证监会指定的人员组成。基金清算小组可以聘用必要的工作人员。</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（3）基金清算小组负责基金财产的保管、清理、估价、变现和分配。基金清</w:t>
      </w:r>
      <w:r>
        <w:rPr>
          <w:rFonts w:ascii="宋体" w:hAnsi="宋体"/>
          <w:sz w:val="24"/>
        </w:rPr>
        <w:lastRenderedPageBreak/>
        <w:t>算小组可以依法进行必要的民事活动。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2、基金财产清算程序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（1）基金合同终止时，由基金清算小组统一接管基金财产；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（2）对基金财产进行清理和确认；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（3）对基金财产进行估价和变现；</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（5）聘请会计师事务所对清算报告进行审计；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（6）聘请律师事务所对清算报告出具法律意见书；</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（7）将基金清算结果报告中国证监会；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（8）公布基金清算报告；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（9）对基金剩余财产进行分配。</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3、清算费用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清算费用是指基金清算小组在进行基金清算过程中发生的所有合理费用，清算费用由基金清算小组优先从基金财产中支付。</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4、基金财产按下列顺序清偿：</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基金财产未按前款（1）－（3）项规定清偿前，不分配给基金份额持有人。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清算过程中的有关重大事项须及时公告；基金财产清算结果经会计师事务所审计，律师事务所出具法律意见书后，由基金财产清算小组报中国证监会备案并公告。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6、基金财产清算账册及文件的保存</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2557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05C" w:rsidRDefault="0025570F">
      <w:pPr>
        <w:pStyle w:val="1"/>
        <w:snapToGrid w:val="0"/>
        <w:spacing w:beforeLines="0" w:before="240" w:after="240"/>
        <w:rPr>
          <w:rFonts w:ascii="宋体" w:hAnsi="宋体"/>
          <w:szCs w:val="30"/>
        </w:rPr>
      </w:pPr>
      <w:bookmarkStart w:id="24" w:name="_Toc240548886"/>
      <w:r>
        <w:rPr>
          <w:rFonts w:ascii="Times New Roman" w:hAnsi="Times New Roman"/>
          <w:sz w:val="30"/>
        </w:rPr>
        <w:lastRenderedPageBreak/>
        <w:t>二十一、基金合同的内容摘要</w:t>
      </w:r>
      <w:bookmarkEnd w:id="24"/>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（一）基金合同当事人的权利与义务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（1）自本基金合同生效之日起，依照有关法律法规和本基金合同的规定独立运用基金财产；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（2）依照本基金合同获得基金管理人报酬以及法律法规规定或中国证监会批准的其他收入；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（3）依照有关规定为基金的利益行使因基金财产投资于证券所产生的权利；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（4）在符合有关法律法规和本基金合同的前提下，制订和调整有关基金认购、申购、赎回、转换、转托管等业务的规则，决定基金的除调高托管费和管理费之外的费率结构和收费方式；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根据本基金合同及有关规定监督基金托管人，对于基金托管人违反了本基金合同或有关法律法规规定的行为，对基金财产、其他基金当事人的利益造成重大损失的情形，应及时呈报中国证监会和银行业监督管理机构，并采取必要措施保护基金及相关基金当事人的利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（6）在基金合同约定的范围内，拒绝或暂停受理申购、赎回和转换申请；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（7）自行担任注册登记机构或选择、更换注册登记机构，并对注册登记机构的代理行为进行必要的监督和检查；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（9）在基金托管人更换时，提名新的基金托管人；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（10）依法召集基金份额持有人大会；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（11）选择、更换律师事务所、会计师事务所、证券/期货经纪商或其他为基金提供服务的外部机构；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（12）根据国家有关规定，在法律法规允许的前提下，为基金的利益依法为基金融资、融券；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（13）法律法规规定的其他权利。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根据《基金法》、《运作办法》及其他有关规定，基金管理人的义务包括但不限于：</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（1）依法募集资金，办理或者委托经由证监会认定的其他机构办理基金份额的发售、申购、赎回和注册登记事宜；</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（3）自基金合同生效之日起，以诚实信用、勤勉尽责的原则管理和运用基金财产；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（5）建立健全内部风险控制、监察与稽核、财务管理及人事管理等制度，保证所管理的基金财产和基金管理人的财产相互独立，对所管理的不同基金财产分别管理，分别记账，进行证券投资；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（6）除依据《基金法》、基金合同及其他有关规定外，不得为自己及任何第三人谋取利益，不得委托第三人运作基金财产；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（8）计算并公告基金净值信息，确定基金份额申购、赎回价格；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（9）采取适当合理的措施使计算基金份额认购、申购、赎回价格的方法符合基金合同等法律文件的规定；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（10）按规定受理基金份额的申购和赎回申请，及时、足额支付赎回款项；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（11）进行基金会计核算并编制基金财务会计报告；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（12）编制季度报告、中期报告和年度报告；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（13）严格按照《基金法》、基金合同及其他有关规定，履行信息披露及报告义务；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（14）保守基金商业秘密，不得泄露基金投资计划、投资意向等。除《基金法》、基金合同及其他有关规定另有规定外，在基金信息公开披露前应予保密，不得向他人泄露；</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（15）按照基金合同的约定确定基金收益分配方案，及时向基金份额持有人分配收益；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（16）依据《基金法》、基金合同及其他有关规定召集基金份额持有人大会或配合基金托管人、基金份额持有人依法召集基金份额持有人大会；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（17）保存基金财产管理业务活动的记录、账册、报表和其他相关资料；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（18）以基金管理人名义，代表基金份额持有人利益行使诉讼权利或者实施其他法律行为；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（19）组织并参加基金财产清算小组，参与基金财产的保管、清理、估价、变现和分配；</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（20）因违反基金合同导致基金财产的损失或损害基金份额持有人合法权益，应当承担赔偿责任，其赔偿责任不因其退任而免除；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（21）基金托管人违反基金合同造成基金财产损失时，应为基金份额持有人利益向基金托管人追偿；</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（22）按规定向基金托管人提供基金份额持有人名册资料；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（23）建立并保存基金份额持有人名册；</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（24）面临解散、依法被撤销或者被依法宣告破产时，及时报告中国证监会并通知基金托管人；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（26）不从事任何有损基金及其他基金合同当事人合法权益的活动；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（27）依照法律法规为基金的利益对被投资公司行使股东权利，为基金的利益行使因基金财产投资于证券所产生的权利，不谋求对上市公司的控股和直接管理；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（28）法律法规、基金合同规定的以及中国证监会要求的其他义务。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（1）获得基金托管费；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（2）监督基金管理人对本基金的投资运作；</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（3）自本基金合同生效之日起，依法保管基金财产；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（4）在基金管理人更换时，提名新任基金管理人；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根据本基金合同及有关规定监督基金管理人，对于基金管理人违反本基金合同或有关法律法规规定的行为，对基金财产、其他基金合同当事人的利益造成重大损失的情形，应及时呈报中国证监会，并采取必要措施保护基金及相关基金合同当事人的利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（6）依法召集基金份额持有人大会；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（7）按规定取得基金份额持有人名册；</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（8）法律法规规定的其他权利。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（2）设立专门的基金托管部，具有符合要求的营业场所，配备足够的、合格的熟悉基金托管业务的专职人员，负责基金财产托管事宜；</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基金财产分别设置账户，独立核算，分账管理，保证不同基金之间在名册登记、账户设置、资金划拨、账册记录等方面相互独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（4）除依据《基金法》、基金合同及其他有关规定外，不得为自己及任何第三人谋取利益，不得委托第三人托管基金财产；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（6）按规定开设基金财产的资金账户和证券账户，协助开立股指期货业务相关账户及交易编码、为基金办理证券、期货交易资金清算；</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（7）保守基金商业秘密。除《基金法》、基金合同及其他有关规定另有规定外，在基金信息公开披露前应予保密，不得向他人泄露；</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（9）保存基金托管业务活动的记录、账册、报表和其他相关资料不低于法律法规规定的最低期限；</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（10）按照基金合同的约定，根据基金管理人的投资指令，及时办理清算、交割事宜；</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（11）办理与基金托管业务活动有关的信息披露事项；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（12）复核、审查基金管理人计算的基金资产净值、基金份额净值和基金份额申购、赎回价格；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（13）按照规定监督基金管理人的投资运作；</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（14）按规定制作相关账册并与基金管理人核对；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（15）依据基金管理人的指令或有关规定向基金份额持有人支付基金收益和赎回款项；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（16）按照规定召集基金份额持有人大会或配合基金管理人、基金份额持有人依法自行召集基金份额持有人大会；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（17）因违反基金合同导致基金财产损失，应承担赔偿责任，其赔偿责任不因其退任而免除；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（18）按规定监督基金管理人按照法律法规规定和基金合同履行其义务，基金管理人因违反基金合同造成基金财产损失时，应为基金向基金管理人追偿；</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（19）根据本基金合同和托管协议规定建立并保存基金份额持有人名册；</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（20）参加基金财产清算组，参与基金财产的保管、清理、估价、变现和分配；</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（21）面临解散、依法被撤销、破产或者由接管人接管其资产时，及时报告中国证监会和银行业监督管理机构，并通知基金管理人；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（22）执行生效的基金份额持有人大会的决议；</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（23）法律法规、基金合同规定的以及中国证监会要求的其他义务。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自依招募说明书、基金合同取得基金份额即成为基金份额持有人和基金合同当事人，直至其不再持有本基金的基金份额，其持有基金份额的行为本身即表明其对基金合同的完全承认和接受。基金份额持有人作为基金合同当事人并不以在基金合同上书面签章或签字为必要条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同一类别的每份基金份额具有同等的合法权益。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根据《基金法》、《运作办法》及其他有关法律法规的规定，基金份额持有人的权利包括但不限于：</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（3）依法转让或者申请赎回其持有的基金份额；</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（7）监督基金管理人的投资运作；</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（9）法律法规和基金合同规定的其他权利。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根据《基金法》、《运作办法》及其他有关法律法规的规定，基金份额持有人的义务包括但不限于：</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（1）遵守法律法规、基金合同及其他有关规定；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（2）缴纳基金认购、申购款项及法律法规、基金合同和招募说明书规定的费用；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（3）在持有的基金份额范围内，承担基金亏损或者基金合同终止的有限责任；</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（4）不从事任何有损基金及其他基金份额持有人合法权益的活动；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（5）执行生效的基金份额持有人大会决议；</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（6）返还在基金交易过程中因任何原因，自基金管理人、基金托管人、基金销售机构或其他基金份额持有人处获得的不当得利；</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（7）法律法规和基金合同规定的其他义务。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4、本基金合同当事人各方的权利义务以本基金合同为依据，不因基金账户名称而有所改变。</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1、基金份额持有人大会由基金份额持有人组成，基金份额持有人的合法授权代表有权代表基金份额持有人出席会议并表决。基金份额持有人持有的每一基金份额拥有平等的投票权。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出现或需要决定下列事由之一的，经基金管理人、基金托管人或单独或合计持有基金份额10%以上（“以上”含本数，下同）的基金份额持有人（以基金管理人收到提议当日的基金份额计算，下同）提议时，应当召开基金份额持有人大会，法律法规和中国证监会另有规定的除外：</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（1）终止基金合同，基金合同另有规定的除外；</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（2）转换基金运作方式；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（3）变更基金类别；</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（4）变更基金投资目标、投资范围或投资策略；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（5）变更基金份额持有人大会议事程序；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（6）更换基金管理人、基金托管人；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（7）调整基金管理人、基金托管人的报酬标准或提高销售服务费率；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（8）本基金与其他基金的合并；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（9）对基金合同当事人权利、义务产生重大影响，需召开基金份额持有人大会的变更基金合同等其他事项；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（10）法律法规、基金合同或中国证监会规定的其他情形。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在法律法规和本基金合同规定的范围内且对基金份额持有人利益无实质性不利影响的情况下，出现以下情形之一的，可由基金管理人和基金托管人协商后修改，不需召开基金份额持有人大会：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（1）调整基金的申购费率、调低赎回费率及销售服务费率、变更或增加收费方式；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（2）调整基金份额类别设置、对基金份额分类办法及规则进行调整；</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（3）因相应的法律法规发生变动必须对基金合同进行修改；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（4）基金合同的修改不涉及本基金合同当事人权利义务关系发生重大变化；</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（5）基金合同的修改对基金份额持有人利益无实质性不利影响；</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（6）按照法律法规或本基金合同规定不需召开基金份额持有人大会的其他情形。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3、召集人和召集方式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（1）除法律法规或本基金合同另有约定外，基金份额持有人大会由基金管理人召集。基金管理人未按规定召集或者不能召集时，由基金托管人召集。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自行召集，并自出具书面决定之日起60日内召开并告知基金管理人，基金管理人应当配合。</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代表基金份额10%以上的基金份额持有人认为有必要召开基金份额持有人大会的，应当向基金管理人提出书面提议。基金管理人应当自收到书面提议之日起10日内决定是否召集，并书面告知提出提议的基金份额持有人代表和基金托管人。</w:t>
      </w:r>
      <w:r>
        <w:rPr>
          <w:rFonts w:ascii="宋体" w:hAnsi="宋体"/>
          <w:sz w:val="24"/>
        </w:rPr>
        <w:lastRenderedPageBreak/>
        <w:t>基金管理人决定召集的，应当自出具书面决定之日起60日内召开；基金管理人决定不召集，代表基金份额10%以上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的基金份额持有人就同一事项要求召开基金份额持有人大会，而基金管理人、基金托管人都不召集的，单独或合计代表基金份额10%以上的基金份额持有人有权自行召集基金份额持有人大会，但应当至少提前30日向中国证监会备案。</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（5）基金份额持有人依法自行召集基金份额持有人大会的，基金管理人、基金托管人应当配合，不得阻碍、干扰。</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4、召开基金份额持有人大会的通知时间、通知内容、通知方式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以下简称“召集人”）负责选择确定开会时间、地点、方式和权益登记日。召开基金份额持有人大会，召集人必须于会议召开日前30日在规定媒介公告。基金份额持有人大会通知须至少载明以下内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（1）会议召开的时间、地点和出席方式；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（2）会议拟审议的主要事项；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（3）会议形式；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（4）议事程序；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（5）有权出席基金份额持有人大会的基金份额持有人的权益登记日；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（6）授权委托证明的内容要求（包括但不限于代理人身份、代理权限和代理有效期限等）、送达时间和地点；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（7）表决方式；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（8）会务常设联系人姓名、电话；</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（9）出席会议者必须准备的文件和必须履行的手续；</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（10）召集人需要通知的其他事项。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用通讯方式开会并进行表决的情况下，由召集人决定通讯方式和表决方式，并在会议通知中说明本次基金份额持有人大会所采取的具体通讯方式、委托的公证机关及其联系方式和联系人、表决意见的寄交的截止时间和收取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计票和表决结果。</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5、基金份额持有人出席会议的方式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1）基金份额持有人大会的召开方式包括现场开会、通讯方式开会或法律法规和监管机关允许的其他方式。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2）会议的召开方式由会议召集人确定。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3）现场开会由基金份额持有人本人出席或通过授权委托证明委派其代理人出席，现场开会时基金管理人和基金托管人的授权代表应当出席，基金管理人或基金托管人拒不派代表出席的，不影响表决效力。</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4）通讯方式开会指按照本基金合同的相关规定以通讯方式开会的表决方式进行表决。</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（2）召开基金份额持有人大会的条件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在同时符合以下条件时，现场会议方可举行：</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①经核对、汇总，到会者出示的在权益登记日持有基金份额的凭证显示，全部有效凭证所对应的基金份额应占权益登记日基金总份额的50%以上（含50%，下同）；</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亲自出席会议者持有基金份额持有人凭证和受托出席会议者出具的委托人持有基金份额的凭证及授权委托证明等文件符合有关法律法规和基金合同及会议通知的规定，并且持有基金份额的凭证与基金管理人持有的登记资料相符。</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在同时符合以下条件时，通讯会议方可举行：</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①召集人按本基金合同规定公布会议通知后，在2个工作日内连续公布相关提示性公告；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召集人在基金托管人（如果基金托管人为召集人，则为基金管理人；以下称为“监督人”）和公证机关的监督下按照会议通知规定的方式收取和统计基金份额持有人的表决意见，监督人经通知拒不参加收取和统计表决意见的，不影响表决效力；</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③本人直接出具表决意见或授权他人代表出具表决意见的基金份额持有人所代表的基金份额应占权益登记日基金总份额的50%以上；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直接出具表决意见的基金份额持有人或受托代表他人出具表决意见的代表，同时提交的持有基金份额的凭证和受托出席会议者出具的委托人持有基金份额的凭证和授权委托证明等文件符合法律法规、基金合同和会议通知的规定，并与注册登记机构记录相符；</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在法律法规或监管机构允许的情况下，经会议通知载明，基金份额持有人也可以采用网络、电话或其他方式进行表决，或者采用网络、电话或其他方式授权他人代为出席会议并表决。</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6、议事内容与程序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1）议事内容为本基金合同规定的召开基金份额持有人大会事由所涉及的内容以及会议召集人认为需提交基金份额持有人大会讨论的其他事项。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单独或合并持有权益登记日本基金总份额10%以上的基金份额持有人可以在大会召集人发出会议通知前就召开事由向大会召集人提交需由基金份额持有人大会审议表决的提案；也可以在会议通知发出后向大会召集人提交临时提案。召集人对于临时提案应当在大会召开日前30日公告。否则，会议</w:t>
      </w:r>
      <w:r>
        <w:rPr>
          <w:rFonts w:ascii="宋体" w:hAnsi="宋体"/>
          <w:sz w:val="24"/>
        </w:rPr>
        <w:lastRenderedPageBreak/>
        <w:t>的召开日期应当顺延并保证至少与临时提案公告日期有30日的间隔期。</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3）对于基金份额持有人提交的提案（包括临时提案），大会召集人应当按照以下原则对提案进行审核：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关联性。大会召集人对于基金份额持有人提案涉及事项与基金有直接关系，并且不超出法律法规和基金合同规定的基金份额持有人大会职权范围的，应提交大会审议；对于不符合上述要求的，不提交基金份额持有人大会审议。如果召集人决定不将基金份额持有人提案提交大会表决，应当在该次基金份额持有人大会上进行解释和说明。</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程序性。大会召集人可以对基金份额持有人的提案涉及的程序性问题作出决定。如将其提案进行分拆或合并表决，需征得原提案人同意；原提案人不同意变更的，大会主持人可以就程序性问题提请基金份额持有人大会作出决定，并按照基金份额持有人大会决定的程序进行审议。</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大会的召集人发出召开会议的通知后，如果需要对原有提案进行修改，应当最迟在基金份额持有人大会召开日前30日公告。否则，会议的召开日期应当顺延并保证至少与公告日期有30日的间隔期。</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在现场开会的方式下，首先由大会主持人按照规定程序宣布会议议事程序及注意事项，确定和公布监票人，然后由大会主持人宣读提案，经讨论后进行表决，经合法执业的律师见证后形成大会决议。</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大会由基金管理人授权代表主持。在基金管理人授权代表未能主持大会的情况下，由基金托管人授权代表主持；如果基金管理人和基金托管人授权代表均未能主持大会，则由出席大会的基金份额持有人和代理人以所代表的基金份额50%以上多数选举产生一名代表作为该次基金份额持有人大会的主持人。基金管理人和基金托管人不出席或主持基金份额持有人大会，不影响基金份额持有人大会作出的决议的效力。</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召集人应当制作出席会议人员的签名册。签名册载明参加会议人员姓名（或单位名称）、身份证号码、持有或代表有表决权的基金份额、委托人姓名（或单位名称）等事项。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2）通讯方式开会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通讯表决开会的方式下，首先由召集人提前30日公布提案，在所通知的表决截止日期后2个工作日内在公证机构监督下由召集人统计全部有效表决并形成决议。如监督人经通知但拒绝到场监督，则在公正机关监督下形成的决议有效。</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（3）基金份额持有人大会不得对未事先公告的议事内容进行表决。</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7、决议形成的条件、表决方式、程序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（1）基金份额持有人所持每一基金份额享有平等的表决权。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（2）基金份额持有人大会决议分为一般决议和特别决议：</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一般决议须经出席会议的基金份额持有人及其代理人所持表决权的50%以上通过方为有效，除下列2）所规定的须以特别决议通过事项以外的其他事项均以一般决议的方式通过；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别决议须经出席会议的基金份额持有人及代理人所持表决权的三分之二以上通过方为有效；更换基金管理人、更换基金托管人、转换基金运作方式、终止基金合同、本基金与其他基金合并（就上述情形，法律法规、《基金合同》和中国证监会另有规定的除外）必须以特别决议通过方为有效。</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（3）基金份额持有人大会决定的事项，应当依法报中国证监会备案，并予以公告。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采取通讯方式进行表决时，除非在计票时有充分的相反证据证明，否则提交符合会议通知中规定的确认投资者身份文件的表决视为有效出席的投资者，表面符合法律法规和会议通知规定的表决意见即视为有效的表决，表决意见模糊不清或相互矛盾的视为弃权表决，但应当计入出具表决意见的基金份额持有人所代表的基金份额总数。</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（5）基金份额持有人大会采取记名方式进行投票表决。</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（6）基金份额持有人大会的各项提案或同一项提案内并列的各项议题应当分开审议、逐项表决。</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8、计票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1）如基金份额持有人大会由基金管理人或基金托管人召集，则基金份额持有人大会的主持人应当在会议开始后宣布在出席会议的基金份额持有人和代理人中推</w:t>
      </w:r>
      <w:r>
        <w:rPr>
          <w:rFonts w:ascii="宋体" w:hAnsi="宋体"/>
          <w:sz w:val="24"/>
        </w:rPr>
        <w:lastRenderedPageBreak/>
        <w:t>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推举3名基金份额持有人担任监票人。基金管理人或基金托管人不出席大会的，不影响计票的效力及表决结果。</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2）监票人应当在基金份额持有人表决后立即进行清点，由大会主持人当场公布计票结果。</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会议主持人对于提交的表决结果有怀疑，可以对投票数进行重新清点；如会议主持人未进行重新清点，而出席会议的基金份额持有人或代理人对会议主持人宣布的表决结果有异议，其有权在宣布表决结果后立即要求重新清点，会议主持人应当立即重新清点并公布重新清点结果。重新清点仅限一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（2）通讯方式开会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方式开会的情况下，计票方式为：由大会召集人授权的两名监督员在监督人的监督下进行计票，并由公证机关对其计票过程予以公证。基金管理人或基金托管人不派代表监督计票的，不影响计票效力及表决结果。</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9、基金份额持有人大会决议的生效与公告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（1）基金份额持有人大会决定的事项自表决通过之日起生效，召集人应当自通过之日起5日内报中国证监会备案。</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（2）生效的基金份额持有人大会决议对全体基金份额持有人、基金管理人、基金托管人均有约束力。基金管理人、基金托管人和基金份额持有人应当执行生效的基金份额持有人大会的决定。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（3）基金份额持有人大会决议应自生效之日起2日内在规定媒介上公告。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（4）如果采用通讯方式进行表决，在公告基金份额持有人大会决议时，必须将公证书全文、公证机关、公证员姓名等一同公告。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10、实施侧袋机制期间基金份额持有人大会的特殊约定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（1）基金份额持有人行使提议权、召集权、提名权所需单独或合计代表相关基金份额10%以上（含10%）；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部分对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（三）基金合同的变更与终止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按照法律法规或本基金合同的规定，对基金合同的变更应当召开基金份额持有人大会的，基金合同变更的内容经基金份额持有人大会决议通过后生效，并应依法报中国证监会备案，并自决议生效之日起2日内在规定媒介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（2）但出现下列情况时，可不经基金份额持有人大会决议，由基金管理人和</w:t>
      </w:r>
      <w:r>
        <w:rPr>
          <w:rFonts w:ascii="宋体" w:hAnsi="宋体"/>
          <w:sz w:val="24"/>
        </w:rPr>
        <w:lastRenderedPageBreak/>
        <w:t>基金托管人同意变更后公布经修订的基金合同，并报中国证监会备案：</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1）在法律法规和本基金合同规定的范围内调整基金的申购费率、调低赎回费率及销售服务费率、变更或增加收费方式；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2）因相应的法律法规发生变动必须对基金合同进行修改；</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3）基金合同的修改不涉及本基金合同当事人权利义务关系发生重大变化；</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4）基金合同的修改对基金份额持有人利益无实质性不利影响；</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5）按照法律法规或本基金合同规定不需召开基金份额持有人大会的其他情形。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2、本基金合同的终止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有下列情形之一的，本基金合同应当终止：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（2）基金管理人职责终止，而在6个月内没有新的基金管理人承接的；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（3）基金托管人职责终止，而在6个月内没有新的基金托管人承接的；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连续50个工作日出现基金份额持有人数量不满200人或者基金资产净值低于5000万元情形的，基金合同终止，不需召开基金份额持有人大会；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（5）基金合同、相关法律法规和中国证监会规定的其他情况。</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（四）争议的处理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本基金合同产生或与本基金合同有关的争议，基金合同当事人应尽量通过协商、调解途径解决。不愿或者不能通过协商、调解解决的，任何一方均有权将争议提交中国国际经济贸易仲裁委员会，按照中国国际经济贸易仲裁委员会届时有效的仲裁规则进行仲裁。仲裁地点为北京市。仲裁裁决是终局的，对当事人均有约束力。除非仲裁裁决另有规定，仲裁费由败诉方承担。</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本基金合同适用中华人民共和国法律（不含港澳台地区法律）并从其解释。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（五）基金合同存放及投资者取得基金合同的方式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本基金合同正本一式六份，除上报相关监管部门两份外，基金管理人和基金托管人各持有两份。每份均具有同等的法律效力。</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本基金合同可印制成册，供基金投资者在基金管理人、基金托管人、销售机构和注册登记机构办公场所查阅。基金合同条款及内容应以基金合同正本为准。</w:t>
      </w:r>
    </w:p>
    <w:p w:rsidR="00B439CC" w:rsidRDefault="0025570F"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8D105C" w:rsidRDefault="0025570F">
      <w:pPr>
        <w:pStyle w:val="1"/>
        <w:snapToGrid w:val="0"/>
        <w:spacing w:beforeLines="0" w:before="240" w:after="240"/>
        <w:rPr>
          <w:rFonts w:ascii="宋体" w:hAnsi="宋体"/>
          <w:szCs w:val="30"/>
        </w:rPr>
      </w:pPr>
      <w:bookmarkStart w:id="25" w:name="_Toc240548887"/>
      <w:r>
        <w:rPr>
          <w:rFonts w:ascii="Times New Roman" w:hAnsi="Times New Roman"/>
          <w:sz w:val="30"/>
        </w:rPr>
        <w:lastRenderedPageBreak/>
        <w:t>二十二、托管协议的内容摘要</w:t>
      </w:r>
      <w:bookmarkEnd w:id="25"/>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办公地址：上海浦东新区世纪大道8号国金中心二期21-22楼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注册地址：北京市东城区建国门内大街69号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邮政编码：100031</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成立时间：2009年1月15日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基金托管资格批准文号：中国证监会证监基字[1998]23号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结汇、售汇；从事银行卡业务；提供信用证服务及担保；代理收付款项及代理保险业务；提供保管箱服</w:t>
      </w:r>
      <w:r>
        <w:rPr>
          <w:rFonts w:ascii="宋体" w:hAnsi="宋体"/>
          <w:sz w:val="24"/>
        </w:rPr>
        <w:lastRenderedPageBreak/>
        <w:t>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创业板、科创板以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货币市场工具、债券回购、同业存单、银行存款（含协议存款、定期存款及其他银行存款）、资产支持证券、股指期货以及法律法规或中国证监会允许基金投资的其他金融工具（但须符合中国证监会的相关规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如法律法规或监管机构以后允许本基金投资其他品种，基金管理人在履行适当程序后，可以将其纳入投资范围。</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配置比例为股票资产（含存托凭证）占基金资产的50%-95%（其中投资于港股通标的股票的比例占股票资产的0%-50%），投资于先进制造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w:t>
      </w:r>
      <w:r>
        <w:rPr>
          <w:rFonts w:ascii="宋体" w:hAnsi="宋体"/>
          <w:sz w:val="24"/>
        </w:rPr>
        <w:lastRenderedPageBreak/>
        <w:t>申购款等。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（1）股票资产（含存托凭证）占基金资产的50%-95%（其中投资于港股通标的股票的比例占股票资产的0%-50%），投资于先进制造主题相关证券的比例不低于非现金基金资产的80%；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（2）每个交易日日终在扣除股指期货合约需缴纳的交易保证金后，保持不低于基金资产净值5%的现金或者到期日在一年以内的政府债券，其中现金不包括结算备付金、存出保证金、应收申购款等；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 股合计计算），其市值不超过基金资产净值的10%；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（4）本基金管理人管理的、且由本基金托管人托管的全部基金持有一家公司发行的证券（同一家公司在内地和香港同时上市的A+H 股合计计算），不超过该证券的10%，完全按照有关指数的构成比例进行证券投资的基金品种可以不受此条款规定的比例限制；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管理人管理的、且由本基金托管人托管的全部开放式基金（包括开放式基金以及处于开放期的定期开放基金）持有一家上市公司发行的可流通股票，不得超过该上市公司可流通股票的15%；本基金管理人管理的、且由本基金托管人托管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（7）本基金与私募类证券资管产品及中国证监会认定的其他主体为交易对手开展逆回购交易的，可接受质押品的资质要求应当与基金合同约定的投资范围保持一致；</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（8）本基金投资于同一原始权益人的各类资产支持证券的比例，不得超过基金资产净值的10%；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（11）本基金管理人管理的、且由本基金托管人托管的全部基金投资于同一原始权益人的各类资产支持证券，不得超过其各类资产支持证券合计规模的10%；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（14）本基金进入全国银行间同业市场进行债券回购的资金余额不得超过基金资产净值的40%；本基金在全国银行间同业市场中的债券回购最长期限为1年，债券回购到期后不得展期；</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（15）当本基金投资股指期货时，则：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（19）本基金的基金资产总值不得超过基金资产净值的140%；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（20）本基金投资存托凭证的比例限制依照境内上市交易的股票执行；</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（21）法律法规及中国证监会规定的和《基金合同》约定的其他投资限制。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项、第（6）项、第（7）项、第（12）项以外，因证券、期货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投资的监督和检查自基金合同生效之日起开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则本基金投资不再受相关限制。基金托管人对基金投资的监督和检查自基金合同生效之日起开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协议第十五条第（九）项基金投资禁止行为进行监督。根据法律法规有关基金从事关联交易的规定，基金管理人和基金托管人应事先相互提供与本机构有控股关系的股东或与本机构有其他重大利害关系的公司名单及其更新，并以双方约定的方式提交，确保所提供的关联交易名单的真实性、完整性、全面性。基金管理人有责任保管真实、完整、全面的关联交易名单，并负责及时更新该名单。名单变更后基金管理人应及时发送基金托管人，基金托管人应及时确认已知名单的变更。如果基金托管人在运作中严格遵循了监督流程，基金管理人仍违规进行关联交易，并造成基金资产损失的，由基金管理人承担责任，基金托管人有权向中国证监会报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w:t>
      </w:r>
      <w:r>
        <w:rPr>
          <w:rFonts w:ascii="宋体" w:hAnsi="宋体"/>
          <w:sz w:val="24"/>
        </w:rPr>
        <w:lastRenderedPageBreak/>
        <w:t>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2个工作日内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进行交易时，基金托管人应及时提醒基金管理人，基金托管人不承担由此造成的任何损失和责任。</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5、基金托管人根据有关法律法规的规定及基金合同的约定，对基金管理人投资银行存款进行监督。</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基金投资银行存款的，基金管理人应根据法律法规的规定及基金合同的约定，建立投资制度、审慎选择存款银行，做好风险控制；并按照基金托管人的要求配合基金托管人完成相关业务办理。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7、基金托管人根据有关法律法规的规定及基金合同的约定，对基金投资流通受限证券进行监督。</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（1）基金投资流通受限证券，应遵守《关于基金投资非公开发行股票等流通受限证券有关问题的通知》等有关法律法规规定。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w:t>
      </w:r>
      <w:r>
        <w:rPr>
          <w:rFonts w:ascii="宋体" w:hAnsi="宋体"/>
          <w:sz w:val="24"/>
        </w:rPr>
        <w:lastRenderedPageBreak/>
        <w:t>不包括由于发布重大消息或其他原因而临时停牌的证券、已发行未上市证券、回购交易中的质押券等流通受限证券。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（4）在投资流通受限证券之前，基金管理人应至少提前一个交易日向基金托管人提供有关流通受限证券的相关信息，具体应当包括但不限于如下文件（如有）：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任何责任，并有权报告中国证监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保证基金投资的流通受限证券登记存管在本基金名下，并确保基金托管人能够正常查询。因基金管理人原因产生的流通受限证券登记存管问题，造成基金财产的损失或基金托管人无法安全保管基金财产的责任与损失，由基金管理人承担。</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在履行其监督职责后不承担上述损失。</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8、基金托管人发现基金管理人的上述事项及投资指令或实际投资运作中违反</w:t>
      </w:r>
      <w:r>
        <w:rPr>
          <w:rFonts w:ascii="宋体" w:hAnsi="宋体"/>
          <w:sz w:val="24"/>
        </w:rPr>
        <w:lastRenderedPageBreak/>
        <w:t>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 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和证券账户等投资所需账户、协助开立股指期货业务相关账户及交易编码、复核基金管理人计算的基金资产净值和基金份额净值、根据基金管理人指令办理清算交收、相关信息披露和监督基金投资运作等行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w:t>
      </w:r>
      <w:r>
        <w:rPr>
          <w:rFonts w:ascii="宋体" w:hAnsi="宋体"/>
          <w:sz w:val="24"/>
        </w:rPr>
        <w:lastRenderedPageBreak/>
        <w:t>上述规定期限内，基金管理人有权随时对通知事项进行复查, 督促基金托管人改正。基金托管人应积极配合基金管理人的核查行为，包括但不限于：提交相关资料以供基金管理人核查托管财产的完整性和真实性，在规定时间内答复基金管理人并改正。</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（四）基金财产保管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（3）基金托管人按照规定开设基金财产的资金账户和证券账户，协助开立股指期货业务相关账户及交易编码。</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交银施罗德先进制造股票证券投资基金经中国证监会证监许可[2011]639号核准募集，基金管理人为交银施罗德基金管理有限公司，基金托管人为中国农业银行股份有限公司。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交银施罗德先进制造股票证券投资基金自2011年5月23日至2011年6月17日进行公开募集，并于2011年6月22日获得中国证监会的书面确认，《交银施罗德先进制造股票证券投资基金基金合同》自该日起生效。具体募集情况如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普华永道中天会计师事务所（特殊普通合伙）验资，本次募集的有效净认购金额为1,917,255,974.38元人民币，折合基金份额1,917,255,974.38份；认购款项在基金验资确认日之前产生的银行利息共计430,117.38元人民币，折合基金份额430,117.38份。本次募集所有资金已于2011年6月22日全额划入该基金在基金托管人中国农业银行股份有限公司开立的交银施罗德先进制造股票证券投资基金托管专户。该基金按照每份基金份额面值1.00 元人民币计算，募集期间募集资金及其利息结转的基金份额共计1,917,686,091.76份。</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3、基金的银行账户的开立和管理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（1）基金托管人应负责本基金的资金账户的开设和管理。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可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资金账户进行。</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（3）基金托管资金账户的开立和使用，限于满足开展本基金业务的需要。基金托管人和基金管理人不得假借本基金的名义开立任何其他银行账户；亦不得使用基金的任何账户进行本基金业务以外的活动。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（4）基金托管资金账户的开立和管理应符合相关法律法规的有关规定。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（5）在符合法律法规规定的条件下，基金托管人可以通过基金托管人专用账户办理基金资产的支付。</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4、基金证券账户的开立和管理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（3）基金托管人以自身法人名义在中国证券登记结算有限责任公司开立结算备付金账户，并代表所托管的基金完成与中国证券登记结算有限责任公司的一级法</w:t>
      </w:r>
      <w:r>
        <w:rPr>
          <w:rFonts w:ascii="宋体" w:hAnsi="宋体"/>
          <w:sz w:val="24"/>
        </w:rPr>
        <w:lastRenderedPageBreak/>
        <w:t>人清算工作，基金管理人应予以积极协助。结算备付金的收取按照中国证券登记结算有限责任公司的规定执行。</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（4）基金证券账户的开立和证券账户卡的保管由基金托管人负责，账户资产的管理和运用由基金管理人负责。</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银行间市场清算所股份有限公司的有关规定，以基金的名义在中央国债登记结算有限责任公司、银行间市场清算所股份有限公司开立债券托管与结算账户，并代表基金进行银行间市场债券的结算。基金管理人和基金托管人同时代表基金签订全国银行间债券市场债券回购主协议。</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（1）因业务发展需要而开立的其他账户，可以根据法律法规和基金合同的规定，在基金管理人和基金托管人商议后由基金托管人负责开立。新账户按有关规则使用并管理。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不承担保管责任。</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不低于法律法规规定的最低期</w:t>
      </w:r>
      <w:r>
        <w:rPr>
          <w:rFonts w:ascii="宋体" w:hAnsi="宋体"/>
          <w:sz w:val="24"/>
        </w:rPr>
        <w:lastRenderedPageBreak/>
        <w:t>限。</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（五）基金资产净值计算和会计复核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1、基金资产净值的计算及复核程序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基金资产净值是指基金资产总值减去负债后的金额。</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按照每个工作日闭市后，该类基金份额的基金资产净值除以当日该类基金份额的余额数量计算。基金份额净值的计算，精确到0.0001元，小数点后第五位四舍五入，由此产生的误差计入基金财产。基金管理人可以设立大额赎回情形下的净值精度应急调整机制，具体可参见相关公告。国家另有规定的，从其规定。</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每工作日计算基金资产净值及基金份额净值，并按规定公告。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基金管理人每工作日对基金资产进行估值后，将基金份额净值结果发送基金托管人，经基金托管人复核无误后，由基金管理人依据基金合同和有关法律法规的规定对外公布。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2、基金资产估值方法和特殊情形的处理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基金所拥有的股票、债券、衍生工具和其它投资等持续以公允价值计量的金融资产及负债。</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②交易所上市交易或挂牌转让的固定收益品种（另有规定的除外），选取估值日第三方估值机构提供的相应品种当日的估值净价进行估值；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③交易所上市交易的可转换债券，按估值日收盘价减去可转换债券收盘价中所</w:t>
      </w:r>
      <w:r>
        <w:rPr>
          <w:rFonts w:ascii="宋体" w:hAnsi="宋体"/>
          <w:sz w:val="24"/>
        </w:rPr>
        <w:lastRenderedPageBreak/>
        <w:t>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④交易所上市实行全价交易的债券（可转债除外），选取第三方估值机构提供的估值全价减去估值全价中所含的债券（税后）应收利息得到的净价进行估值；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⑤交易所上市不存在活跃市场的有价证券，采用估值技术确定公允价值。交易所市场挂牌转让的资产支持证券，采用估值技术确定公允价值；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⑥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①送股、转增股、配股和公开增发的新股，按估值日在证券交易所挂牌的同一股票的估值方法估值；该日无交易的，以最近一日的市价（收盘价）估值；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②首次公开发行未上市的股票和债券，采用估值技术确定公允价值，在估值技术难以可靠计量公允价值的情况下，按成本估值；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4）本基金投资股指期货合约，一般以估值当日结算价进行估值，估值当日无结算价的，且最近交易日后经济环境未发生重大变化的，采用最近交易日结算价估值。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5）同一证券同时在两个或两个以上市场交易的，按证券所处的市场分别估值。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估值计算中涉及港币对人民币汇率的，将依据下列信息提供机构所提供的汇率为基准：当日中国人民银行或其授权机构公布的人民币汇率中间价。</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税收：对于按照中国法律法规和基金投资境内外股票市场交易互联互通机制涉及的境外交易场所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6）当发生大额申购或赎回情形时，基金管理人可以采用摆动定价机制，以确保基金估值的公平性。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7）本基金投资存托凭证的估值核算依照境内上市交易的股票执行。</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8）如有确凿证据表明按上述方法进行估值不能客观反映其公允价值的，基金管理人可根据具体情况与基金托管人商定后，按最能反映公允价值的价格估值。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（3）特殊情形的处理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1）基金管理人、基金托管人按估值方法的第8）项进行估值时，所造成的误差不作为基金份额净值错误处理。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w:t>
      </w:r>
      <w:r>
        <w:rPr>
          <w:rFonts w:ascii="宋体" w:hAnsi="宋体"/>
          <w:sz w:val="24"/>
        </w:rPr>
        <w:lastRenderedPageBreak/>
        <w:t>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3、基金份额净值错误的处理方式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基金份额净值小数点后4位以内（含第4位）发生差错时，视为基金份额净值错误；基金份额净值出现错误时，基金管理人应当立即予以纠正，通报基金托管人，并采取合理的措施防止损失进一步扩大；错误偏差达到或超过基金份额净值的0.25%时，基金管理人应当及时通知基金托管人并报中国证监会；错误偏差达到基金份额净值的0.50%时，基金管理人应当公告、通报基金托管人并报中国证监会备案；当发生净值计算错误时，由基金管理人负责处理，由此给基金份额持有人和基金造成损失的，应由基金管理人先行赔付，基金管理人按差错情形，有权向其他当事人追偿。</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（2）当基金份额净值计算差错给基金和基金份额持有人造成损失需要进行赔偿时，基金管理人和基金托管人应根据实际情况界定双方承担的责任，经确认后按以下条款进行赔偿：</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基金会计责任方由基金管理人担任。与本基金有关的会计问题，如经双方在平等基础上充分讨论后，尚不能达成一致时，按基金会计责任方的建议执行，由此给基金份额持有人和基金造成的损失，由基金管理人负责赔付。</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基金管理人计算的基金份额净值已由基金托管人复核确认后公告，基金份额净值出错且造成基金份额持有人损失的，应根据法律法规的规定对基金份额持有人或基金支付赔偿金，就实际向基金份额持有人或基金支付的赔偿金额，其中基金管理人承担50%，基金托管人承担50%。</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基金管理人提供的信息错误（包括但不限于基金申购或赎回金额等），基金托管人在履行了正常的复核程序后仍不能发现该错误，进而导致基金份额净值计算错误而引起的基金份额持有人和基金财产的损失，由基金管理人负责赔付。</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（3）基金管理人和基金托管人由于各自技术系统设置而产生的净值计算尾</w:t>
      </w:r>
      <w:r>
        <w:rPr>
          <w:rFonts w:ascii="宋体" w:hAnsi="宋体"/>
          <w:sz w:val="24"/>
        </w:rPr>
        <w:lastRenderedPageBreak/>
        <w:t>差，以基金管理人计算结果为准。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（4）前述内容如法律法规或监管机关另有规定的，从其规定处理。如果行业有通行做法，双方当事人应本着平等和保护基金份额持有人利益的原则进行协商。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4、暂停估值与公告基金份额净值的情形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（4）法律法规、中国证监会和基金合同认定的其他情形。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5、基金会计制度</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6、基金账册的建立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进行基金会计核算并编制基金财务会计报告。基金管理人独立地设置、记录和保管本基金的全套账册。基金托管人按规定制作相关账册并与基金管理人核对。若基金管理人和基金托管人对会计处理方法存在分歧，应以基金管理人的处理方法为准。若当日核对不符，暂时无法查找到错账的原因而影响到基金资产净值的计算和公告的，以基金管理人的账册为准。</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7、基金财务报表与报告的编制和复核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编制并对外提供真实、完整的基金财务会计报告。月度报表的编制，基金管理人应于每月终了后5个工作日内完成；季度报告应在季度结束之日起15个工作日内编制完毕并予以公告；中期报告在会计年度半年终了后两个月内编制完毕并予以公告；年度报告在会计年度结束后三个月内编制完毕并予以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基金管理人在报表或定期报告完成当日，对报表盖章后，以加密传真方式或双方书面商定的其他方式将有关报表提供基金托管人复核。</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基金管理人在月度报表完成当日，将报表盖章后提供给基金托管人复核；基金</w:t>
      </w:r>
      <w:r>
        <w:rPr>
          <w:rFonts w:ascii="宋体" w:hAnsi="宋体"/>
          <w:sz w:val="24"/>
        </w:rPr>
        <w:lastRenderedPageBreak/>
        <w:t>托管人在收到后应在3日内进行复核，并将复核结果书面通知基金管理人。基金管理人在季度报告完成当日，将有关报告提供给基金托管人复核，基金托管人应在收到后7个工作日内完成复核，并将复核结果书面通知基金管理人。基金管理人在中期报告完成当日，将有关报告提供给基金托管人复核，基金托管人应在收到后30日内完成复核，并将复核结果书面通知基金管理人。基金管理人在年度报告完成当日，将有关报告提供基金托管人复核，基金托管人应在收到后45日内完成复核，并将复核结果书面通知基金管理人。基金管理人和基金托管人之间的上述文件往来均以加密传真的方式或双方商定的其他方式进行。</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复核过程中，发现双方的报表存在不符时，基金管理人和基金托管人应共同查明原因，进行调整，调整以双方认可的账务处理方式为准；若双方无法达成一致，以基金管理人的账务处理为准。核对无误后，基金托管人在基金管理人提供的报告上加盖托管业务部门公章或者出具加盖托管业务专用章的复核意见书，双方各自留存一份。如果基金管理人与基金托管人不能于应当发布公告之日之前就相关报表达成一致，基金管理人有权按照其编制的报表对外发布公告，基金托管人有权就相关情况报中国证监会备案。</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（六）基金份额持有人名册的保管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等涉及到基金重要事项日期的基金份额持有人名册应于发生日后十个工作日内提交。</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应妥善保管基金份额持有人名册，保存期限不低于法律法规规定的最低期限。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除非仲裁裁决另有规定，仲裁费由败诉方承担。</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本协议适用中华人民共和国法律（不含港澳台地区法律）并从其解释。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（八）托管协议的变更与终止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本协议双方当事人经协商一致，可以对协议进行修改。修改后的新协议，其内容不得与基金合同的规定有任何冲突。基金托管协议的变更报应报中国证监会备案。</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2557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05C" w:rsidRDefault="0025570F">
      <w:pPr>
        <w:pStyle w:val="1"/>
        <w:snapToGrid w:val="0"/>
        <w:spacing w:beforeLines="0" w:before="240" w:after="240"/>
        <w:rPr>
          <w:rFonts w:ascii="宋体" w:hAnsi="宋体"/>
          <w:szCs w:val="30"/>
        </w:rPr>
      </w:pPr>
      <w:bookmarkStart w:id="26" w:name="_Toc240548888"/>
      <w:r>
        <w:rPr>
          <w:rFonts w:ascii="Times New Roman" w:hAnsi="Times New Roman"/>
          <w:sz w:val="30"/>
        </w:rPr>
        <w:lastRenderedPageBreak/>
        <w:t>二十三、对基金份额持有人的服务</w:t>
      </w:r>
      <w:bookmarkEnd w:id="26"/>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本基金管理人承诺为基金份额持有人提供一系列的服务。本基金管理人根据基金份额持有人的需要和市场的变化，有权增加或变更服务项目。主要服务内容如下：</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定期定额投资和转换等业务。本公司暂不开展网上直销后端A类基金份额的申购业务，通过转托管转入网上直销账户的后端收费模式的A类基金份额只能办理赎回业务。通过网上直销交易平台办理本基金前端A类基金份额申购和定期定额投资业务的个人投资者将享受前端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申购、定期定额投资及转换费率表或相关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在条件成熟的时候，本基金管理人将根据基金网上直销业务的发展状况，适时调整可用于网上直销交易平台的银行卡种类，敬请投资者留意相关公告。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如果想查询申购、赎回等交易情况、分红方式状态、基金账户余额、基金产品与服务等信息，请拨打本基金管理人客户服务电话（400-700-5000，021-61055000）或登录本基金管理人网站（www.fund001.com）进行咨询、查询。</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本基金管理人为投资者预设基金查询密码，预设的基金查询密码为投资者开户证件号码的后6位数字，不足6位数字的，前面加“0”补足。基金查询密码用于投</w:t>
      </w:r>
      <w:r>
        <w:rPr>
          <w:rFonts w:ascii="宋体" w:hAnsi="宋体"/>
          <w:sz w:val="24"/>
        </w:rPr>
        <w:lastRenderedPageBreak/>
        <w:t>资者通过客户服务电话查询基金账户下的账户和交易信息。投资者请在其知晓基金账号后，及时拨打本基金管理人客户服务电话修改基金查询密码。</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投资者可以拨打本基金管理人客户服务电话投诉直销机构的人员和服务。</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（四）基金红利再投资</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份额持有人持有的基金份额可选择现金红利或选择红利再投将现金红利自动转为相应类别的基金份额进行再投资，若投资人不选择，本基金默认的收益分配方式是现金分红。再投资红利按红利再投日（即除息日）除息后的基金份额净值自动转为基金份额，并免收申购费用。</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本基金可开通定期定额投资计划，具体实施方法请参见相关公告。</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基金管理人的互联网地址及电子信箱</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w:t>
      </w:r>
      <w:r w:rsidRPr="00BB248E">
        <w:rPr>
          <w:rFonts w:ascii="宋体" w:hAnsi="宋体" w:hint="eastAsia"/>
          <w:kern w:val="0"/>
          <w:sz w:val="24"/>
        </w:rPr>
        <w:t>如本招募说明书存在任何您/贵机构无法理解的内容，请通过上述方式联系基金管理人。请确保投资前，您/贵机构已经全面理解了本招募说明书。</w:t>
      </w:r>
    </w:p>
    <w:p w:rsidR="00B439CC" w:rsidRDefault="002557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05C" w:rsidRDefault="0025570F">
      <w:pPr>
        <w:pStyle w:val="1"/>
        <w:snapToGrid w:val="0"/>
        <w:spacing w:beforeLines="0" w:before="240" w:after="240"/>
        <w:rPr>
          <w:rFonts w:ascii="宋体" w:hAnsi="宋体"/>
          <w:szCs w:val="30"/>
        </w:rPr>
      </w:pPr>
      <w:bookmarkStart w:id="27" w:name="_Toc240548889"/>
      <w:r>
        <w:rPr>
          <w:rFonts w:ascii="Times New Roman" w:hAnsi="Times New Roman"/>
          <w:sz w:val="30"/>
        </w:rPr>
        <w:lastRenderedPageBreak/>
        <w:t>二十四、其他应披露事项</w:t>
      </w:r>
      <w:bookmarkEnd w:id="27"/>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交银施罗德基金管理有限公司关于增加中国人寿保险股份有限公司为旗下基金的销售机构的公告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2025-08-08</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交银施罗德基金管理有限公司关于交银施罗德先进制造混合型证券投资基金基金经理变更公告</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2025-09-15</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2025-09-18</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2025-09-18</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2025-09-18</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交银施罗德基金管理有限公司关于交银施罗德先进制造混合型证券投资基金基金经理变更公告</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2025-09-20</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2025-09-24</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2025-09-24</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2025-09-24</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交银施罗德先进制造混合型证券投资基金基金合同</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2025-10-23</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交银施罗德先进制造混合型证券投资基金托管协议</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2025-10-23</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2025-10-23</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交银施罗德基金管理有限公司关于旗下部分基金开通同一基金不同类别基金份额转换业务并修改基金合同的公告</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2025-10-23</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交银施罗德基金管理有限公司关于终止方正中期期货有限公司办理相关销售业务的公告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2025-11-14</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25</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8D105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05C" w:rsidRDefault="002557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2557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05C" w:rsidRDefault="0025570F">
      <w:pPr>
        <w:pStyle w:val="1"/>
        <w:snapToGrid w:val="0"/>
        <w:spacing w:beforeLines="0" w:before="240" w:after="240"/>
        <w:rPr>
          <w:rFonts w:ascii="宋体" w:hAnsi="宋体"/>
          <w:szCs w:val="30"/>
        </w:rPr>
      </w:pPr>
      <w:bookmarkStart w:id="28" w:name="_Toc240548890"/>
      <w:r>
        <w:rPr>
          <w:rFonts w:ascii="Times New Roman" w:hAnsi="Times New Roman"/>
          <w:sz w:val="30"/>
        </w:rPr>
        <w:lastRenderedPageBreak/>
        <w:t>二十五、招募说明书的存放及查阅方式</w:t>
      </w:r>
      <w:bookmarkEnd w:id="28"/>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者可在办公时间查阅；投资者在支付工本费后，可在合理时间内取得上述文件复制件或复印件。对投资者按此种方式所获得的文件及其复印件，基金管理人和基金托管人保证文本的内容与所公告的内容完全一致。</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2557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05C" w:rsidRDefault="0025570F">
      <w:pPr>
        <w:pStyle w:val="1"/>
        <w:snapToGrid w:val="0"/>
        <w:spacing w:beforeLines="0" w:before="240" w:after="240"/>
        <w:rPr>
          <w:rFonts w:ascii="宋体" w:hAnsi="宋体"/>
          <w:szCs w:val="30"/>
        </w:rPr>
      </w:pPr>
      <w:bookmarkStart w:id="29" w:name="_Toc240548891"/>
      <w:r>
        <w:rPr>
          <w:rFonts w:ascii="Times New Roman" w:hAnsi="Times New Roman"/>
          <w:sz w:val="30"/>
        </w:rPr>
        <w:lastRenderedPageBreak/>
        <w:t>二十六、备查文件</w:t>
      </w:r>
      <w:bookmarkEnd w:id="29"/>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（一）中国证监会核准交银施罗德先进制造股票证券投资基金募集的文件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（二）中国证监会准予交银施罗德先进制造混合型证券投资基金变更注册的文件</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（三）《交银施罗德先进制造混合型证券投资基金基金合同》</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（四）《交银施罗德先进制造混合型证券投资基金托管协议》</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（五）基金管理人业务资格批件、营业执照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（六）基金托管人业务资格批件、营业执照</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（七）关于申请募集交银施罗德先进制造股票证券投资基金之法律意见书</w:t>
      </w:r>
    </w:p>
    <w:p w:rsidR="008D105C" w:rsidRDefault="002557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（八）关于申请变更注册交银施罗德先进制造混合型证券投资基金的法律意见书</w:t>
      </w:r>
    </w:p>
    <w:sectPr w:rsidR="008D105C">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4D08" w:rsidRDefault="0025570F">
      <w:r>
        <w:separator/>
      </w:r>
    </w:p>
  </w:endnote>
  <w:endnote w:type="continuationSeparator" w:id="0">
    <w:p w:rsidR="00F64D08" w:rsidRDefault="00255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105C" w:rsidRDefault="008D105C">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105C" w:rsidRDefault="00C83382">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8D105C" w:rsidRDefault="0025570F">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C83382">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105C" w:rsidRDefault="008D105C">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105C" w:rsidRDefault="00C83382">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8D105C" w:rsidRDefault="0025570F">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C83382">
                  <w:rPr>
                    <w:rFonts w:ascii="Times New Roman" w:hAnsi="Times New Roman"/>
                    <w:noProof/>
                    <w:kern w:val="0"/>
                    <w:sz w:val="18"/>
                    <w:szCs w:val="18"/>
                  </w:rPr>
                  <w:t>183</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4D08" w:rsidRDefault="0025570F">
      <w:r>
        <w:separator/>
      </w:r>
    </w:p>
  </w:footnote>
  <w:footnote w:type="continuationSeparator" w:id="0">
    <w:p w:rsidR="00F64D08" w:rsidRDefault="002557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105C" w:rsidRDefault="008D105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105C" w:rsidRDefault="0025570F">
    <w:pPr>
      <w:pStyle w:val="a3"/>
      <w:jc w:val="right"/>
      <w:rPr>
        <w:rFonts w:ascii="宋体" w:hAnsi="宋体"/>
      </w:rPr>
    </w:pPr>
    <w:r>
      <w:rPr>
        <w:rFonts w:ascii="宋体" w:hAnsi="宋体" w:hint="eastAsia"/>
      </w:rPr>
      <w:t>交银施罗德先进制造混合型证券投资基金招募说明书更新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105C" w:rsidRDefault="008D105C">
    <w:pPr>
      <w:pStyle w:val="10"/>
      <w:jc w:val="right"/>
    </w:pPr>
  </w:p>
  <w:p w:rsidR="008D105C" w:rsidRDefault="008D105C">
    <w:pPr>
      <w:pStyle w:val="10"/>
      <w:jc w:val="right"/>
    </w:pPr>
  </w:p>
  <w:p w:rsidR="008D105C" w:rsidRDefault="008D105C">
    <w:pPr>
      <w:pStyle w:val="a3"/>
      <w:jc w:val="right"/>
    </w:pPr>
  </w:p>
  <w:p w:rsidR="008D105C" w:rsidRDefault="0025570F">
    <w:pPr>
      <w:pStyle w:val="a3"/>
      <w:jc w:val="right"/>
      <w:rPr>
        <w:rFonts w:ascii="宋体" w:hAnsi="宋体"/>
      </w:rPr>
    </w:pPr>
    <w:r>
      <w:rPr>
        <w:rFonts w:ascii="宋体" w:hAnsi="宋体" w:hint="eastAsia"/>
      </w:rPr>
      <w:t>交银施罗德先进制造混合型证券投资基金招募说明书更新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105C" w:rsidRDefault="008D105C">
    <w:pPr>
      <w:pStyle w:val="a3"/>
      <w:jc w:val="right"/>
    </w:pPr>
  </w:p>
  <w:p w:rsidR="008D105C" w:rsidRDefault="008D105C">
    <w:pPr>
      <w:pStyle w:val="a3"/>
      <w:jc w:val="right"/>
    </w:pPr>
  </w:p>
  <w:p w:rsidR="008D105C" w:rsidRDefault="008D105C">
    <w:pPr>
      <w:pStyle w:val="a3"/>
      <w:jc w:val="right"/>
    </w:pPr>
  </w:p>
  <w:p w:rsidR="008D105C" w:rsidRDefault="0025570F">
    <w:pPr>
      <w:pStyle w:val="a3"/>
      <w:jc w:val="right"/>
      <w:rPr>
        <w:rFonts w:ascii="宋体" w:hAnsi="宋体"/>
      </w:rPr>
    </w:pPr>
    <w:r>
      <w:rPr>
        <w:rFonts w:ascii="宋体" w:hAnsi="宋体" w:hint="eastAsia"/>
      </w:rPr>
      <w:t>交银施罗德先进制造混合型证券投资基金招募说明书更新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5570F"/>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105C"/>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83382"/>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4D08"/>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9578D599-DAA6-4E6A-A235-E0695204A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184</Pages>
  <Words>19237</Words>
  <Characters>109651</Characters>
  <Application>Microsoft Office Word</Application>
  <DocSecurity>0</DocSecurity>
  <Lines>913</Lines>
  <Paragraphs>257</Paragraphs>
  <ScaleCrop>false</ScaleCrop>
  <Company>Microsoft</Company>
  <LinksUpToDate>false</LinksUpToDate>
  <CharactersWithSpaces>128631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2026-09-17T06:47:00Z</dcterms:created>
  <dcterms:modified xsi:type="dcterms:W3CDTF">2026-09-17T06:47:00Z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