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22733E">
      <w:pPr>
        <w:rPr>
          <w:sz w:val="32"/>
        </w:rPr>
      </w:pPr>
    </w:p>
    <w:p w:rsidR="00C92FC0" w:rsidRPr="00EB07BC" w:rsidRDefault="0022733E">
      <w:pPr>
        <w:rPr>
          <w:sz w:val="32"/>
        </w:rPr>
      </w:pPr>
    </w:p>
    <w:p w:rsidR="00C92FC0" w:rsidRPr="00EB07BC" w:rsidRDefault="0022733E">
      <w:pPr>
        <w:rPr>
          <w:sz w:val="32"/>
        </w:rPr>
      </w:pPr>
    </w:p>
    <w:p w:rsidR="00904261" w:rsidRDefault="0090426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04261" w:rsidRDefault="0090426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04261" w:rsidRDefault="0090426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04261" w:rsidRDefault="00F3087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交银施罗德新生活力灵活配置混合型证券投资基金</w:t>
      </w:r>
    </w:p>
    <w:p w:rsidR="00904261" w:rsidRDefault="00F3087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04261" w:rsidRDefault="00904261">
      <w:pPr>
        <w:snapToGrid w:val="0"/>
        <w:spacing w:line="360" w:lineRule="auto"/>
        <w:jc w:val="center"/>
        <w:rPr>
          <w:rFonts w:ascii="宋体" w:hAnsi="宋体"/>
          <w:b/>
          <w:sz w:val="30"/>
          <w:szCs w:val="30"/>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F3087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04261" w:rsidRDefault="00F3087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90426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04261" w:rsidRDefault="00F3087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904261" w:rsidRDefault="00904261">
      <w:pPr>
        <w:autoSpaceDE w:val="0"/>
        <w:autoSpaceDN w:val="0"/>
        <w:adjustRightInd w:val="0"/>
        <w:snapToGrid w:val="0"/>
        <w:spacing w:line="360" w:lineRule="auto"/>
        <w:ind w:left="1347" w:rightChars="6" w:right="13"/>
        <w:rPr>
          <w:rFonts w:ascii="宋体" w:hAnsi="宋体"/>
          <w:kern w:val="0"/>
          <w:sz w:val="32"/>
          <w:szCs w:val="32"/>
        </w:rPr>
        <w:sectPr w:rsidR="0090426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904261" w:rsidRDefault="00F3087E">
      <w:pPr>
        <w:pStyle w:val="1"/>
        <w:snapToGrid w:val="0"/>
        <w:spacing w:beforeLines="0" w:before="240" w:after="240"/>
        <w:rPr>
          <w:rFonts w:ascii="宋体" w:hAnsi="宋体"/>
          <w:kern w:val="0"/>
        </w:rPr>
      </w:pPr>
      <w:bookmarkStart w:id="0" w:name="_Toc324920538"/>
      <w:bookmarkStart w:id="1" w:name="_Toc496884613"/>
      <w:bookmarkStart w:id="2" w:name="_Toc240548788"/>
      <w:r>
        <w:rPr>
          <w:rFonts w:ascii="Times New Roman" w:hAnsi="Times New Roman"/>
          <w:kern w:val="0"/>
        </w:rPr>
        <w:lastRenderedPageBreak/>
        <w:t>重要提示</w:t>
      </w:r>
      <w:bookmarkEnd w:id="0"/>
      <w:bookmarkEnd w:id="1"/>
      <w:bookmarkEnd w:id="2"/>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交银施罗德新生活力灵活配置混合型证券投资基金（以下简称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933</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股指期货的特定风险；投资科创板股票的特定风险；投资本基金特有的其他风险等等。</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w:t>
      </w:r>
      <w:r>
        <w:rPr>
          <w:rFonts w:ascii="Times New Roman" w:hAnsi="Times New Roman"/>
          <w:kern w:val="0"/>
          <w:sz w:val="24"/>
        </w:rPr>
        <w:lastRenderedPageBreak/>
        <w:t>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904261" w:rsidRDefault="00F3087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904261" w:rsidRDefault="00904261">
      <w:pPr>
        <w:autoSpaceDE w:val="0"/>
        <w:autoSpaceDN w:val="0"/>
        <w:adjustRightInd w:val="0"/>
        <w:snapToGrid w:val="0"/>
        <w:spacing w:before="51" w:line="360" w:lineRule="auto"/>
        <w:ind w:left="120" w:rightChars="6" w:right="13" w:firstLine="480"/>
        <w:rPr>
          <w:rFonts w:ascii="宋体" w:hAnsi="宋体"/>
          <w:kern w:val="0"/>
          <w:szCs w:val="24"/>
        </w:rPr>
        <w:sectPr w:rsidR="00904261">
          <w:headerReference w:type="default" r:id="rId14"/>
          <w:pgSz w:w="11920" w:h="16840"/>
          <w:pgMar w:top="1440" w:right="1680" w:bottom="280" w:left="1680" w:header="0" w:footer="1073" w:gutter="0"/>
          <w:pgNumType w:start="1"/>
          <w:cols w:space="720"/>
        </w:sectPr>
      </w:pPr>
    </w:p>
    <w:p w:rsidR="0022733E" w:rsidRPr="0022733E" w:rsidRDefault="00F3087E" w:rsidP="0022733E">
      <w:pPr>
        <w:pStyle w:val="ad"/>
        <w:snapToGrid w:val="0"/>
        <w:spacing w:after="240" w:line="360" w:lineRule="auto"/>
        <w:jc w:val="center"/>
        <w:rPr>
          <w:rFonts w:ascii="宋体" w:hAnsi="宋体"/>
          <w:noProof/>
          <w:sz w:val="24"/>
        </w:rPr>
      </w:pPr>
      <w:r w:rsidRPr="0022733E">
        <w:rPr>
          <w:rFonts w:ascii="宋体" w:hAnsi="宋体"/>
          <w:color w:val="000000"/>
          <w:position w:val="-4"/>
          <w:sz w:val="24"/>
          <w:szCs w:val="30"/>
        </w:rPr>
        <w:lastRenderedPageBreak/>
        <w:t>目</w:t>
      </w:r>
      <w:r w:rsidRPr="0022733E">
        <w:rPr>
          <w:rFonts w:ascii="宋体" w:hAnsi="宋体"/>
          <w:color w:val="000000"/>
          <w:position w:val="-4"/>
          <w:sz w:val="24"/>
          <w:szCs w:val="30"/>
        </w:rPr>
        <w:tab/>
        <w:t>录</w:t>
      </w:r>
      <w:r w:rsidR="0022733E" w:rsidRPr="0022733E">
        <w:rPr>
          <w:rFonts w:ascii="宋体" w:hAnsi="宋体"/>
          <w:color w:val="000000"/>
          <w:position w:val="-4"/>
          <w:sz w:val="24"/>
          <w:szCs w:val="30"/>
        </w:rPr>
        <w:fldChar w:fldCharType="begin"/>
      </w:r>
      <w:r w:rsidR="0022733E" w:rsidRPr="0022733E">
        <w:rPr>
          <w:rFonts w:ascii="宋体" w:hAnsi="宋体"/>
          <w:color w:val="000000"/>
          <w:position w:val="-4"/>
          <w:sz w:val="24"/>
          <w:szCs w:val="30"/>
        </w:rPr>
        <w:instrText xml:space="preserve"> TOC \o "1-3" \f - \h \t "-1" </w:instrText>
      </w:r>
      <w:r w:rsidR="0022733E" w:rsidRPr="0022733E">
        <w:rPr>
          <w:rFonts w:ascii="宋体" w:hAnsi="宋体"/>
          <w:color w:val="000000"/>
          <w:position w:val="-4"/>
          <w:sz w:val="24"/>
          <w:szCs w:val="30"/>
        </w:rPr>
        <w:fldChar w:fldCharType="separate"/>
      </w:r>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88" w:history="1">
        <w:r w:rsidRPr="0022733E">
          <w:rPr>
            <w:rStyle w:val="aa"/>
            <w:rFonts w:ascii="宋体" w:hAnsi="宋体" w:hint="eastAsia"/>
            <w:noProof/>
            <w:kern w:val="0"/>
            <w:sz w:val="24"/>
          </w:rPr>
          <w:t>重要提示</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_Toc240548788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89" w:history="1">
        <w:r w:rsidRPr="0022733E">
          <w:rPr>
            <w:rStyle w:val="aa"/>
            <w:rFonts w:ascii="宋体" w:hAnsi="宋体" w:hint="eastAsia"/>
            <w:noProof/>
            <w:sz w:val="24"/>
          </w:rPr>
          <w:t>一、绪言</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_Toc240548789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4</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0" w:history="1">
        <w:r w:rsidRPr="0022733E">
          <w:rPr>
            <w:rStyle w:val="aa"/>
            <w:rFonts w:ascii="宋体" w:hAnsi="宋体" w:hint="eastAsia"/>
            <w:noProof/>
            <w:sz w:val="24"/>
          </w:rPr>
          <w:t>二、释义</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_Toc240548790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5</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1" w:history="1">
        <w:r w:rsidRPr="0022733E">
          <w:rPr>
            <w:rStyle w:val="aa"/>
            <w:rFonts w:ascii="宋体" w:hAnsi="宋体" w:hint="eastAsia"/>
            <w:noProof/>
            <w:sz w:val="24"/>
          </w:rPr>
          <w:t>三、基金管理人</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_Toc240548791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10</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2" w:history="1">
        <w:r w:rsidRPr="0022733E">
          <w:rPr>
            <w:rStyle w:val="aa"/>
            <w:rFonts w:ascii="宋体" w:hAnsi="宋体" w:hint="eastAsia"/>
            <w:noProof/>
            <w:sz w:val="24"/>
          </w:rPr>
          <w:t>四、基金托管人</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_Toc240548792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17</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3" w:history="1">
        <w:r w:rsidRPr="0022733E">
          <w:rPr>
            <w:rStyle w:val="aa"/>
            <w:rFonts w:ascii="宋体" w:hAnsi="宋体" w:hint="eastAsia"/>
            <w:noProof/>
            <w:sz w:val="24"/>
          </w:rPr>
          <w:t>五、相关服务机构</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_Toc240548793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21</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4" w:history="1">
        <w:r w:rsidRPr="0022733E">
          <w:rPr>
            <w:rStyle w:val="aa"/>
            <w:rFonts w:ascii="宋体" w:hAnsi="宋体" w:hint="eastAsia"/>
            <w:noProof/>
            <w:sz w:val="24"/>
          </w:rPr>
          <w:t>六、基金的募集</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_Toc240548794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57</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5" w:history="1">
        <w:r w:rsidRPr="0022733E">
          <w:rPr>
            <w:rStyle w:val="aa"/>
            <w:rFonts w:ascii="宋体" w:hAnsi="宋体" w:hint="eastAsia"/>
            <w:noProof/>
            <w:sz w:val="24"/>
          </w:rPr>
          <w:t>七、基金合同的生效</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_Toc240548795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58</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6" w:history="1">
        <w:r w:rsidRPr="0022733E">
          <w:rPr>
            <w:rStyle w:val="aa"/>
            <w:rFonts w:ascii="宋体" w:hAnsi="宋体" w:hint="eastAsia"/>
            <w:noProof/>
            <w:sz w:val="24"/>
          </w:rPr>
          <w:t>八、基金份额的申购与赎回</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_Toc240548796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59</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7" w:history="1">
        <w:r w:rsidRPr="0022733E">
          <w:rPr>
            <w:rStyle w:val="aa"/>
            <w:rFonts w:ascii="宋体" w:hAnsi="宋体" w:hint="eastAsia"/>
            <w:noProof/>
            <w:sz w:val="24"/>
          </w:rPr>
          <w:t>九、基金的转换</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_Toc240548797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73</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8" w:history="1">
        <w:r w:rsidRPr="0022733E">
          <w:rPr>
            <w:rStyle w:val="aa"/>
            <w:rFonts w:ascii="宋体" w:hAnsi="宋体" w:hint="eastAsia"/>
            <w:noProof/>
            <w:sz w:val="24"/>
          </w:rPr>
          <w:t>十、基金的投资</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_Toc240548798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80</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799" w:history="1">
        <w:r w:rsidRPr="0022733E">
          <w:rPr>
            <w:rStyle w:val="aa"/>
            <w:rFonts w:ascii="宋体" w:hAnsi="宋体" w:hint="eastAsia"/>
            <w:noProof/>
            <w:sz w:val="24"/>
          </w:rPr>
          <w:t>十一、基金的业绩</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_Toc240548799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96</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0" w:history="1">
        <w:r w:rsidRPr="0022733E">
          <w:rPr>
            <w:rStyle w:val="aa"/>
            <w:rFonts w:ascii="宋体" w:hAnsi="宋体" w:hint="eastAsia"/>
            <w:noProof/>
            <w:sz w:val="24"/>
          </w:rPr>
          <w:t>十二、基金的财产</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_Toc240548800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99</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1" w:history="1">
        <w:r w:rsidRPr="0022733E">
          <w:rPr>
            <w:rStyle w:val="aa"/>
            <w:rFonts w:ascii="宋体" w:hAnsi="宋体" w:hint="eastAsia"/>
            <w:noProof/>
            <w:sz w:val="24"/>
          </w:rPr>
          <w:t>十三、基金资产的估值</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_Toc240548801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100</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2" w:history="1">
        <w:r w:rsidRPr="0022733E">
          <w:rPr>
            <w:rStyle w:val="aa"/>
            <w:rFonts w:ascii="宋体" w:hAnsi="宋体" w:hint="eastAsia"/>
            <w:noProof/>
            <w:sz w:val="24"/>
          </w:rPr>
          <w:t>十四、基金收益与分配</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_Toc240548802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105</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3" w:history="1">
        <w:r w:rsidRPr="0022733E">
          <w:rPr>
            <w:rStyle w:val="aa"/>
            <w:rFonts w:ascii="宋体" w:hAnsi="宋体" w:hint="eastAsia"/>
            <w:noProof/>
            <w:sz w:val="24"/>
          </w:rPr>
          <w:t>十五、基金的费用与税收</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_Toc240548803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107</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4" w:history="1">
        <w:r w:rsidRPr="0022733E">
          <w:rPr>
            <w:rStyle w:val="aa"/>
            <w:rFonts w:ascii="宋体" w:hAnsi="宋体" w:hint="eastAsia"/>
            <w:noProof/>
            <w:sz w:val="24"/>
          </w:rPr>
          <w:t>十六、基金的会计与审计</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_Toc240548804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110</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5" w:history="1">
        <w:r w:rsidRPr="0022733E">
          <w:rPr>
            <w:rStyle w:val="aa"/>
            <w:rFonts w:ascii="宋体" w:hAnsi="宋体" w:hint="eastAsia"/>
            <w:noProof/>
            <w:sz w:val="24"/>
          </w:rPr>
          <w:t>十七、基金的信息披露</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_Toc240548805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111</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6" w:history="1">
        <w:r w:rsidRPr="0022733E">
          <w:rPr>
            <w:rStyle w:val="aa"/>
            <w:rFonts w:ascii="宋体" w:hAnsi="宋体" w:hint="eastAsia"/>
            <w:noProof/>
            <w:sz w:val="24"/>
          </w:rPr>
          <w:t>十八、侧袋机制</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_Toc240548806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118</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7" w:history="1">
        <w:r w:rsidRPr="0022733E">
          <w:rPr>
            <w:rStyle w:val="aa"/>
            <w:rFonts w:ascii="宋体" w:hAnsi="宋体" w:hint="eastAsia"/>
            <w:noProof/>
            <w:sz w:val="24"/>
          </w:rPr>
          <w:t>十九、风险揭示</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_Toc240548807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121</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8" w:history="1">
        <w:r w:rsidRPr="0022733E">
          <w:rPr>
            <w:rStyle w:val="aa"/>
            <w:rFonts w:ascii="宋体" w:hAnsi="宋体" w:hint="eastAsia"/>
            <w:noProof/>
            <w:sz w:val="24"/>
          </w:rPr>
          <w:t>二十、基金合同的变更、终止与基金财产的清算</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_Toc240548808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129</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09" w:history="1">
        <w:r w:rsidRPr="0022733E">
          <w:rPr>
            <w:rStyle w:val="aa"/>
            <w:rFonts w:ascii="宋体" w:hAnsi="宋体" w:hint="eastAsia"/>
            <w:noProof/>
            <w:sz w:val="24"/>
          </w:rPr>
          <w:t>二十一、基金合同内容摘要</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_Toc240548809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131</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10" w:history="1">
        <w:r w:rsidRPr="0022733E">
          <w:rPr>
            <w:rStyle w:val="aa"/>
            <w:rFonts w:ascii="宋体" w:hAnsi="宋体" w:hint="eastAsia"/>
            <w:noProof/>
            <w:sz w:val="24"/>
          </w:rPr>
          <w:t>二十二、托管协议的内容摘要</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_Toc240548810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147</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11" w:history="1">
        <w:r w:rsidRPr="0022733E">
          <w:rPr>
            <w:rStyle w:val="aa"/>
            <w:rFonts w:ascii="宋体" w:hAnsi="宋体" w:hint="eastAsia"/>
            <w:noProof/>
            <w:sz w:val="24"/>
          </w:rPr>
          <w:t>二十三、对基金份额持有人的服务</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_Toc240548811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164</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12" w:history="1">
        <w:r w:rsidRPr="0022733E">
          <w:rPr>
            <w:rStyle w:val="aa"/>
            <w:rFonts w:ascii="宋体" w:hAnsi="宋体" w:hint="eastAsia"/>
            <w:noProof/>
            <w:sz w:val="24"/>
          </w:rPr>
          <w:t>二十四、其他应披露事项</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_Toc240548812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166</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13" w:history="1">
        <w:r w:rsidRPr="0022733E">
          <w:rPr>
            <w:rStyle w:val="aa"/>
            <w:rFonts w:ascii="宋体" w:hAnsi="宋体" w:hint="eastAsia"/>
            <w:noProof/>
            <w:sz w:val="24"/>
          </w:rPr>
          <w:t>二十五、招募说明书的存放及查阅方式</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_Toc240548813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169</w:t>
        </w:r>
        <w:r w:rsidRPr="0022733E">
          <w:rPr>
            <w:rFonts w:ascii="宋体" w:hAnsi="宋体"/>
            <w:noProof/>
            <w:sz w:val="24"/>
          </w:rPr>
          <w:fldChar w:fldCharType="end"/>
        </w:r>
      </w:hyperlink>
    </w:p>
    <w:p w:rsidR="0022733E" w:rsidRPr="0022733E" w:rsidRDefault="0022733E" w:rsidP="0022733E">
      <w:pPr>
        <w:pStyle w:val="10"/>
        <w:tabs>
          <w:tab w:val="right" w:leader="dot" w:pos="8550"/>
        </w:tabs>
        <w:spacing w:line="360" w:lineRule="auto"/>
        <w:rPr>
          <w:rFonts w:ascii="宋体" w:hAnsi="宋体" w:cstheme="minorBidi"/>
          <w:noProof/>
          <w:sz w:val="24"/>
        </w:rPr>
      </w:pPr>
      <w:hyperlink w:anchor="_Toc240548814" w:history="1">
        <w:r w:rsidRPr="0022733E">
          <w:rPr>
            <w:rStyle w:val="aa"/>
            <w:rFonts w:ascii="宋体" w:hAnsi="宋体" w:hint="eastAsia"/>
            <w:noProof/>
            <w:sz w:val="24"/>
          </w:rPr>
          <w:t>二十六、备查文件</w:t>
        </w:r>
        <w:r w:rsidRPr="0022733E">
          <w:rPr>
            <w:rFonts w:ascii="宋体" w:hAnsi="宋体"/>
            <w:noProof/>
            <w:sz w:val="24"/>
          </w:rPr>
          <w:tab/>
        </w:r>
        <w:r w:rsidRPr="0022733E">
          <w:rPr>
            <w:rFonts w:ascii="宋体" w:hAnsi="宋体"/>
            <w:noProof/>
            <w:sz w:val="24"/>
          </w:rPr>
          <w:fldChar w:fldCharType="begin"/>
        </w:r>
        <w:r w:rsidRPr="0022733E">
          <w:rPr>
            <w:rFonts w:ascii="宋体" w:hAnsi="宋体"/>
            <w:noProof/>
            <w:sz w:val="24"/>
          </w:rPr>
          <w:instrText xml:space="preserve"> PAGEREF _Toc240548814 \h </w:instrText>
        </w:r>
        <w:r w:rsidRPr="0022733E">
          <w:rPr>
            <w:rFonts w:ascii="宋体" w:hAnsi="宋体"/>
            <w:noProof/>
            <w:sz w:val="24"/>
          </w:rPr>
        </w:r>
        <w:r w:rsidRPr="0022733E">
          <w:rPr>
            <w:rFonts w:ascii="宋体" w:hAnsi="宋体"/>
            <w:noProof/>
            <w:sz w:val="24"/>
          </w:rPr>
          <w:fldChar w:fldCharType="separate"/>
        </w:r>
        <w:r w:rsidRPr="0022733E">
          <w:rPr>
            <w:rFonts w:ascii="宋体" w:hAnsi="宋体"/>
            <w:noProof/>
            <w:sz w:val="24"/>
          </w:rPr>
          <w:t>170</w:t>
        </w:r>
        <w:r w:rsidRPr="0022733E">
          <w:rPr>
            <w:rFonts w:ascii="宋体" w:hAnsi="宋体"/>
            <w:noProof/>
            <w:sz w:val="24"/>
          </w:rPr>
          <w:fldChar w:fldCharType="end"/>
        </w:r>
      </w:hyperlink>
    </w:p>
    <w:p w:rsidR="00904261" w:rsidRPr="0022733E" w:rsidRDefault="0022733E" w:rsidP="0022733E">
      <w:pPr>
        <w:pStyle w:val="ad"/>
        <w:snapToGrid w:val="0"/>
        <w:spacing w:after="240" w:line="360" w:lineRule="auto"/>
        <w:jc w:val="center"/>
        <w:rPr>
          <w:rFonts w:ascii="宋体" w:hAnsi="宋体"/>
          <w:color w:val="000000"/>
          <w:sz w:val="24"/>
        </w:rPr>
      </w:pPr>
      <w:r w:rsidRPr="0022733E">
        <w:rPr>
          <w:rFonts w:ascii="宋体" w:hAnsi="宋体"/>
          <w:color w:val="000000"/>
          <w:position w:val="-4"/>
          <w:sz w:val="24"/>
          <w:szCs w:val="30"/>
        </w:rPr>
        <w:fldChar w:fldCharType="end"/>
      </w:r>
      <w:bookmarkStart w:id="3" w:name="_GoBack"/>
      <w:bookmarkEnd w:id="3"/>
    </w:p>
    <w:p w:rsidR="00904261" w:rsidRDefault="00904261">
      <w:pPr>
        <w:autoSpaceDE w:val="0"/>
        <w:autoSpaceDN w:val="0"/>
        <w:adjustRightInd w:val="0"/>
        <w:snapToGrid w:val="0"/>
        <w:spacing w:line="360" w:lineRule="auto"/>
        <w:ind w:left="120" w:rightChars="6" w:right="13"/>
        <w:rPr>
          <w:rFonts w:ascii="宋体" w:hAnsi="宋体"/>
          <w:kern w:val="0"/>
          <w:szCs w:val="24"/>
        </w:rPr>
        <w:sectPr w:rsidR="00904261">
          <w:pgSz w:w="11920" w:h="16840"/>
          <w:pgMar w:top="1480" w:right="1680" w:bottom="280" w:left="1680" w:header="0" w:footer="1073" w:gutter="0"/>
          <w:cols w:space="720"/>
        </w:sectPr>
      </w:pPr>
    </w:p>
    <w:p w:rsidR="00904261" w:rsidRDefault="00F3087E">
      <w:pPr>
        <w:pStyle w:val="1"/>
        <w:snapToGrid w:val="0"/>
        <w:spacing w:beforeLines="0" w:before="240" w:after="240"/>
        <w:rPr>
          <w:rFonts w:ascii="宋体" w:hAnsi="宋体"/>
          <w:szCs w:val="30"/>
        </w:rPr>
      </w:pPr>
      <w:bookmarkStart w:id="4" w:name="_Toc240548789"/>
      <w:r>
        <w:rPr>
          <w:rFonts w:ascii="Times New Roman" w:hAnsi="Times New Roman"/>
          <w:sz w:val="30"/>
        </w:rPr>
        <w:lastRenderedPageBreak/>
        <w:t>一、绪言</w:t>
      </w:r>
      <w:bookmarkEnd w:id="4"/>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新生活力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新生活力灵活配置混合型证券投资基金基金合同》（以下简称“基金合同”）编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5" w:name="_Toc240548790"/>
      <w:r>
        <w:rPr>
          <w:rFonts w:ascii="Times New Roman" w:hAnsi="Times New Roman"/>
          <w:sz w:val="30"/>
        </w:rPr>
        <w:lastRenderedPageBreak/>
        <w:t>二、释义</w:t>
      </w:r>
      <w:bookmarkEnd w:id="5"/>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1、基金或本基金：指交银施罗德新生活力灵活配置混合型证券投资基金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4、基金合同或《基金合同》：指《交银施罗德新生活力灵活配置混合型证券投资基金基金合同》及对基金合同的任何有效修订和补充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5、托管协议：指基金管理人与基金托管人就本基金签订之《交银施罗德新生活力灵活配置混合型证券投资基金托管协议》及对该托管协议的任何有效修订和补充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6、招募说明书、《招募说明书》或本招募说明书：指《交银施罗德新生活力灵活配置混合型证券投资基金招募说明书》及其更新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7、基金份额发售公告：指《交银施罗德新生活力灵活配置混合型证券投资基金基金份额发售公告》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8、基金产品资料概要：指《交银施罗德新生活力灵活配置混合型证券投资基金基金产品资料概要》及其更新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44、转托管：指基金份额持有人在本基金的不同销售机构之间实施的变更所持基金份额销售机构的操作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w:t>
      </w:r>
      <w:r>
        <w:rPr>
          <w:rFonts w:ascii="宋体" w:hAnsi="宋体"/>
          <w:sz w:val="24"/>
        </w:rPr>
        <w:lastRenderedPageBreak/>
        <w:t>站）等媒介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6" w:name="_Toc240548791"/>
      <w:r>
        <w:rPr>
          <w:rFonts w:ascii="Times New Roman" w:hAnsi="Times New Roman"/>
          <w:sz w:val="30"/>
        </w:rPr>
        <w:lastRenderedPageBreak/>
        <w:t>三、基金管理人</w:t>
      </w:r>
      <w:bookmarkEnd w:id="6"/>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浩先生:基金经理。北京邮电大学通信与信息系统专业硕士，16年证券投资行业从业经验。2010年加入交银施罗德基金管理有限公司，曾任行业分析师，现任权益部基金经理。曾任交银施罗德定期支付双息平衡混合型证券投资基金(2015年08月15日至2022年09月07日)、交银施罗德内核驱动混合型证券投资基金(2020年01月13日至2022年09月07日)、交银施罗德科锐科技创新混合型证券投资基金(2020年01月20日至2021年03月25日)的基金经理。现任交银施罗德新生活力灵活配置混合型证券投资基金(2016年11月11日至今)的基金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田彧龙先生(2021年09月04日至2022年09月07日)。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6、编制季度报告、中期报告和年度报告；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w:t>
      </w:r>
      <w:r>
        <w:rPr>
          <w:rFonts w:ascii="宋体" w:hAnsi="宋体"/>
          <w:sz w:val="24"/>
        </w:rPr>
        <w:lastRenderedPageBreak/>
        <w:t>谋取最大利益；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（1）建立内控体系，完善内控制度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7" w:name="_Toc240548792"/>
      <w:r>
        <w:rPr>
          <w:rFonts w:ascii="Times New Roman" w:hAnsi="Times New Roman"/>
          <w:sz w:val="30"/>
        </w:rPr>
        <w:lastRenderedPageBreak/>
        <w:t>四、基金托管人</w:t>
      </w:r>
      <w:bookmarkEnd w:id="7"/>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w:t>
      </w:r>
      <w:r>
        <w:rPr>
          <w:rFonts w:ascii="宋体" w:hAnsi="宋体"/>
          <w:sz w:val="24"/>
        </w:rPr>
        <w:lastRenderedPageBreak/>
        <w:t>券交易所和香港联合交易所A+H股同步上市。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w:t>
      </w:r>
      <w:r>
        <w:rPr>
          <w:rFonts w:ascii="宋体" w:hAnsi="宋体"/>
          <w:sz w:val="24"/>
        </w:rPr>
        <w:lastRenderedPageBreak/>
        <w:t>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截至2025年第三季度末，中信银行托管429只公开募集证券投资基金，以及基金公司、证券公司资产管理产品、信托产品、企业年金、股权基金、QDII等其他托管资产，托管总规模达到17.88万亿元人民币。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8" w:name="_Toc240548793"/>
      <w:r>
        <w:rPr>
          <w:rFonts w:ascii="Times New Roman" w:hAnsi="Times New Roman"/>
          <w:sz w:val="30"/>
        </w:rPr>
        <w:lastRenderedPageBreak/>
        <w:t>五、相关服务机构</w:t>
      </w:r>
      <w:bookmarkEnd w:id="8"/>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（3）名称：中国邮政储蓄银行股份有限公司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（4）名称：厦门银行股份有限公司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（5）名称：江苏银行股份有限公司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（6）名称：中国建设银行股份有限公司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住所：北京市西城区金融大街25号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（7）名称：交通银行股份有限公司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（8）名称：招商银行股份有限公司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传真：（010）85230024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（10）名称：东莞农村商业银行股份有限公司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（11）名称：中国农业银行股份有限公司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网址：www.cmbc.com.cn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（13）名称：宁波银行股份有限公司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（14）名称：长沙银行股份有限公司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住所：湖南省长沙市芙蓉中路一段433号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办公地址：湖南省长沙市芙蓉中路一段433号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法定代表人：朱玉国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电话：（0731）84305387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传真：（0731）84305387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客户服务电话：96511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网址：www.cscb.cn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（16）名称：东吴证券股份有限公司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电话：0512-62938521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（17）名称：中国银河证券股份有限公司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（19）名称：中国中金财富证券有限公司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（20）名称：山西证券股份有限公司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住所：山西省太原市府西街69号山西国际贸易中心东塔楼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（21）名称：华福证券有限责任公司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（22）名称：德邦证券股份有限公司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（23）名称：国投证券股份有限公司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网址：https://www.sdicsc.com.cn/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（24）名称：东莞证券股份有限公司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（25）名称：财通证券股份有限公司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（26）名称：中信建投证券股份有限公司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（27）名称：东方财富证券股份有限公司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法定代表人：戴彦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（28）名称：国信证券股份有限公司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（29）名称：金融街证券股份有限公司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（30）名称：华泰证券股份有限公司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传真：（0755）82492962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（31）名称：兴业证券股份有限公司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（32）名称：广发证券股份有限公司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（33）名称：海通证券股份有限公司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（34）名称：华龙证券股份有限公司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（35）名称：华宝证券股份有限公司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（36）名称：长城国瑞证券有限公司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（37）名称：大同证券有限责任公司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邮政编码：030600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（38）名称：爱建证券有限责任公司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（39）名称：长江证券股份有限公司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（40）名称：招商证券股份有限公司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联系人：黄婵君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（41）名称：国泰海通证券股份有限公司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（42）名称：中信证券华南股份有限公司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（43）名称：联储证券有限责任公司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（44）名称：第一创业证券股份有限公司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住所：深圳市罗湖区笋岗路12号中民时代广场 B 座25、26层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（45）名称：华西证券股份有限公司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（46）名称：国新证券股份有限公司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（47）名称：西南证券股份有限公司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电话：（023）63786141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（48）名称：信达证券股份有限公司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（49）名称：渤海证券股份有限公司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（50）名称：国金证券股份有限公司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（51）名称：长城证券有限责任公司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（52）名称：中国国际金融股份有限公司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（53）名称：华鑫证券有限责任公司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（54）名称：申万宏源证券有限公司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（55）名称：国都证券股份有限公司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（56）名称：平安证券股份有限公司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（57）名称：中信证券（山东）有限责任公司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（58）名称：申万宏源西部证券有限公司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（59）名称：中泰证券股份有限公司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（60）名称：万联证券股份有限公司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（61）名称：西部证券股份有限公司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（62）名称：中航证券有限公司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办公地址：南昌市红谷滩新区红谷中大道1619号国际金融大厦41楼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（63）名称：国联民生证券股份有限公司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（64）名称：江海证券有限公司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（65）名称：天风证券股份有限公司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客户服务电话：95391 / 400-800-5000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（66）名称：中邮证券有限责任公司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（67）名称：开源证券股份有限公司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（68）名称：南京证券股份有限公司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（69）名称：东方证券股份有限公司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法定代表人：王益民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（70）名称：方正证券股份有限公司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（71）名称：上海中欧财富基金销售有限公司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（72）名称：大连网金基金销售有限公司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于秀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（73）名称：阳光人寿保险股份有限公司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（74）名称：玄元保险代理有限公司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（75）名称：京东肯特瑞基金销售有限公司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（76）名称：上海大智慧基金销售有限公司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（77）名称：深圳市新兰德证券投资咨询有限公司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（78）名称：北京展恒基金销售股份有限公司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（79）名称：泛华普益基金销售有限公司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法定代表人：于海锋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（80）名称：中国人寿保险股份有限公司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（82）名称：宜信普泽（北京）基金销售有限公司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（83）名称：浙江同花顺基金销售有限公司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（84）名称：上海基煜基金销售有限公司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（85）名称：天相投资顾问有限公司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（86）名称：中信期货有限公司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w:t>
      </w:r>
      <w:r>
        <w:rPr>
          <w:rFonts w:ascii="宋体" w:hAnsi="宋体"/>
          <w:sz w:val="24"/>
        </w:rPr>
        <w:lastRenderedPageBreak/>
        <w:t>室、14层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（87）名称：蚂蚁（杭州）基金销售有限公司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（88）名称：深圳众禄基金销售股份有限公司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（89）名称：上海长量基金销售有限公司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（90）名称：上海好买基金销售有限公司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（91）名称：诺亚正行基金销售有限公司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（92）名称：和讯信息科技有限公司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（93）名称：上海天天基金销售有限公司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（94）名称：奕丰基金销售有限公司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（95）名称：北京创金启富基金销售有限公司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（96）名称：上海证达通基金销售有限公司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（97）名称：中证金牛（北京）基金销售有限公司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（98）名称：北京新浪仓石基金销售有限公司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（99）名称：北京雪球基金销售有限公司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办公地址：北京市朝阳区创远路 34 号院融新科技中心 C 座 17 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（100）名称：深圳市金斧子基金销售有限公司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（101）名称：格上富信投资顾问有限公司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（102）名称：上海万得基金销售有限公司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传真：021-50710161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（103）名称：万家财富基金销售（天津）有限公司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（104）名称：上海挖财基金销售有限公司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（105）名称：上海陆金所基金销售有限公司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客户服务电话：4008219031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（106）名称：北京虹点基金销售有限公司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（107）名称：上海利得基金销售有限公司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（108）名称：北京汇成基金销售有限公司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（109）名称：嘉实财富管理有限公司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住所：海南省三亚市天涯区三亚湾路国际客运港区国际养生度假中心酒店B座(2＃楼)27楼2714室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（110）名称：南京苏宁基金销售有限公司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（111）名称：北京度小满基金销售有限公司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（112）名称：上海华夏财富投资管理有限公司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电话：010-88066632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（113）名称：珠海盈米基金销售有限公司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（114）名称：腾安基金销售（深圳）有限公司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（115）名称：和耕传承基金销售有限公司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联系人：胡静华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（116）名称：济安财富（北京）基金销售有限公司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（117）名称：博时财富基金销售有限公司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（118）名称：深圳前海微众银行股份有限公司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网址：www.webank.com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9" w:name="_Toc240548794"/>
      <w:r>
        <w:rPr>
          <w:rFonts w:ascii="Times New Roman" w:hAnsi="Times New Roman"/>
          <w:sz w:val="30"/>
        </w:rPr>
        <w:lastRenderedPageBreak/>
        <w:t>六、基金的募集</w:t>
      </w:r>
      <w:bookmarkEnd w:id="9"/>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（一）基金募集的依据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本基金由基金管理人依照《基金法》、《运作办法》、《销售办法》、基金合同及其他有关规定，并经中国证监会2016年4月26日证监许可[2016]933号文准予募集注册。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本基金自2016年10月10日至2016年11月4日进行发售，本基金设立募集期共募集545,311,306.60份基金份额，有效认购户数为5,319户。</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0" w:name="_Toc240548795"/>
      <w:r>
        <w:rPr>
          <w:rFonts w:ascii="Times New Roman" w:hAnsi="Times New Roman"/>
          <w:sz w:val="30"/>
        </w:rPr>
        <w:lastRenderedPageBreak/>
        <w:t>七、基金合同的生效</w:t>
      </w:r>
      <w:bookmarkEnd w:id="10"/>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根据有关规定，本基金满足基金合同生效条件，基金合同已于2016年11月11日正式生效。自基金合同生效之日起，本基金管理人正式开始管理本基金。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1" w:name="_Toc240548796"/>
      <w:r>
        <w:rPr>
          <w:rFonts w:ascii="Times New Roman" w:hAnsi="Times New Roman"/>
          <w:sz w:val="30"/>
        </w:rPr>
        <w:lastRenderedPageBreak/>
        <w:t>八、基金份额的申购与赎回</w:t>
      </w:r>
      <w:bookmarkEnd w:id="11"/>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本基金A类基金份额已于2016年12月12日起开放申购、赎回业务。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本基金C类基金份额已于2025年8月4日起开放申购、赎回业务。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投资人可以多次申购本基金A类基金份额的，申购费用按每笔A类基金份额申购申请单独计算。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0426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本基金对通过基金管理人直销柜台申购本基金A类基金份额的养老金客户实施特定申购费率。养老金客户包括基本养老基金与依法成立的养老计划筹集的资金及其投资运营收益形成的补充养老基金等，具体包括：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90426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0426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0426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0426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04261" w:rsidRDefault="0090426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w:t>
      </w:r>
      <w:r>
        <w:rPr>
          <w:rFonts w:ascii="宋体" w:hAnsi="宋体"/>
          <w:sz w:val="24"/>
        </w:rPr>
        <w:lastRenderedPageBreak/>
        <w:t>基金份额的基金份额净值，有效份额单位为份，申购份额计算结果按四舍五入方法，保留到小数点后2位，由此产生的收益或损失由基金财产承担。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即：该投资者（非养老金客户）投资40,000元申购本基金A类基金份额，假设申购当日A类基金份额净值为1.0400元，则其可得到37,893.14份A类基金份额。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申购份额=（100,000-596.42）/1.0400=95,580.37份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赎回金额为按实际确认的A类基金份额或C类基金份额有效赎回份额乘以当日该类基金份额净值并扣除相应的费用（如有），赎回金额单位为元，计算结果保留到小数点后两位，第三位四舍五入。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即：投资者赎回本基金10,000份A类基金份额，持有期限为30日，对应的赎回费率为0.5%，假设赎回当日A类基金份额净值是1.0160元，则其可得到的赎回金额为10,109.20元。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（2）C类基金份额的赎回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w:t>
      </w:r>
      <w:r>
        <w:rPr>
          <w:rFonts w:ascii="宋体" w:hAnsi="宋体"/>
          <w:sz w:val="24"/>
        </w:rPr>
        <w:lastRenderedPageBreak/>
        <w:t>对基金业绩产生负面影响，或发生其他损害现有基金份额持有人利益的情形。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5、继续接受赎回申请将损害现有基金份额持有人利益的情形时，可暂停接受投资人的赎回申请。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w:t>
      </w:r>
      <w:r>
        <w:rPr>
          <w:rFonts w:ascii="宋体" w:hAnsi="宋体"/>
          <w:sz w:val="24"/>
        </w:rPr>
        <w:lastRenderedPageBreak/>
        <w:t>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（十四）定期定额投资计划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12月9日刊登公告自2016年12月12日起开通A类基金份额的定期定额投资计划业务，本基金2025年8月4日刊登公告自2025年8月4日起增设C类基金份额并开通C类基金份额的定期定额投资计划业务，具体开通销售机构名单和业务规则参见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在法律法规和《基金合同》规定的范围内且在对现有基金份额持有人利益无实质性不利影响的前提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w:t>
      </w:r>
      <w:r>
        <w:rPr>
          <w:rFonts w:ascii="宋体" w:hAnsi="宋体"/>
          <w:sz w:val="24"/>
        </w:rPr>
        <w:lastRenderedPageBreak/>
        <w:t>有人利益无实质性不利影响的情形下，办理基金份额的质押业务或其他基金业务，基金管理人可制定相应的业务规则，并依照《信息披露办法》的有关规定进行公告。</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2" w:name="_Toc240548797"/>
      <w:r>
        <w:rPr>
          <w:rFonts w:ascii="Times New Roman" w:hAnsi="Times New Roman"/>
          <w:sz w:val="30"/>
        </w:rPr>
        <w:lastRenderedPageBreak/>
        <w:t>九、基金的转换</w:t>
      </w:r>
      <w:bookmarkEnd w:id="12"/>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2017年8月23日刊登公告自2017年8月25日起开放A类基金份额的日常转换业务。本基金2025年8月4日刊登公告自2025年8月4日起增设C类基金份额并开通C类基金份额的日常转换业务。本基金2025年8月4日刊登公告自2025年8月4日起开放开通同一基金不同类别基金份额转换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w:t>
      </w:r>
      <w:r>
        <w:rPr>
          <w:rFonts w:ascii="宋体" w:hAnsi="宋体"/>
          <w:sz w:val="24"/>
        </w:rPr>
        <w:lastRenderedPageBreak/>
        <w:t>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最低保留余额的规定，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w:t>
      </w:r>
      <w:r>
        <w:rPr>
          <w:rFonts w:ascii="宋体" w:hAnsi="宋体"/>
          <w:sz w:val="24"/>
        </w:rPr>
        <w:lastRenderedPageBreak/>
        <w:t>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5、本基金管理人可以根据法律法规及基金合同的规定对上述转换费用收费方式和费率进行调整，并应于调整后的收费方式和费率在实施前依照《信息披露办法》的有关规定在中国证监会指定媒介上公告。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转出基金的赎回费=101,000×0.5%=505元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转入基金确认份额=（100,000-793.65+61.52）/1.2700=78,163.68份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转出与转入基金的申购补差费=124,750×1.2%=1497元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元。若该投资者将100,000份交银蓝筹后端基金份额转换为交银增利B类基金份额，则转入交银增利B类基金份额的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w:t>
      </w:r>
      <w:r>
        <w:rPr>
          <w:rFonts w:ascii="宋体" w:hAnsi="宋体"/>
          <w:sz w:val="24"/>
        </w:rPr>
        <w:lastRenderedPageBreak/>
        <w:t>基金的基金份额净值为基础进行计算。（货币市场基金的基金份额净值为固定价1.00元）。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交银货币的基金份额转换为其他基金份额时，注册登记机构将自动结转该转出份额对应的待支付收益，该收益将一并计入转出金额并折算为转入基金的基金份额，但收益部分不收取转换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3" w:name="_Toc240548798"/>
      <w:r>
        <w:rPr>
          <w:rFonts w:ascii="Times New Roman" w:hAnsi="Times New Roman"/>
          <w:sz w:val="30"/>
        </w:rPr>
        <w:lastRenderedPageBreak/>
        <w:t>十、基金的投资</w:t>
      </w:r>
      <w:bookmarkEnd w:id="13"/>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本基金通过深度优选与新生力量息息相关的优质企业，分享中国因新生行业发展所带来的投资新机会，力争为基金份额持有人获得超越业绩比较基准的收益。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本基金投资于与新生活力主题相关证券的比例不低于非现金基金资产的80%；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调整基金大类资产配置和股票行业配置策略，确定债券组合久期和债券类别配置；在严谨深入的股票和债券研究分析基础上，自下而上精选个券。其中，本基金股票投资重点关注与市场新生力量息息相关的优质企业，分享当前中国因新生力量群体发展所带来的投资新机会。新生活力主题是指由</w:t>
      </w:r>
      <w:r>
        <w:rPr>
          <w:rFonts w:ascii="宋体" w:hAnsi="宋体"/>
          <w:sz w:val="24"/>
        </w:rPr>
        <w:lastRenderedPageBreak/>
        <w:t>于互联网思维的发展和演变，而带来的传统产业中供给改善、产业重塑的新生领域，和新兴产业中触发新消费、创造新需求的新生领域，以及在前述新生领域内具备活力的、公司价值向上流动的优秀投资标的。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同行业受宏观经济周期、行业自身生命周期以及相关结构性因素的影响在不同时期表现往往具有明显差异。基金管理人采用多因素的定性与定量相结合的分析和预测方法，确定宏观及行业经济变量的变动对不同行业的潜在影响，得出各行业的相对投资价值与投资时机。本基金管理人认为以互联网思维重塑和新创产业是全球未来相当长一段时间的主要发展趋势。互联网的非线性变化将加速产业周期的推进。本基金将独特地从方法论的高度出发，灵活运用互联网思维重新审视传统产业和新兴产业，重点关注处于导入期和成长期的新生行业，密切跟踪并积极把握新生行业重塑和创新进程中的投资新机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策略将采取精选新生行业和优选活力个股相结合的方法。在新生行业的选择上，本基金重点挖掘经济发展中因互联网思维而引导资源优化配置、产业重塑、供给改善的传统领域，以及因互联网思维而触发新消费、创造新需求、形成新的国际竞争力的新兴领域。在个股选择时，本基金将重点考查新生行业中具备“活力”因素的个股，精选出具有巨大发展潜力的投资标的；本基金将充分发挥研究团队自下而上的选股能力，基于对个股深入的基本面研究和细致的实地调研，精选股票构建股票投资组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本基金管理人的股票投资具体分以下几个层次进行：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成长性指标（用户数增长率与新模式转化率、销售收入增长率等）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公司备选股票池基础上，本基金将进一步通过对备选上市公司详实的案头分析和深入的实地调研，以定性与定量相结合的方法对公司价值进行综合评估，构建股票组合。其中，本基金重点关注具有巨大潜力能够发生个体质变（或个体量变）或持续量变早期、公司价值向上流动的活力公司，包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在导入期和成长初期常见的发生估值突变的质变个体，例如：处于价值链低端的公司向高端迈进；处于价值链高端的公司向打造产业平台或生态系统迈进。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在成长中期常见的发生量变的个体。</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同时，本基金将密切关注互联网时代下互联网的非线性变化对增加公司价值流动的可能性。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本基金管理人将对所关注的重点上市公司进行内在价值的评估和成长性跟踪研究，在明确的价值评估基础上精选优秀质地的投资标的构建股票组合。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w:t>
      </w:r>
      <w:r>
        <w:rPr>
          <w:rFonts w:ascii="宋体" w:hAnsi="宋体"/>
          <w:sz w:val="24"/>
        </w:rPr>
        <w:lastRenderedPageBreak/>
        <w:t>具，对未来市场利率趋势进行分析与预测，并据此确定合理的债券组合目标久期。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（8）中小企业私募债券投资策略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（1）股票资产（含存托凭证）占基金资产的0%-95%，股票资产按照基金所持有的股票市值以及买入、卖出股指期货合约价值合计（轧差计算)；本基金投资于</w:t>
      </w:r>
      <w:r>
        <w:rPr>
          <w:rFonts w:ascii="宋体" w:hAnsi="宋体"/>
          <w:sz w:val="24"/>
        </w:rPr>
        <w:lastRenderedPageBreak/>
        <w:t>与新生活力主题相关证券的比例不低于非现金基金资产的80%；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w:t>
      </w:r>
      <w:r>
        <w:rPr>
          <w:rFonts w:ascii="宋体" w:hAnsi="宋体"/>
          <w:sz w:val="24"/>
        </w:rPr>
        <w:lastRenderedPageBreak/>
        <w:t>和，不得超过基金资产净值的95%。其中，有价证券指股票、债券（不含到期日在一年以内的政府债券）、权证、资产支持证券、买入返售金融资产（不含质押式回购）等；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本基金业绩比较基准：沪深300指数收益率×85%+中债-国债总财富（1-3年）指数收益率×15%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1、业绩比较基准设定的原因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股票、债券等资产，相应选取与之匹配的股票指数、债券指数作为基准要素。同时基于基金投资股票资产（含存托凭证）占基金资产的比例为0%-95%等投资比例限制，以及预期的资产配置比例，本基金将股票资产与债券资产所对应的基准要素权重分别设置为85%与15%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作为股票部分的业绩比较基准要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t>
      </w:r>
      <w:r>
        <w:rPr>
          <w:rFonts w:ascii="宋体" w:hAnsi="宋体"/>
          <w:sz w:val="24"/>
        </w:rPr>
        <w:lastRenderedPageBreak/>
        <w:t>www.chinabond.com.cn。</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债-国债总财富（1-3年）指数的每日收益率，再按照预设权重比例计算当日组合要素基准的日收益率，并连乘每日收益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w:t>
      </w:r>
      <w:r>
        <w:rPr>
          <w:rFonts w:ascii="宋体" w:hAnsi="宋体"/>
          <w:sz w:val="24"/>
        </w:rPr>
        <w:lastRenderedPageBreak/>
        <w:t>召开基金份额持有人大会等程序，法律法规、中国证监会另有规定的除外：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基金托管人中信银行股份有限公司根据本基金合同规定，于2025年10月27日复核了本报告中的财务指标、净值表现和投资组合报告等内容，保证复核内容不存在虚假记载、误导性陈述或者重大遗漏。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本投资组合报告期自2025年07月01日起至09月30日止。所载财务数据未经审计师审计。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4,442,163,743.25</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92.01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4,442,163,743.25</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92.01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296,752,484.92</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6.15</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296,752,484.92</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6.15</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72,637,859.58</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1.50</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16,426,380.51</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4,827,980,468.26</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2,718,199,046.84</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56.93</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126,549,300.81</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2.65</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461,408,125.34</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9.66</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I</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18,289,587.52</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295,519,171.60</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6.19</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822,180,254.80</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17.22</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18,256.34</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4,442,163,743.25</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93.03</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688036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传音控股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4,582,385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431,660,667.00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9.04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600415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小商品城</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22,664,036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420,417,867.80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8.80</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002352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顺丰控股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10,222,508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412,273,747.64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8.63</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分众传媒</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49,846,450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401,762,387.00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8.41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689009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九号公司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5,666,486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379,087,913.40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7.94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601601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中国太保</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8,414,555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295,519,171.60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6.19</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300866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安克创新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2,375,252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289,139,425.96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6.06</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京东方</w:t>
            </w: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59,268,800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246,558,208.00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5.16</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002138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顺络电子</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6,684,157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235,014,960.12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4.92</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浪潮信息</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3,008,249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223,873,890.58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282,059,235.62</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5.91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282,059,235.62</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5.91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14,693,249.30</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296,752,484.92</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6.21</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2,100,000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211,486,109.59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04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50,415,547.95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1.06</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20,157,578.08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安克转债</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87,399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14,693,249.30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2025年07月25日,国家外汇管理局北京市分局公示京汇罚[2025]30号行政处罚决定书,给予国家开发银行罚没合计1394.42万元人民币的行政处罚。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1,363,139.20</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14,426,173.04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637,068.27</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right"/>
              <w:rPr>
                <w:rFonts w:ascii="宋体" w:hAnsi="宋体"/>
                <w:color w:val="000000"/>
                <w:kern w:val="0"/>
                <w:sz w:val="25"/>
                <w:szCs w:val="24"/>
              </w:rPr>
            </w:pPr>
            <w:r>
              <w:rPr>
                <w:rFonts w:ascii="Times New Roman" w:hAnsi="Times New Roman"/>
                <w:color w:val="000000"/>
                <w:kern w:val="0"/>
                <w:sz w:val="25"/>
                <w:szCs w:val="24"/>
              </w:rPr>
              <w:t>16,426,380.51</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4" w:name="_Toc240548799"/>
      <w:r>
        <w:rPr>
          <w:rFonts w:ascii="Times New Roman" w:hAnsi="Times New Roman"/>
          <w:sz w:val="30"/>
        </w:rPr>
        <w:lastRenderedPageBreak/>
        <w:t>十一、基金的业绩</w:t>
      </w:r>
      <w:bookmarkEnd w:id="14"/>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（1）交银新生活力混合A：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5.78%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10.05%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-4.27%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6.46%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5.84%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4.67%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-7.85%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-4.42%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-23.73%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-11.69%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-13.95%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-13.19%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63.15%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45.52%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57.74%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34.65%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-11.04%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46.47%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33.66%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11</w:t>
            </w:r>
            <w:r>
              <w:rPr>
                <w:rFonts w:ascii="Times New Roman" w:hAnsi="Times New Roman"/>
                <w:color w:val="000000"/>
                <w:kern w:val="0"/>
                <w:sz w:val="25"/>
                <w:szCs w:val="24"/>
              </w:rPr>
              <w:t>月</w:t>
            </w:r>
            <w:r>
              <w:rPr>
                <w:rFonts w:ascii="Times New Roman" w:hAnsi="Times New Roman"/>
                <w:color w:val="000000"/>
                <w:kern w:val="0"/>
                <w:sz w:val="25"/>
                <w:szCs w:val="24"/>
              </w:rPr>
              <w:t>11</w:t>
            </w:r>
            <w:r>
              <w:rPr>
                <w:rFonts w:ascii="Times New Roman" w:hAnsi="Times New Roman"/>
                <w:color w:val="000000"/>
                <w:kern w:val="0"/>
                <w:sz w:val="25"/>
                <w:szCs w:val="24"/>
              </w:rPr>
              <w:t>日至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（2）交银新生活力混合C：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0426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7.05%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-5.96%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注：1、本基金的业绩比较基准为沪深300指数收益率×60%+中证综合债券指数</w:t>
      </w:r>
      <w:r>
        <w:rPr>
          <w:rFonts w:ascii="宋体" w:hAnsi="宋体"/>
          <w:sz w:val="24"/>
        </w:rPr>
        <w:lastRenderedPageBreak/>
        <w:t>收益率×40%，每日进行再平衡过程。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2、交银新生活力灵活配置混合C上述“自基金合同生效起至今”实际为“自基金份额类别首次确认起至今”，下同。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04261" w:rsidRDefault="00F308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交银施罗德新生活力灵活配置混合型证券投资基金</w:t>
      </w:r>
    </w:p>
    <w:p w:rsidR="00904261" w:rsidRDefault="00F308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904261" w:rsidRDefault="00F3087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（2016年11月11日至2025年09月30日）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（1）交银新生活力混合A：</w:t>
      </w:r>
    </w:p>
    <w:p w:rsidR="00904261" w:rsidRDefault="0022733E">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（2）交银新生活力混合C：</w:t>
      </w:r>
    </w:p>
    <w:p w:rsidR="00904261" w:rsidRDefault="0022733E">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2、本基金自2025年8月4日起，开始销售C类份额，投资者提交的申购申请于2025年8月12日被确认并将有效份额登记在册。</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5" w:name="_Toc240548800"/>
      <w:r>
        <w:rPr>
          <w:rFonts w:ascii="Times New Roman" w:hAnsi="Times New Roman"/>
          <w:sz w:val="30"/>
        </w:rPr>
        <w:lastRenderedPageBreak/>
        <w:t>十二、基金的财产</w:t>
      </w:r>
      <w:bookmarkEnd w:id="15"/>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6" w:name="_Toc240548801"/>
      <w:r>
        <w:rPr>
          <w:rFonts w:ascii="Times New Roman" w:hAnsi="Times New Roman"/>
          <w:sz w:val="30"/>
        </w:rPr>
        <w:lastRenderedPageBreak/>
        <w:t>十三、基金资产的估值</w:t>
      </w:r>
      <w:bookmarkEnd w:id="16"/>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w:t>
      </w:r>
      <w:r>
        <w:rPr>
          <w:rFonts w:ascii="宋体" w:hAnsi="宋体"/>
          <w:sz w:val="24"/>
        </w:rPr>
        <w:lastRenderedPageBreak/>
        <w:t>估值错误取得不当得利的当事人仍应负有返还不当得利的义务。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（1）基金份额净值计算出现错误时，基金管理人应当立即予以纠正，通报基金托管人，并采取合理的措施防止损失进一步扩大。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2、因不可抗力或其他特殊情形致使基金管理人、基金托管人无法准确评估基金资产价值时；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的基金资产净值和基金份额净值并发送给基金托管人。基金托管人对净值计算结果复核确认后发送给基金管理人，由基金管理人依据基金合同和相关法律法规的规定对基金净值予以公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（九）实施侧袋机制期间的基金资产估值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7" w:name="_Toc240548802"/>
      <w:r>
        <w:rPr>
          <w:rFonts w:ascii="Times New Roman" w:hAnsi="Times New Roman"/>
          <w:sz w:val="30"/>
        </w:rPr>
        <w:lastRenderedPageBreak/>
        <w:t>十四、基金收益与分配</w:t>
      </w:r>
      <w:bookmarkEnd w:id="17"/>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1、在符合有关基金分红条件的前提下，本基金每年收益分配次数最多为12次，若《基金合同》生效不满3个月可不进行收益分配；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（六）基金收益分配中发生的费用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8" w:name="_Toc240548803"/>
      <w:r>
        <w:rPr>
          <w:rFonts w:ascii="Times New Roman" w:hAnsi="Times New Roman"/>
          <w:sz w:val="30"/>
        </w:rPr>
        <w:lastRenderedPageBreak/>
        <w:t>十五、基金的费用与税收</w:t>
      </w:r>
      <w:bookmarkEnd w:id="18"/>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5个工作日内从基金财产中一次性支付给基金管理人，由基金管理人代付给销售机构。若遇法定节假日、休息日或不可抗力致使无法按时支付的，支付日期顺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2、基金管理人和基金托管人处理与基金运作无关的事项发生的费用；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（五）基金管理人和基金托管人可根据基金发展情况调整基金管理费率、基金托管费率、销售服务费率等相关费率。基金管理人必须依照有关规定于新的费率实施日前在指定媒介上刊登公告。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（六）基金税收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19" w:name="_Toc240548804"/>
      <w:r>
        <w:rPr>
          <w:rFonts w:ascii="Times New Roman" w:hAnsi="Times New Roman"/>
          <w:sz w:val="30"/>
        </w:rPr>
        <w:lastRenderedPageBreak/>
        <w:t>十六、基金的会计与审计</w:t>
      </w:r>
      <w:bookmarkEnd w:id="19"/>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0" w:name="_Toc240548805"/>
      <w:r>
        <w:rPr>
          <w:rFonts w:ascii="Times New Roman" w:hAnsi="Times New Roman"/>
          <w:sz w:val="30"/>
        </w:rPr>
        <w:lastRenderedPageBreak/>
        <w:t>十七、基金的信息披露</w:t>
      </w:r>
      <w:bookmarkEnd w:id="20"/>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次日，通过指定网站、销售机构网站或者营业网点分别披露开放日A类基金份额和C类基金份额所对应的基金份额净值和基金份额累计净值。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投资中小企业私募债，基金管理人应在基金招募说明书的显著位置披露投资中小企业私募债券的流动性风险和信用风险，说明投资中小企业私募债券对基金总体风险的影响。基金管理人在本基金投资中小企业私募债券后两个交易日内，在中国证监会指定媒介披露所投资中小企业私募债券的名称、数量、期限、收益率等信息。本基金应当在季度报告、中期报告、年度报告等定期报告和招募说明书（更新）等文件中披露中小企业私募债券的投资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w:t>
      </w:r>
      <w:r>
        <w:rPr>
          <w:rFonts w:ascii="宋体" w:hAnsi="宋体"/>
          <w:sz w:val="24"/>
        </w:rPr>
        <w:lastRenderedPageBreak/>
        <w:t>会及自律规则的相关规定。前述自主披露如产生信息披露费用，该费用不得从基金财产中列支。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1" w:name="_Toc240548806"/>
      <w:r>
        <w:rPr>
          <w:rFonts w:ascii="Times New Roman" w:hAnsi="Times New Roman"/>
          <w:sz w:val="30"/>
        </w:rPr>
        <w:lastRenderedPageBreak/>
        <w:t>十八、侧袋机制</w:t>
      </w:r>
      <w:bookmarkEnd w:id="21"/>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04261" w:rsidRDefault="00F3087E">
      <w:pPr>
        <w:pStyle w:val="1"/>
        <w:snapToGrid w:val="0"/>
        <w:spacing w:beforeLines="0" w:before="240" w:after="240"/>
        <w:rPr>
          <w:rFonts w:ascii="宋体" w:hAnsi="宋体"/>
          <w:szCs w:val="30"/>
        </w:rPr>
      </w:pPr>
      <w:bookmarkStart w:id="22" w:name="_Toc240548807"/>
      <w:r>
        <w:rPr>
          <w:rFonts w:ascii="Times New Roman" w:hAnsi="Times New Roman"/>
          <w:sz w:val="30"/>
        </w:rPr>
        <w:lastRenderedPageBreak/>
        <w:t>十九、风险揭示</w:t>
      </w:r>
      <w:bookmarkEnd w:id="22"/>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w:t>
      </w:r>
      <w:r>
        <w:rPr>
          <w:rFonts w:ascii="宋体" w:hAnsi="宋体"/>
          <w:sz w:val="24"/>
        </w:rPr>
        <w:lastRenderedPageBreak/>
        <w:t>人不承担任何保证和承诺的责任。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（3）基差风险是指股指期货合约价格和指数价格之间的价格差的波动所造成的风险，以及不同股指期货合约价格之间价格差的波动所造成的期现价差风险。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（七）投资科创板股票的特定风险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科创板企业均为市场认可度较高的科技创新企业，在企业经营及盈利模式上存在趋同，所以科创板个股相关性较高，市场表现不佳时，系统性风险将更为显著。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w:t>
      </w:r>
      <w:r>
        <w:rPr>
          <w:rFonts w:ascii="宋体" w:hAnsi="宋体"/>
          <w:sz w:val="24"/>
        </w:rPr>
        <w:lastRenderedPageBreak/>
        <w:t>完善产生的风险；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3" w:name="_Toc240548808"/>
      <w:r>
        <w:rPr>
          <w:rFonts w:ascii="Times New Roman" w:hAnsi="Times New Roman"/>
          <w:sz w:val="30"/>
        </w:rPr>
        <w:lastRenderedPageBreak/>
        <w:t>二十、基金合同的变更、终止与基金财产的清算</w:t>
      </w:r>
      <w:bookmarkEnd w:id="23"/>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4" w:name="_Toc240548809"/>
      <w:r>
        <w:rPr>
          <w:rFonts w:ascii="Times New Roman" w:hAnsi="Times New Roman"/>
          <w:sz w:val="30"/>
        </w:rPr>
        <w:lastRenderedPageBreak/>
        <w:t>二十一、基金合同内容摘要</w:t>
      </w:r>
      <w:bookmarkEnd w:id="24"/>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（一）基金管理人、基金托管人和基金份额持有人的权利与义务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（1）根据《基金法》、《运作办法》及其他有关规定，基金份额持有人的权利包括但不限于：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w:t>
      </w:r>
      <w:r>
        <w:rPr>
          <w:rFonts w:ascii="宋体" w:hAnsi="宋体"/>
          <w:sz w:val="24"/>
        </w:rPr>
        <w:lastRenderedPageBreak/>
        <w:t>无实质性不利影响的前提下调整本基金的申购费率、调低赎回费率及销售服务费率、变更或增加收费方式、调整基金份额类别；</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6）在不违反法律法规及对基金份额持有人利益无实质性不利影响的前提下，基金管理人、登记机构、销售机构调整有关基金认购、申购、赎回、转换、收益分配、非交易过户、转托管等业务的规则；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w:t>
      </w:r>
      <w:r>
        <w:rPr>
          <w:rFonts w:ascii="宋体" w:hAnsi="宋体"/>
          <w:sz w:val="24"/>
        </w:rPr>
        <w:lastRenderedPageBreak/>
        <w:t>金管理人；基金托管人决定召集的，应当自出具书面决定之日起60日内召开并告知基金管理人，基金管理人应当配合；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基金份额持有人大会可通过现场开会方式、通讯开会方式或法律法规和监管机关允许的其他方式召开，会议的召开方式由会议召集人确定。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（2）通讯开会。通讯开会系指基金份额持有人将其对表决事项的投票以会议通知载明的形式在表决截至日以前送达至召集人指定的地址或系统。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w:t>
      </w:r>
      <w:r>
        <w:rPr>
          <w:rFonts w:ascii="宋体" w:hAnsi="宋体"/>
          <w:sz w:val="24"/>
        </w:rPr>
        <w:lastRenderedPageBreak/>
        <w:t>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w:t>
      </w:r>
      <w:r>
        <w:rPr>
          <w:rFonts w:ascii="宋体" w:hAnsi="宋体"/>
          <w:sz w:val="24"/>
        </w:rPr>
        <w:lastRenderedPageBreak/>
        <w:t>该次基金份额持有人大会的主持人。基金管理人和基金托管人拒不出席或主持基金份额持有人大会，不影响基金份额持有人大会作出的决议的效力。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w:t>
      </w:r>
      <w:r>
        <w:rPr>
          <w:rFonts w:ascii="宋体" w:hAnsi="宋体"/>
          <w:sz w:val="24"/>
        </w:rPr>
        <w:lastRenderedPageBreak/>
        <w:t>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w:t>
      </w:r>
      <w:r>
        <w:rPr>
          <w:rFonts w:ascii="宋体" w:hAnsi="宋体"/>
          <w:sz w:val="24"/>
        </w:rPr>
        <w:lastRenderedPageBreak/>
        <w:t>代表的基金份额或表决权符合该等比例：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w:t>
      </w:r>
      <w:r>
        <w:rPr>
          <w:rFonts w:ascii="宋体" w:hAnsi="宋体"/>
          <w:sz w:val="24"/>
        </w:rPr>
        <w:lastRenderedPageBreak/>
        <w:t>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4、清算费用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r w:rsidRPr="00BB248E">
        <w:rPr>
          <w:rFonts w:ascii="宋体" w:hAnsi="宋体" w:hint="eastAsia"/>
          <w:kern w:val="0"/>
          <w:sz w:val="24"/>
        </w:rPr>
        <w:t>仲裁裁决是终局的，对各方当事人均有约束力，除非仲裁裁决另有规定，仲裁费用、律师费由败诉方承担。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5" w:name="_Toc240548810"/>
      <w:r>
        <w:rPr>
          <w:rFonts w:ascii="Times New Roman" w:hAnsi="Times New Roman"/>
          <w:sz w:val="30"/>
        </w:rPr>
        <w:lastRenderedPageBreak/>
        <w:t>二十二、托管协议的内容摘要</w:t>
      </w:r>
      <w:bookmarkEnd w:id="25"/>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w:t>
      </w:r>
      <w:r>
        <w:rPr>
          <w:rFonts w:ascii="宋体" w:hAnsi="宋体"/>
          <w:sz w:val="24"/>
        </w:rPr>
        <w:lastRenderedPageBreak/>
        <w:t>督管理机构批准的其他业务。（依法须经批准的项目，经相关部门批准后依批准的内容开展经营活动。）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本基金投资于与新生活力主题相关证券的比例不低于非现金基金资产的80%；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本基金投资于与新生活力主题相关证券的比例不低于非现金基金资产的80%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w:t>
      </w:r>
      <w:r>
        <w:rPr>
          <w:rFonts w:ascii="宋体" w:hAnsi="宋体"/>
          <w:sz w:val="24"/>
        </w:rPr>
        <w:lastRenderedPageBreak/>
        <w:t>基金资产净值5％的现金或者到期日在一年以内的政府债券，其中现金不包括结算备付金、存出保证金、应收申购款等；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w:t>
      </w:r>
      <w:r>
        <w:rPr>
          <w:rFonts w:ascii="宋体" w:hAnsi="宋体"/>
          <w:sz w:val="24"/>
        </w:rPr>
        <w:lastRenderedPageBreak/>
        <w:t>购）等；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18）本基金持有的同一流通受限证券，其公允价值不得超过基金资产净值的10%；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w:t>
      </w:r>
      <w:r>
        <w:rPr>
          <w:rFonts w:ascii="宋体" w:hAnsi="宋体"/>
          <w:sz w:val="24"/>
        </w:rPr>
        <w:lastRenderedPageBreak/>
        <w:t>关联交易应提交基金管理人董事会审议，并经过三分之二以上的独立董事通过。基金管理人董事会应至少每半年对关联交易事项进行审查。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w:t>
      </w:r>
      <w:r>
        <w:rPr>
          <w:rFonts w:ascii="宋体" w:hAnsi="宋体"/>
          <w:sz w:val="24"/>
        </w:rPr>
        <w:lastRenderedPageBreak/>
        <w:t>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（7）基金托管人对基金投资中期票据和中小企业私募债的监督：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和中小企业私募债前，基金管理人须根据法律、法规、监管部门的规定，制定严格的关于投资中期票据和中小企业私募债的风险控制制度和流动性风险处置预案，并书面提供给基金托管人，基金托管人依据上述文件对基金管理人投资中期票据和中小企业私募债的额度和比例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2）如未来有关监管部门发布的法律法规对证券投资基金投资中期票据和中小</w:t>
      </w:r>
      <w:r>
        <w:rPr>
          <w:rFonts w:ascii="宋体" w:hAnsi="宋体"/>
          <w:sz w:val="24"/>
        </w:rPr>
        <w:lastRenderedPageBreak/>
        <w:t>企业私募债另有规定的，从其约定。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w:t>
      </w:r>
      <w:r>
        <w:rPr>
          <w:rFonts w:ascii="宋体" w:hAnsi="宋体"/>
          <w:sz w:val="24"/>
        </w:rPr>
        <w:lastRenderedPageBreak/>
        <w:t>投资于该名单之外的存款银行，有权拒绝执行。该名单如有变更，基金管理人应在启用新名单前提前及时将新名单发送给基金托管人。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（4）基金托管人发现基金管理人的投资指令违反相关法律法规规定或者违反基金合同约定的，应当拒绝执行，立即通知基金管理人。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w:t>
      </w:r>
      <w:r>
        <w:rPr>
          <w:rFonts w:ascii="宋体" w:hAnsi="宋体"/>
          <w:sz w:val="24"/>
        </w:rPr>
        <w:lastRenderedPageBreak/>
        <w:t>限于基金托管人安全保管基金财产、开设基金财产的资金账户、证券账户和期货账户等投资所需账户、复核基金管理人计算的基金资产净值和各类基金份额净值、根据基金管理人指令办理清算交收、相关信息披露和监督基金投资运作等行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w:t>
      </w:r>
      <w:r>
        <w:rPr>
          <w:rFonts w:ascii="宋体" w:hAnsi="宋体"/>
          <w:sz w:val="24"/>
        </w:rPr>
        <w:lastRenderedPageBreak/>
        <w:t>基金财产，如有特殊情况双方可另行协商解决。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w:t>
      </w:r>
      <w:r>
        <w:rPr>
          <w:rFonts w:ascii="宋体" w:hAnsi="宋体"/>
          <w:sz w:val="24"/>
        </w:rPr>
        <w:lastRenderedPageBreak/>
        <w:t>使用基金的任何账户进行本基金业务以外的活动。</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w:t>
      </w:r>
      <w:r>
        <w:rPr>
          <w:rFonts w:ascii="宋体" w:hAnsi="宋体"/>
          <w:sz w:val="24"/>
        </w:rPr>
        <w:lastRenderedPageBreak/>
        <w:t>基金管理人保管。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各类基金份额的基金份额净值是按照每个工作日闭市后，该类基金份额的基金资产净值除以当日该类基金份额的余额数量计算，精确到0.0001元，小数点后第五位四舍五入。国家另有规定的，从其规定。</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各类基金份额的基金资产净值和基金份额净值由基金管理人负责计算，基金托管人复核。基金管理人应于每个工作日交易结束后计算当日各类基金份额的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各类基金份额的基金资产净值，基金托管人复核、审查基金管理人计算的各类基金份额的基金资产净值。因此，本基金的会计责任方是基金管理人，就与本基金有关的会计问题，如经相关各方在平等基础上充分讨论后，仍无法达成一致的意见，按照基金管理人对各类基金份额的基金资产净值的计算结果对外予以公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w:t>
      </w:r>
      <w:r>
        <w:rPr>
          <w:rFonts w:ascii="宋体" w:hAnsi="宋体"/>
          <w:sz w:val="24"/>
        </w:rPr>
        <w:lastRenderedPageBreak/>
        <w:t>资品种的现行市价及重大变化等因素，调整最近交易市价，确定公允价值。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过错程度各自承担相应的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w:t>
      </w:r>
      <w:r>
        <w:rPr>
          <w:rFonts w:ascii="宋体" w:hAnsi="宋体"/>
          <w:sz w:val="24"/>
        </w:rPr>
        <w:lastRenderedPageBreak/>
        <w:t>值错误，基金管理人和基金托管人可以免除赔偿责任。但基金管理人和基金托管人应当积极采取必要的措施减轻或消除由此造成的影响。</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（1）基金财务报表由基金管理人和基金托管人每月分别独立编制。月度报表的编制，应于每月终了后5个工作日内完成。</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（2）因不可抗力或其他特殊情形致使基金管理人、基金托管人无法准确评估基金资产价值时；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w:t>
      </w:r>
      <w:r>
        <w:rPr>
          <w:rFonts w:ascii="宋体" w:hAnsi="宋体"/>
          <w:sz w:val="24"/>
        </w:rPr>
        <w:lastRenderedPageBreak/>
        <w:t>务以外的其他用途，并应遵守保密义务。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6" w:name="_Toc240548811"/>
      <w:r>
        <w:rPr>
          <w:rFonts w:ascii="Times New Roman" w:hAnsi="Times New Roman"/>
          <w:sz w:val="30"/>
        </w:rPr>
        <w:lastRenderedPageBreak/>
        <w:t>二十三、对基金份额持有人的服务</w:t>
      </w:r>
      <w:bookmarkEnd w:id="26"/>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和C类基金份额的申购、赎回、定期定额投资和转换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7" w:name="_Toc240548812"/>
      <w:r>
        <w:rPr>
          <w:rFonts w:ascii="Times New Roman" w:hAnsi="Times New Roman"/>
          <w:sz w:val="30"/>
        </w:rPr>
        <w:lastRenderedPageBreak/>
        <w:t>二十四、其他应披露事项</w:t>
      </w:r>
      <w:bookmarkEnd w:id="27"/>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交银施罗德基金管理有限公司关于交银施罗德新生活力灵活配置混合型证券投资基金增加</w:t>
            </w:r>
            <w:r>
              <w:rPr>
                <w:rFonts w:ascii="Times New Roman" w:hAnsi="Times New Roman"/>
                <w:color w:val="000000"/>
                <w:kern w:val="0"/>
                <w:sz w:val="25"/>
                <w:szCs w:val="24"/>
              </w:rPr>
              <w:t>C</w:t>
            </w:r>
            <w:r>
              <w:rPr>
                <w:rFonts w:ascii="Times New Roman" w:hAnsi="Times New Roman"/>
                <w:color w:val="000000"/>
                <w:kern w:val="0"/>
                <w:sz w:val="25"/>
                <w:szCs w:val="24"/>
              </w:rPr>
              <w:t>类基金份额、增加侧袋机制、调整基金份额净值计算小数点后保留位数并修改基金合同和托管协议的公告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交银施罗德基金管理有限公司关于交银施罗德新生活力灵活配置混合型证券投资基金开通同一基金不同类别基金份额转换业务的公告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2025-08-18</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90426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交银施罗德新生活力灵活配置混合型证券投资基金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04261" w:rsidRDefault="00F3087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8" w:name="_Toc240548813"/>
      <w:r>
        <w:rPr>
          <w:rFonts w:ascii="Times New Roman" w:hAnsi="Times New Roman"/>
          <w:sz w:val="30"/>
        </w:rPr>
        <w:lastRenderedPageBreak/>
        <w:t>二十五、招募说明书的存放及查阅方式</w:t>
      </w:r>
      <w:bookmarkEnd w:id="28"/>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3087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04261" w:rsidRDefault="00F3087E">
      <w:pPr>
        <w:pStyle w:val="1"/>
        <w:snapToGrid w:val="0"/>
        <w:spacing w:beforeLines="0" w:before="240" w:after="240"/>
        <w:rPr>
          <w:rFonts w:ascii="宋体" w:hAnsi="宋体"/>
          <w:szCs w:val="30"/>
        </w:rPr>
      </w:pPr>
      <w:bookmarkStart w:id="29" w:name="_Toc240548814"/>
      <w:r>
        <w:rPr>
          <w:rFonts w:ascii="Times New Roman" w:hAnsi="Times New Roman"/>
          <w:sz w:val="30"/>
        </w:rPr>
        <w:lastRenderedPageBreak/>
        <w:t>二十六、备查文件</w:t>
      </w:r>
      <w:bookmarkEnd w:id="29"/>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（一）中国证监会准予交银施罗德新生活力灵活配置混合型证券投资基金募集注册的文件</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（二）《交银施罗德新生活力灵活配置混合型证券投资基金基金合同》</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（三）《交银施罗德新生活力灵活配置混合型证券投资基金托管协议》</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04261" w:rsidRDefault="00F3087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（六）关于申请募集注册交银施罗德新生活力灵活配置混合型证券投资基金的法律意见书</w:t>
      </w:r>
    </w:p>
    <w:sectPr w:rsidR="00904261">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567" w:rsidRDefault="00F3087E">
      <w:r>
        <w:separator/>
      </w:r>
    </w:p>
  </w:endnote>
  <w:endnote w:type="continuationSeparator" w:id="0">
    <w:p w:rsidR="00B14567" w:rsidRDefault="00F30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90426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22733E">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904261" w:rsidRDefault="00F3087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2733E">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90426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22733E">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904261" w:rsidRDefault="00F3087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2733E">
                  <w:rPr>
                    <w:rFonts w:ascii="Times New Roman" w:hAnsi="Times New Roman"/>
                    <w:noProof/>
                    <w:kern w:val="0"/>
                    <w:sz w:val="18"/>
                    <w:szCs w:val="18"/>
                  </w:rPr>
                  <w:t>170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567" w:rsidRDefault="00F3087E">
      <w:r>
        <w:separator/>
      </w:r>
    </w:p>
  </w:footnote>
  <w:footnote w:type="continuationSeparator" w:id="0">
    <w:p w:rsidR="00B14567" w:rsidRDefault="00F30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90426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F3087E">
    <w:pPr>
      <w:pStyle w:val="a3"/>
      <w:jc w:val="right"/>
      <w:rPr>
        <w:rFonts w:ascii="宋体" w:hAnsi="宋体"/>
      </w:rPr>
    </w:pPr>
    <w:r>
      <w:rPr>
        <w:rFonts w:ascii="宋体" w:hAnsi="宋体" w:hint="eastAsia"/>
      </w:rPr>
      <w:t>交银施罗德新生活力灵活配置混合型证券投资基金招募说明书更新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904261">
    <w:pPr>
      <w:pStyle w:val="10"/>
      <w:jc w:val="right"/>
    </w:pPr>
  </w:p>
  <w:p w:rsidR="00904261" w:rsidRDefault="00904261">
    <w:pPr>
      <w:pStyle w:val="10"/>
      <w:jc w:val="right"/>
    </w:pPr>
  </w:p>
  <w:p w:rsidR="00904261" w:rsidRDefault="00904261">
    <w:pPr>
      <w:pStyle w:val="a3"/>
      <w:jc w:val="right"/>
    </w:pPr>
  </w:p>
  <w:p w:rsidR="00904261" w:rsidRDefault="00F3087E">
    <w:pPr>
      <w:pStyle w:val="a3"/>
      <w:jc w:val="right"/>
      <w:rPr>
        <w:rFonts w:ascii="宋体" w:hAnsi="宋体"/>
      </w:rPr>
    </w:pPr>
    <w:r>
      <w:rPr>
        <w:rFonts w:ascii="宋体" w:hAnsi="宋体" w:hint="eastAsia"/>
      </w:rPr>
      <w:t>交银施罗德新生活力灵活配置混合型证券投资基金招募说明书更新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261" w:rsidRDefault="00904261">
    <w:pPr>
      <w:pStyle w:val="a3"/>
      <w:jc w:val="right"/>
    </w:pPr>
  </w:p>
  <w:p w:rsidR="00904261" w:rsidRDefault="00904261">
    <w:pPr>
      <w:pStyle w:val="a3"/>
      <w:jc w:val="right"/>
    </w:pPr>
  </w:p>
  <w:p w:rsidR="00904261" w:rsidRDefault="00904261">
    <w:pPr>
      <w:pStyle w:val="a3"/>
      <w:jc w:val="right"/>
    </w:pPr>
  </w:p>
  <w:p w:rsidR="00904261" w:rsidRDefault="00F3087E">
    <w:pPr>
      <w:pStyle w:val="a3"/>
      <w:jc w:val="right"/>
      <w:rPr>
        <w:rFonts w:ascii="宋体" w:hAnsi="宋体"/>
      </w:rPr>
    </w:pPr>
    <w:r>
      <w:rPr>
        <w:rFonts w:ascii="宋体" w:hAnsi="宋体" w:hint="eastAsia"/>
      </w:rPr>
      <w:t>交银施罗德新生活力灵活配置混合型证券投资基金招募说明书更新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2733E"/>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4261"/>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4567"/>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087E"/>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5879C875-7E90-409A-886D-24E2BE89B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171</Pages>
  <Words>17540</Words>
  <Characters>99981</Characters>
  <Application>Microsoft Office Word</Application>
  <DocSecurity>0</DocSecurity>
  <Lines>833</Lines>
  <Paragraphs>234</Paragraphs>
  <ScaleCrop>false</ScaleCrop>
  <Company>Microsoft</Company>
  <LinksUpToDate>false</LinksUpToDate>
  <CharactersWithSpaces>117287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