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交银施罗德品质升级混合型证券投资基金（A类份额）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交银品质升级混合A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005004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本基金在有效控制投资风险的前提下，聚焦居民生活品质升级的方向和趋势，通过把握消费成长领域的投资机会，力争为基金份额持有人获得超越业绩比较基准的收益。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沪深300指数收益率×90%+中债-国债总财富（1-3年）指数收益率×10%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详见《交银施罗德品质升级混合型证券投资基金招募说明书》“基金的投资”。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2、本基金合同于2018年2月8日生效，合同生效当年净值增长率按实际存续期计算。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于品质升级主题相关证券的比例不低于非现金基金资产的80%，因此本基金的股票投资业绩与本基金界定的符合“品质升级”主题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●《交银施罗德品质升级混合型证券投资基金基金合同》、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《交银施罗德品质升级混合型证券投资基金托管协议》、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《交银施罗德品质升级混合型证券投资基金招募说明书》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57B2D"/>
    <w:rsid w:val="00DB319C"/>
    <w:rsid w:val="00E51B6D"/>
    <w:rsid w:val="00F75715"/>
    <w:rsid w:val="00F811C4"/>
    <w:rsid w:val="00FC2918"/>
    <w:rsid w:val="3E396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765</Words>
  <Characters>4364</Characters>
  <Lines>36</Lines>
  <Paragraphs>10</Paragraphs>
  <TotalTime>1</TotalTime>
  <ScaleCrop>false</ScaleCrop>
  <LinksUpToDate>false</LinksUpToDate>
  <CharactersWithSpaces>5119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2026-09-17T08:00:30Z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30E9285337BD4A968FEC80D1B6728132</vt:lpwstr>
  </property>
</Properties>
</file>