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交银施罗德品质增长一年持有期混合型证券投资基金（A类份额）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交银品质增长一年混合A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012582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沪深300指数收益率×70%+中证港股通综合指数（人民币）收益率×20%+中债-国债总财富（1-3年）指数收益率×10%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详见《交银施罗德品质增长一年持有期混合型证券投资基金招募说明书》“基金的投资”。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2、本基金合同于2021年7月23日生效，合同生效当年净值增长率按实际存续期计算。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B6DB0"/>
    <w:rsid w:val="00CD7637"/>
    <w:rsid w:val="00D04A15"/>
    <w:rsid w:val="00D373CC"/>
    <w:rsid w:val="00DB319C"/>
    <w:rsid w:val="00E51B6D"/>
    <w:rsid w:val="00F75715"/>
    <w:rsid w:val="00F811C4"/>
    <w:rsid w:val="00FC2918"/>
    <w:rsid w:val="484E3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824</Words>
  <Characters>4698</Characters>
  <Lines>39</Lines>
  <Paragraphs>11</Paragraphs>
  <TotalTime>1</TotalTime>
  <ScaleCrop>false</ScaleCrop>
  <LinksUpToDate>false</LinksUpToDate>
  <CharactersWithSpaces>5511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2026-09-17T08:03:23Z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ECDD5F9A553142DD80F5A6B7AF520338</vt:lpwstr>
  </property>
</Properties>
</file>