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F44C48">
      <w:pPr>
        <w:rPr>
          <w:sz w:val="32"/>
        </w:rPr>
      </w:pPr>
    </w:p>
    <w:p w:rsidR="00C92FC0" w:rsidRPr="00EB07BC" w:rsidRDefault="00F44C48">
      <w:pPr>
        <w:rPr>
          <w:sz w:val="32"/>
        </w:rPr>
      </w:pPr>
    </w:p>
    <w:p w:rsidR="00C92FC0" w:rsidRPr="00EB07BC" w:rsidRDefault="00F44C48">
      <w:pPr>
        <w:rPr>
          <w:sz w:val="32"/>
        </w:rPr>
      </w:pPr>
    </w:p>
    <w:p w:rsidR="00041277" w:rsidRDefault="0004127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41277" w:rsidRDefault="0004127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41277" w:rsidRDefault="0004127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041277" w:rsidRDefault="001F0197">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交银施罗德创新成长混合型证券投资基金</w:t>
      </w:r>
    </w:p>
    <w:p w:rsidR="00041277" w:rsidRDefault="001F0197">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041277" w:rsidRDefault="00041277">
      <w:pPr>
        <w:snapToGrid w:val="0"/>
        <w:spacing w:line="360" w:lineRule="auto"/>
        <w:jc w:val="center"/>
        <w:rPr>
          <w:rFonts w:ascii="宋体" w:hAnsi="宋体"/>
          <w:b/>
          <w:sz w:val="30"/>
          <w:szCs w:val="30"/>
        </w:rPr>
      </w:pPr>
    </w:p>
    <w:p w:rsidR="00041277" w:rsidRDefault="000412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41277" w:rsidRDefault="000412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41277" w:rsidRDefault="000412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41277" w:rsidRDefault="000412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41277" w:rsidRDefault="000412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41277" w:rsidRDefault="000412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41277" w:rsidRDefault="001F0197">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041277" w:rsidRDefault="001F0197">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041277" w:rsidRDefault="000412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41277" w:rsidRDefault="0004127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041277" w:rsidRDefault="001F0197">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041277" w:rsidRDefault="00041277">
      <w:pPr>
        <w:autoSpaceDE w:val="0"/>
        <w:autoSpaceDN w:val="0"/>
        <w:adjustRightInd w:val="0"/>
        <w:snapToGrid w:val="0"/>
        <w:spacing w:line="360" w:lineRule="auto"/>
        <w:ind w:left="1347" w:rightChars="6" w:right="13"/>
        <w:rPr>
          <w:rFonts w:ascii="宋体" w:hAnsi="宋体"/>
          <w:kern w:val="0"/>
          <w:sz w:val="32"/>
          <w:szCs w:val="32"/>
        </w:rPr>
        <w:sectPr w:rsidR="00041277">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041277" w:rsidRDefault="001F0197">
      <w:pPr>
        <w:pStyle w:val="1"/>
        <w:snapToGrid w:val="0"/>
        <w:spacing w:beforeLines="0" w:before="240" w:after="240"/>
        <w:rPr>
          <w:rFonts w:ascii="宋体" w:hAnsi="宋体"/>
          <w:kern w:val="0"/>
        </w:rPr>
      </w:pPr>
      <w:bookmarkStart w:id="0" w:name="_Toc324920538"/>
      <w:bookmarkStart w:id="1" w:name="_Toc496884613"/>
      <w:bookmarkStart w:id="2" w:name="_Toc240548761"/>
      <w:r>
        <w:rPr>
          <w:rFonts w:ascii="Times New Roman" w:hAnsi="Times New Roman"/>
          <w:kern w:val="0"/>
        </w:rPr>
        <w:lastRenderedPageBreak/>
        <w:t>重要提示</w:t>
      </w:r>
      <w:bookmarkEnd w:id="0"/>
      <w:bookmarkEnd w:id="1"/>
      <w:bookmarkEnd w:id="2"/>
    </w:p>
    <w:p w:rsidR="00041277" w:rsidRDefault="001F019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交银施罗德创新成长混合型证券投资基金（以下简称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7</w:t>
      </w:r>
      <w:r>
        <w:rPr>
          <w:rFonts w:ascii="Times New Roman" w:hAnsi="Times New Roman"/>
          <w:kern w:val="0"/>
          <w:sz w:val="24"/>
        </w:rPr>
        <w:t>月</w:t>
      </w:r>
      <w:r>
        <w:rPr>
          <w:rFonts w:ascii="Times New Roman" w:hAnsi="Times New Roman"/>
          <w:kern w:val="0"/>
          <w:sz w:val="24"/>
        </w:rPr>
        <w:t>13</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2018</w:t>
      </w:r>
      <w:r>
        <w:rPr>
          <w:rFonts w:ascii="Times New Roman" w:hAnsi="Times New Roman"/>
          <w:kern w:val="0"/>
          <w:sz w:val="24"/>
        </w:rPr>
        <w:t>】</w:t>
      </w:r>
      <w:r>
        <w:rPr>
          <w:rFonts w:ascii="Times New Roman" w:hAnsi="Times New Roman"/>
          <w:kern w:val="0"/>
          <w:sz w:val="24"/>
        </w:rPr>
        <w:t>1125</w:t>
      </w:r>
      <w:r>
        <w:rPr>
          <w:rFonts w:ascii="Times New Roman" w:hAnsi="Times New Roman"/>
          <w:kern w:val="0"/>
          <w:sz w:val="24"/>
        </w:rPr>
        <w:t>号文准予募集注册。本基金基金合同于</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27</w:t>
      </w:r>
      <w:r>
        <w:rPr>
          <w:rFonts w:ascii="Times New Roman" w:hAnsi="Times New Roman"/>
          <w:kern w:val="0"/>
          <w:sz w:val="24"/>
        </w:rPr>
        <w:t>日正式生效。</w:t>
      </w:r>
    </w:p>
    <w:p w:rsidR="00041277" w:rsidRDefault="001F019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041277" w:rsidRDefault="001F019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041277" w:rsidRDefault="001F019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信用风险；本基金投资策略所特有的风险；投资股指期货的特定风险；投资资产支持证券的特定风险；投资科创板股票的特定风险；投资本基金的其他风险等等。本基金是一只混合型基金，其预期风险和预期收益高于债券型基金和货币市场基金，低于股票型基金。</w:t>
      </w:r>
    </w:p>
    <w:p w:rsidR="00041277" w:rsidRDefault="001F019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041277" w:rsidRDefault="001F019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），会面临港股通机制下因投资环境、投资标的、市场制度以</w:t>
      </w:r>
      <w:r>
        <w:rPr>
          <w:rFonts w:ascii="Times New Roman" w:hAnsi="Times New Roman"/>
          <w:kern w:val="0"/>
          <w:sz w:val="24"/>
        </w:rPr>
        <w:lastRenderedPageBreak/>
        <w:t>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请见本招募说明书</w:t>
      </w:r>
      <w:r>
        <w:rPr>
          <w:rFonts w:ascii="Times New Roman" w:hAnsi="Times New Roman"/>
          <w:kern w:val="0"/>
          <w:sz w:val="24"/>
        </w:rPr>
        <w:t>“</w:t>
      </w:r>
      <w:r>
        <w:rPr>
          <w:rFonts w:ascii="Times New Roman" w:hAnsi="Times New Roman"/>
          <w:kern w:val="0"/>
          <w:sz w:val="24"/>
        </w:rPr>
        <w:t>十八、风险揭示</w:t>
      </w:r>
      <w:r>
        <w:rPr>
          <w:rFonts w:ascii="Times New Roman" w:hAnsi="Times New Roman"/>
          <w:kern w:val="0"/>
          <w:sz w:val="24"/>
        </w:rPr>
        <w:t>”</w:t>
      </w:r>
      <w:r>
        <w:rPr>
          <w:rFonts w:ascii="Times New Roman" w:hAnsi="Times New Roman"/>
          <w:kern w:val="0"/>
          <w:sz w:val="24"/>
        </w:rPr>
        <w:t>章节。</w:t>
      </w:r>
    </w:p>
    <w:p w:rsidR="00041277" w:rsidRDefault="001F019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041277" w:rsidRDefault="001F019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041277" w:rsidRDefault="001F019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041277" w:rsidRDefault="001F019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041277" w:rsidRDefault="001F0197">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日，除非另有说明，本招募说明书其他所载内容截止日为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03</w:t>
      </w:r>
      <w:r>
        <w:rPr>
          <w:rFonts w:ascii="Times New Roman" w:hAnsi="Times New Roman"/>
          <w:kern w:val="0"/>
          <w:sz w:val="24"/>
        </w:rPr>
        <w:t>日，有关财务数据和净值表现截止日为</w:t>
      </w:r>
      <w:r>
        <w:rPr>
          <w:rFonts w:ascii="Times New Roman" w:hAnsi="Times New Roman"/>
          <w:kern w:val="0"/>
          <w:sz w:val="24"/>
        </w:rPr>
        <w:t>2025</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日。本招募说明书所载的财务数据未经审计。</w:t>
      </w:r>
    </w:p>
    <w:p w:rsidR="00041277" w:rsidRDefault="00041277">
      <w:pPr>
        <w:autoSpaceDE w:val="0"/>
        <w:autoSpaceDN w:val="0"/>
        <w:adjustRightInd w:val="0"/>
        <w:snapToGrid w:val="0"/>
        <w:spacing w:before="51" w:line="360" w:lineRule="auto"/>
        <w:ind w:left="120" w:rightChars="6" w:right="13" w:firstLine="480"/>
        <w:rPr>
          <w:rFonts w:ascii="宋体" w:hAnsi="宋体"/>
          <w:kern w:val="0"/>
          <w:szCs w:val="24"/>
        </w:rPr>
        <w:sectPr w:rsidR="00041277">
          <w:headerReference w:type="default" r:id="rId14"/>
          <w:pgSz w:w="11920" w:h="16840"/>
          <w:pgMar w:top="1440" w:right="1680" w:bottom="280" w:left="1680" w:header="0" w:footer="1073" w:gutter="0"/>
          <w:pgNumType w:start="1"/>
          <w:cols w:space="720"/>
        </w:sectPr>
      </w:pPr>
    </w:p>
    <w:p w:rsidR="00F44C48" w:rsidRPr="00F44C48" w:rsidRDefault="001F0197" w:rsidP="00F44C48">
      <w:pPr>
        <w:pStyle w:val="ad"/>
        <w:snapToGrid w:val="0"/>
        <w:spacing w:after="240" w:line="360" w:lineRule="auto"/>
        <w:jc w:val="center"/>
        <w:rPr>
          <w:rFonts w:ascii="宋体" w:hAnsi="宋体"/>
          <w:noProof/>
          <w:sz w:val="24"/>
        </w:rPr>
      </w:pPr>
      <w:r w:rsidRPr="00F44C48">
        <w:rPr>
          <w:rFonts w:ascii="宋体" w:hAnsi="宋体"/>
          <w:color w:val="000000"/>
          <w:position w:val="-4"/>
          <w:sz w:val="24"/>
          <w:szCs w:val="30"/>
        </w:rPr>
        <w:lastRenderedPageBreak/>
        <w:t>目</w:t>
      </w:r>
      <w:r w:rsidRPr="00F44C48">
        <w:rPr>
          <w:rFonts w:ascii="宋体" w:hAnsi="宋体"/>
          <w:color w:val="000000"/>
          <w:position w:val="-4"/>
          <w:sz w:val="24"/>
          <w:szCs w:val="30"/>
        </w:rPr>
        <w:tab/>
        <w:t>录</w:t>
      </w:r>
      <w:r w:rsidR="00F44C48" w:rsidRPr="00F44C48">
        <w:rPr>
          <w:rFonts w:ascii="宋体" w:hAnsi="宋体"/>
          <w:color w:val="000000"/>
          <w:position w:val="-4"/>
          <w:sz w:val="24"/>
          <w:szCs w:val="30"/>
        </w:rPr>
        <w:fldChar w:fldCharType="begin"/>
      </w:r>
      <w:r w:rsidR="00F44C48" w:rsidRPr="00F44C48">
        <w:rPr>
          <w:rFonts w:ascii="宋体" w:hAnsi="宋体"/>
          <w:color w:val="000000"/>
          <w:position w:val="-4"/>
          <w:sz w:val="24"/>
          <w:szCs w:val="30"/>
        </w:rPr>
        <w:instrText xml:space="preserve"> TOC \o "1-3" \f - \h \t "-1" </w:instrText>
      </w:r>
      <w:r w:rsidR="00F44C48" w:rsidRPr="00F44C48">
        <w:rPr>
          <w:rFonts w:ascii="宋体" w:hAnsi="宋体"/>
          <w:color w:val="000000"/>
          <w:position w:val="-4"/>
          <w:sz w:val="24"/>
          <w:szCs w:val="30"/>
        </w:rPr>
        <w:fldChar w:fldCharType="separate"/>
      </w:r>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61" w:history="1">
        <w:r w:rsidRPr="00F44C48">
          <w:rPr>
            <w:rStyle w:val="aa"/>
            <w:rFonts w:ascii="宋体" w:hAnsi="宋体" w:hint="eastAsia"/>
            <w:noProof/>
            <w:kern w:val="0"/>
            <w:sz w:val="24"/>
          </w:rPr>
          <w:t>重要提示</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_Toc240548761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1</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62" w:history="1">
        <w:r w:rsidRPr="00F44C48">
          <w:rPr>
            <w:rStyle w:val="aa"/>
            <w:rFonts w:ascii="宋体" w:hAnsi="宋体" w:hint="eastAsia"/>
            <w:noProof/>
            <w:sz w:val="24"/>
          </w:rPr>
          <w:t>一、绪言</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_Toc240548762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4</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63" w:history="1">
        <w:r w:rsidRPr="00F44C48">
          <w:rPr>
            <w:rStyle w:val="aa"/>
            <w:rFonts w:ascii="宋体" w:hAnsi="宋体" w:hint="eastAsia"/>
            <w:noProof/>
            <w:sz w:val="24"/>
          </w:rPr>
          <w:t>二、释义</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_Toc240548763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5</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64" w:history="1">
        <w:r w:rsidRPr="00F44C48">
          <w:rPr>
            <w:rStyle w:val="aa"/>
            <w:rFonts w:ascii="宋体" w:hAnsi="宋体" w:hint="eastAsia"/>
            <w:noProof/>
            <w:sz w:val="24"/>
          </w:rPr>
          <w:t>三、基金管理人</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_Toc240548764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10</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65" w:history="1">
        <w:r w:rsidRPr="00F44C48">
          <w:rPr>
            <w:rStyle w:val="aa"/>
            <w:rFonts w:ascii="宋体" w:hAnsi="宋体" w:hint="eastAsia"/>
            <w:noProof/>
            <w:sz w:val="24"/>
          </w:rPr>
          <w:t>四、基金托管人</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_Toc240548765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17</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66" w:history="1">
        <w:r w:rsidRPr="00F44C48">
          <w:rPr>
            <w:rStyle w:val="aa"/>
            <w:rFonts w:ascii="宋体" w:hAnsi="宋体" w:hint="eastAsia"/>
            <w:noProof/>
            <w:sz w:val="24"/>
          </w:rPr>
          <w:t>五、相关服务机构</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_Toc240548766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21</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67" w:history="1">
        <w:r w:rsidRPr="00F44C48">
          <w:rPr>
            <w:rStyle w:val="aa"/>
            <w:rFonts w:ascii="宋体" w:hAnsi="宋体" w:hint="eastAsia"/>
            <w:noProof/>
            <w:sz w:val="24"/>
          </w:rPr>
          <w:t>六、基金的募集</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_Toc240548767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46</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68" w:history="1">
        <w:r w:rsidRPr="00F44C48">
          <w:rPr>
            <w:rStyle w:val="aa"/>
            <w:rFonts w:ascii="宋体" w:hAnsi="宋体" w:hint="eastAsia"/>
            <w:noProof/>
            <w:sz w:val="24"/>
          </w:rPr>
          <w:t>七、基金合同的生效</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_Toc240548768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47</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69" w:history="1">
        <w:r w:rsidRPr="00F44C48">
          <w:rPr>
            <w:rStyle w:val="aa"/>
            <w:rFonts w:ascii="宋体" w:hAnsi="宋体" w:hint="eastAsia"/>
            <w:noProof/>
            <w:sz w:val="24"/>
          </w:rPr>
          <w:t>八、基金份额的申购与赎回</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_Toc240548769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48</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70" w:history="1">
        <w:r w:rsidRPr="00F44C48">
          <w:rPr>
            <w:rStyle w:val="aa"/>
            <w:rFonts w:ascii="宋体" w:hAnsi="宋体" w:hint="eastAsia"/>
            <w:noProof/>
            <w:sz w:val="24"/>
          </w:rPr>
          <w:t>九、基金的转换</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_Toc240548770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60</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71" w:history="1">
        <w:r w:rsidRPr="00F44C48">
          <w:rPr>
            <w:rStyle w:val="aa"/>
            <w:rFonts w:ascii="宋体" w:hAnsi="宋体" w:hint="eastAsia"/>
            <w:noProof/>
            <w:sz w:val="24"/>
          </w:rPr>
          <w:t>十、基金的投资</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_Toc240548771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67</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72" w:history="1">
        <w:r w:rsidRPr="00F44C48">
          <w:rPr>
            <w:rStyle w:val="aa"/>
            <w:rFonts w:ascii="宋体" w:hAnsi="宋体" w:hint="eastAsia"/>
            <w:noProof/>
            <w:sz w:val="24"/>
          </w:rPr>
          <w:t>十一、基金的业绩</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_Toc240548772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80</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73" w:history="1">
        <w:r w:rsidRPr="00F44C48">
          <w:rPr>
            <w:rStyle w:val="aa"/>
            <w:rFonts w:ascii="宋体" w:hAnsi="宋体" w:hint="eastAsia"/>
            <w:noProof/>
            <w:sz w:val="24"/>
          </w:rPr>
          <w:t>十二、基金的财产</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_Toc240548773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82</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74" w:history="1">
        <w:r w:rsidRPr="00F44C48">
          <w:rPr>
            <w:rStyle w:val="aa"/>
            <w:rFonts w:ascii="宋体" w:hAnsi="宋体" w:hint="eastAsia"/>
            <w:noProof/>
            <w:sz w:val="24"/>
          </w:rPr>
          <w:t>十三、基金资产的估值</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_Toc240548774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83</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75" w:history="1">
        <w:r w:rsidRPr="00F44C48">
          <w:rPr>
            <w:rStyle w:val="aa"/>
            <w:rFonts w:ascii="宋体" w:hAnsi="宋体" w:hint="eastAsia"/>
            <w:noProof/>
            <w:sz w:val="24"/>
          </w:rPr>
          <w:t>十四、基金收益与分配</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_Toc240548775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88</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76" w:history="1">
        <w:r w:rsidRPr="00F44C48">
          <w:rPr>
            <w:rStyle w:val="aa"/>
            <w:rFonts w:ascii="宋体" w:hAnsi="宋体" w:hint="eastAsia"/>
            <w:noProof/>
            <w:sz w:val="24"/>
          </w:rPr>
          <w:t>十五、基金的费用与税收</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_Toc240548776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90</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77" w:history="1">
        <w:r w:rsidRPr="00F44C48">
          <w:rPr>
            <w:rStyle w:val="aa"/>
            <w:rFonts w:ascii="宋体" w:hAnsi="宋体" w:hint="eastAsia"/>
            <w:noProof/>
            <w:sz w:val="24"/>
          </w:rPr>
          <w:t>十六、基金的会计与审计</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_Toc240548777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93</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78" w:history="1">
        <w:r w:rsidRPr="00F44C48">
          <w:rPr>
            <w:rStyle w:val="aa"/>
            <w:rFonts w:ascii="宋体" w:hAnsi="宋体" w:hint="eastAsia"/>
            <w:noProof/>
            <w:sz w:val="24"/>
          </w:rPr>
          <w:t>十七、基金的信息披露</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_Toc240548778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94</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79" w:history="1">
        <w:r w:rsidRPr="00F44C48">
          <w:rPr>
            <w:rStyle w:val="aa"/>
            <w:rFonts w:ascii="宋体" w:hAnsi="宋体" w:hint="eastAsia"/>
            <w:noProof/>
            <w:sz w:val="24"/>
          </w:rPr>
          <w:t>十八、风险揭示</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_Toc240548779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100</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80" w:history="1">
        <w:r w:rsidRPr="00F44C48">
          <w:rPr>
            <w:rStyle w:val="aa"/>
            <w:rFonts w:ascii="宋体" w:hAnsi="宋体" w:hint="eastAsia"/>
            <w:noProof/>
            <w:sz w:val="24"/>
          </w:rPr>
          <w:t>十九、基金合同的变更、终止与基金财产的清算</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_Toc240548780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109</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81" w:history="1">
        <w:r w:rsidRPr="00F44C48">
          <w:rPr>
            <w:rStyle w:val="aa"/>
            <w:rFonts w:ascii="宋体" w:hAnsi="宋体" w:hint="eastAsia"/>
            <w:noProof/>
            <w:sz w:val="24"/>
          </w:rPr>
          <w:t>二十、基金合同内容摘要</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_Toc240548781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111</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82" w:history="1">
        <w:r w:rsidRPr="00F44C48">
          <w:rPr>
            <w:rStyle w:val="aa"/>
            <w:rFonts w:ascii="宋体" w:hAnsi="宋体" w:hint="eastAsia"/>
            <w:noProof/>
            <w:sz w:val="24"/>
          </w:rPr>
          <w:t>二十一、托管协议的内容摘要</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_Toc240548782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127</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83" w:history="1">
        <w:r w:rsidRPr="00F44C48">
          <w:rPr>
            <w:rStyle w:val="aa"/>
            <w:rFonts w:ascii="宋体" w:hAnsi="宋体" w:hint="eastAsia"/>
            <w:noProof/>
            <w:sz w:val="24"/>
          </w:rPr>
          <w:t>二十二、对基金份额持有人的服务</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_Toc240548783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145</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84" w:history="1">
        <w:r w:rsidRPr="00F44C48">
          <w:rPr>
            <w:rStyle w:val="aa"/>
            <w:rFonts w:ascii="宋体" w:hAnsi="宋体" w:hint="eastAsia"/>
            <w:noProof/>
            <w:sz w:val="24"/>
          </w:rPr>
          <w:t>二十三、其他应披露事项</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_Toc240548784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147</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85" w:history="1">
        <w:r w:rsidRPr="00F44C48">
          <w:rPr>
            <w:rStyle w:val="aa"/>
            <w:rFonts w:ascii="宋体" w:hAnsi="宋体" w:hint="eastAsia"/>
            <w:noProof/>
            <w:sz w:val="24"/>
          </w:rPr>
          <w:t>二十四、招募说明书的存放及查阅方式</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_Toc240548785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149</w:t>
        </w:r>
        <w:r w:rsidRPr="00F44C48">
          <w:rPr>
            <w:rFonts w:ascii="宋体" w:hAnsi="宋体"/>
            <w:noProof/>
            <w:sz w:val="24"/>
          </w:rPr>
          <w:fldChar w:fldCharType="end"/>
        </w:r>
      </w:hyperlink>
    </w:p>
    <w:p w:rsidR="00F44C48" w:rsidRPr="00F44C48" w:rsidRDefault="00F44C48" w:rsidP="00F44C48">
      <w:pPr>
        <w:pStyle w:val="10"/>
        <w:tabs>
          <w:tab w:val="right" w:leader="dot" w:pos="8550"/>
        </w:tabs>
        <w:spacing w:line="360" w:lineRule="auto"/>
        <w:rPr>
          <w:rFonts w:ascii="宋体" w:hAnsi="宋体" w:cstheme="minorBidi"/>
          <w:noProof/>
          <w:sz w:val="24"/>
        </w:rPr>
      </w:pPr>
      <w:hyperlink w:anchor="_Toc240548786" w:history="1">
        <w:r w:rsidRPr="00F44C48">
          <w:rPr>
            <w:rStyle w:val="aa"/>
            <w:rFonts w:ascii="宋体" w:hAnsi="宋体" w:hint="eastAsia"/>
            <w:noProof/>
            <w:sz w:val="24"/>
          </w:rPr>
          <w:t>二十五、备查文件</w:t>
        </w:r>
        <w:r w:rsidRPr="00F44C48">
          <w:rPr>
            <w:rFonts w:ascii="宋体" w:hAnsi="宋体"/>
            <w:noProof/>
            <w:sz w:val="24"/>
          </w:rPr>
          <w:tab/>
        </w:r>
        <w:r w:rsidRPr="00F44C48">
          <w:rPr>
            <w:rFonts w:ascii="宋体" w:hAnsi="宋体"/>
            <w:noProof/>
            <w:sz w:val="24"/>
          </w:rPr>
          <w:fldChar w:fldCharType="begin"/>
        </w:r>
        <w:r w:rsidRPr="00F44C48">
          <w:rPr>
            <w:rFonts w:ascii="宋体" w:hAnsi="宋体"/>
            <w:noProof/>
            <w:sz w:val="24"/>
          </w:rPr>
          <w:instrText xml:space="preserve"> PAGEREF _Toc240548786 \h </w:instrText>
        </w:r>
        <w:r w:rsidRPr="00F44C48">
          <w:rPr>
            <w:rFonts w:ascii="宋体" w:hAnsi="宋体"/>
            <w:noProof/>
            <w:sz w:val="24"/>
          </w:rPr>
        </w:r>
        <w:r w:rsidRPr="00F44C48">
          <w:rPr>
            <w:rFonts w:ascii="宋体" w:hAnsi="宋体"/>
            <w:noProof/>
            <w:sz w:val="24"/>
          </w:rPr>
          <w:fldChar w:fldCharType="separate"/>
        </w:r>
        <w:r w:rsidRPr="00F44C48">
          <w:rPr>
            <w:rFonts w:ascii="宋体" w:hAnsi="宋体"/>
            <w:noProof/>
            <w:sz w:val="24"/>
          </w:rPr>
          <w:t>150</w:t>
        </w:r>
        <w:r w:rsidRPr="00F44C48">
          <w:rPr>
            <w:rFonts w:ascii="宋体" w:hAnsi="宋体"/>
            <w:noProof/>
            <w:sz w:val="24"/>
          </w:rPr>
          <w:fldChar w:fldCharType="end"/>
        </w:r>
      </w:hyperlink>
    </w:p>
    <w:p w:rsidR="00041277" w:rsidRPr="00F44C48" w:rsidRDefault="00F44C48" w:rsidP="00F44C48">
      <w:pPr>
        <w:pStyle w:val="ad"/>
        <w:snapToGrid w:val="0"/>
        <w:spacing w:after="240" w:line="360" w:lineRule="auto"/>
        <w:jc w:val="center"/>
        <w:rPr>
          <w:rFonts w:ascii="宋体" w:hAnsi="宋体"/>
          <w:color w:val="000000"/>
          <w:sz w:val="24"/>
        </w:rPr>
      </w:pPr>
      <w:r w:rsidRPr="00F44C48">
        <w:rPr>
          <w:rFonts w:ascii="宋体" w:hAnsi="宋体"/>
          <w:color w:val="000000"/>
          <w:position w:val="-4"/>
          <w:sz w:val="24"/>
          <w:szCs w:val="30"/>
        </w:rPr>
        <w:fldChar w:fldCharType="end"/>
      </w:r>
      <w:bookmarkStart w:id="3" w:name="_GoBack"/>
      <w:bookmarkEnd w:id="3"/>
    </w:p>
    <w:p w:rsidR="00041277" w:rsidRDefault="00041277">
      <w:pPr>
        <w:autoSpaceDE w:val="0"/>
        <w:autoSpaceDN w:val="0"/>
        <w:adjustRightInd w:val="0"/>
        <w:snapToGrid w:val="0"/>
        <w:spacing w:line="360" w:lineRule="auto"/>
        <w:ind w:left="120" w:rightChars="6" w:right="13"/>
        <w:rPr>
          <w:rFonts w:ascii="宋体" w:hAnsi="宋体"/>
          <w:kern w:val="0"/>
          <w:szCs w:val="24"/>
        </w:rPr>
        <w:sectPr w:rsidR="00041277">
          <w:pgSz w:w="11920" w:h="16840"/>
          <w:pgMar w:top="1480" w:right="1680" w:bottom="280" w:left="1680" w:header="0" w:footer="1073" w:gutter="0"/>
          <w:cols w:space="720"/>
        </w:sectPr>
      </w:pPr>
    </w:p>
    <w:p w:rsidR="00041277" w:rsidRDefault="001F0197">
      <w:pPr>
        <w:pStyle w:val="1"/>
        <w:snapToGrid w:val="0"/>
        <w:spacing w:beforeLines="0" w:before="240" w:after="240"/>
        <w:rPr>
          <w:rFonts w:ascii="宋体" w:hAnsi="宋体"/>
          <w:szCs w:val="30"/>
        </w:rPr>
      </w:pPr>
      <w:bookmarkStart w:id="4" w:name="_Toc240548762"/>
      <w:r>
        <w:rPr>
          <w:rFonts w:ascii="Times New Roman" w:hAnsi="Times New Roman"/>
          <w:sz w:val="30"/>
        </w:rPr>
        <w:lastRenderedPageBreak/>
        <w:t>一、绪言</w:t>
      </w:r>
      <w:bookmarkEnd w:id="4"/>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创新成长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创新成长混合型证券投资基金基金合同》（以下简称“基金合同”）编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5" w:name="_Toc240548763"/>
      <w:r>
        <w:rPr>
          <w:rFonts w:ascii="Times New Roman" w:hAnsi="Times New Roman"/>
          <w:sz w:val="30"/>
        </w:rPr>
        <w:lastRenderedPageBreak/>
        <w:t>二、释义</w:t>
      </w:r>
      <w:bookmarkEnd w:id="5"/>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1、基金或本基金：指交银施罗德创新成长混合型证券投资基金</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4、《基金合同》或基金合同：指《交银施罗德创新成长混合型证券投资基金基金合同》及对基金合同的任何有效修订和补充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5、托管协议：指基金管理人与基金托管人就本基金签订之《交银施罗德创新成长混合型证券投资基金托管协议》及对该托管协议的任何有效修订和补充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6、招募说明书或《招募说明书》或本招募说明书：指《交银施罗德创新成长混合型证券投资基金招募说明书》及其更新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7、基金份额发售公告：指《交银施罗德创新成长混合型证券投资基金基金份额发售公告》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8、基金产品资料概要：指《交银施罗德创新成长混合型证券投资基金基金产品资料概要》及其更新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14、《流动性规定》：指《公开募集开放式证券投资基金流动性风险管理规定》及颁布机关对其不时做出的修订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15、流动性受限资产：指由于法律法规、监管、合同或操作障碍等原因无法以合理价格予以变现的资产，包括但不限于到期日在10个交易日以上的逆回购与银行</w:t>
      </w:r>
      <w:r>
        <w:rPr>
          <w:rFonts w:ascii="宋体" w:hAnsi="宋体"/>
          <w:sz w:val="24"/>
        </w:rPr>
        <w:lastRenderedPageBreak/>
        <w:t>定期存款（含协议约定有条件提前支取的银行存款）、停牌股票、流通受限的新股及非公开发行股票、资产支持证券、因发行人债务违约无法进行转让或交易的债券等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摆动定价机制：指当开放式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具体处理原则与操作规范遵循相关法律法规以及监管部门、自律规则的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17、中国证监会：指中国证券监督管理委员会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18、银行业监督管理机构：指中国人民银行和/或中国银行保险监督管理委员会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19、基金合同当事人：指受基金合同约束，根据基金合同享有权利并承担义务的法律主体，包括基金管理人、基金托管人和基金份额持有人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20、个人投资者：指依据有关法律法规规定可投资于证券投资基金的自然人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21、机构投资者：指依法可以投资证券投资基金的、在中华人民共和国境内合法登记并存续或经有关政府部门批准设立并存续的企业法人、事业法人、社会团体或其他组织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22、合格境外机构投资者：指符合《合格境外机构投资者境内证券投资管理办法》及相关法律法规规定可以投资于在中国境内依法募集的证券投资基金的中国境外的机构投资者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23、人民币合格境外机构投资者：指按照《人民币合格境外机构投资者境内证券投资试点办法》及相关法律法规规定，运用来自境外的人民币资金进行中国境内证券投资的境外机构投资者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24、投资人或投资者：指个人投资者、机构投资者、合格境外机构投资者和人民币合格境外机构投资者以及法律法规或中国证监会允许购买证券投资基金的其他投资人的合称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25、基金份额持有人：指依基金合同和招募说明书合法取得基金份额的投资人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26、基金销售业务：指基金管理人或销售机构宣传推介基金，发售基金份额，办理基金份额的申购、赎回、转换、转托管及定期定额投资等业务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27、销售机构：指交银施罗德基金管理有限公司以及符合《销售办法》和中国</w:t>
      </w:r>
      <w:r>
        <w:rPr>
          <w:rFonts w:ascii="宋体" w:hAnsi="宋体"/>
          <w:sz w:val="24"/>
        </w:rPr>
        <w:lastRenderedPageBreak/>
        <w:t>证监会规定的其他条件，取得基金销售业务资格并与基金管理人签订了基金销售服务协议，办理基金销售业务的机构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29、登记机构：指办理登记业务的机构。基金的登记机构为交银施罗德基金管理有限公司或接受交银施罗德基金管理有限公司委托办理登记业务的机构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30、基金账户：指登记机构为投资人开立的、记录其持有的、基金管理人所管理的基金份额余额及其变动情况的账户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31、基金交易账户：指销售机构为投资人开立的、记录投资人通过该销售机构办理认购、申购、赎回、转换、定期定额投资及转托管等业务而引起的基金份额变动及结余情况的账户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34、基金募集期：指自基金份额发售之日起至发售结束之日止的期间，最长不得超过3个月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35、存续期：指基金合同生效至终止之间的不定期期限</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36、工作日：指上海证券交易所、深圳证券交易所的正常交易日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37、T日：指销售机构在规定时间受理投资人申购、赎回或其他业务申请的开放日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38、T+n日：指自T日起第n个工作日(不包含T日)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39、开放日：指为投资人办理基金份额申购、赎回或其他业务的工作日（若该工作日为非港股通交易日，则本基金不开放）</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w:t>
      </w:r>
      <w:r>
        <w:rPr>
          <w:rFonts w:ascii="宋体" w:hAnsi="宋体"/>
          <w:sz w:val="24"/>
        </w:rPr>
        <w:lastRenderedPageBreak/>
        <w:t>人共同遵守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42、认购：指在基金募集期内，投资人根据基金合同和招募说明书的规定申请购买基金份额的行为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43、申购：指基金合同生效后，投资人根据基金合同和招募说明书的规定申请购买基金份额的行为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45、基金转换：指基金份额持有人按照基金合同和基金管理人届时有效公告规定的条件，申请将其持有基金管理人管理的、某一基金的基金份额转换为基金管理人管理的其他基金基金份额的行为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46、转托管：指基金份额持有人在本基金的不同销售机构之间实施的变更所持基金份额销售机构的操作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49、元：指人民币元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50、基金收益：指基金投资所得红利、股息、债券利息、买卖证券价差、银行存款利息、已实现的其他合法收入及因运用基金财产带来的成本和费用的节约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51、基金资产总值：指基金拥有的各类有价证券、股指期货合约、银行存款本息、基金应收申购款及其他资产的价值总和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52、基金资产净值：指基金资产总值减去基金负债后的价值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53、基金份额净值：指计算日基金资产净值除以计算日基金份额总数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54、基金资产估值：指计算评估基金资产和负债的价值，以确定基金资产净值和基金份额净值的过程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55、港股通：指内地投资者委托内地证券公司，经由内地证券交易所设立的证券交易服务公司，向香港联合交易所进行申报，买卖规定范围内的香港联合交易所上市的股票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56、指定媒介：指中国证监会指定的用以进行信息披露的全国性报刊及指定互联网网站（包括基金管理人网站、基金托管人网站、中国证监会基金电子披露网站）等媒介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57、不可抗力：指基金合同当事人不能预见、不能避免且不能克服的客观事件</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6" w:name="_Toc240548764"/>
      <w:r>
        <w:rPr>
          <w:rFonts w:ascii="Times New Roman" w:hAnsi="Times New Roman"/>
          <w:sz w:val="30"/>
        </w:rPr>
        <w:lastRenderedPageBreak/>
        <w:t>三、基金管理人</w:t>
      </w:r>
      <w:bookmarkEnd w:id="6"/>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中先生:基金经理。复旦大学金融学硕士、南京大学工学学士，17年证券投资行业从业经验。2009年至2010年任野村证券亚太区股票研究部研究助理，2010年至2013年任中银国际证券研究部研究员、高级经理，2013年至2015年任瑞银证券研究部行业分析师、董事。2015年加入交银施罗德基金管理有限公司，现任跨境投资部基金经理。曾任交银施罗德环球精选价值证券投资基金(2015年12月12日至2024年06月06日)、交银施罗德全球自然资源证券投资基金(2015年12月12日至2019年09月19日)、交银施罗德启道混合型证券投资基金(2021年01月28日至2026年07月22日)的基金经理。现任交银施罗德创新成长混合型证券投资基金(2018年09月27日至今)、交银施罗德启欣混合型证券投资基金(2020年10月28日至今)、交银施罗德成长动力一年持有期混合型证券投资基金(2021年06月11日至今)的基金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5、进行基金会计核算并编制基金财务会计报告；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3、不泄露在任职期间知悉的有关证券、基金的商业秘密，尚未依法公开的基金投资内容、基金投资计划等信息，或利用该信息从事或者明示、暗示他人从事相关的交易活动；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w:t>
      </w:r>
      <w:r>
        <w:rPr>
          <w:rFonts w:ascii="宋体" w:hAnsi="宋体"/>
          <w:sz w:val="24"/>
        </w:rPr>
        <w:lastRenderedPageBreak/>
        <w:t>价，监督检查公司财务状况，审计公司的财务报表，评估公司的财务表现，保证公司的财务运作符合法律的要求和通行的会计标准。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w:t>
      </w:r>
      <w:r>
        <w:rPr>
          <w:rFonts w:ascii="宋体" w:hAnsi="宋体"/>
          <w:sz w:val="24"/>
        </w:rPr>
        <w:lastRenderedPageBreak/>
        <w:t>务活动有恰当的组织和授权，确保监察活动独立，并得到高管人员的支持，同时置备操作手册，并定期更新。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7" w:name="_Toc240548765"/>
      <w:r>
        <w:rPr>
          <w:rFonts w:ascii="Times New Roman" w:hAnsi="Times New Roman"/>
          <w:sz w:val="30"/>
        </w:rPr>
        <w:lastRenderedPageBreak/>
        <w:t>四、基金托管人</w:t>
      </w:r>
      <w:bookmarkEnd w:id="7"/>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 1987年，是中国改革开放中最早成立的新兴商业银行之一，是中国最早参与国内外金融市场融资的商业银行，并以屡创中国现代金融史上多个第一而蜚声海内外，为中国经济建设作出了积极贡献。2007年4月，本行实现在上海证</w:t>
      </w:r>
      <w:r>
        <w:rPr>
          <w:rFonts w:ascii="宋体" w:hAnsi="宋体"/>
          <w:sz w:val="24"/>
        </w:rPr>
        <w:lastRenderedPageBreak/>
        <w:t>券交易所和香港联合交易所A+H股同步上市。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2024年末，本行在国内153个大中城市设有1,470家营业网点，在境内外下设中信国际金融控股有限公司、信银（香港）投资有限公司、中信金融租赁有限公司、信银理财有限责任公司、中信百信银行股份有限公司、阿尔金银行和浙江临安中信村镇银行股份有限公司7家附属机构。其中，中信国际金融控股有限公司子公司中信银行（国际）有限公司在香港、澳门、纽约、洛杉矶、新加坡和中国内地设有31家营业网点和2家商务理财中心。信银（香港）投资有限公司在香港和境内设有3家子公司。信银理财有限责任公司为本行全资理财子公司。中信百信银行股份有限公司为本行与百度联合发起设立的国内首家独立法人直销银行。阿尔金银行在哈萨克斯坦设有7 家营业网点和1家私人银行中心。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政治性、人民性，始终在党和国家战略大局中找准金融定位、履行金融职责，坚持做国家战略的忠实践行者、实体经济的有力服务者和金融强国的积极建设者。成立37年来，本行已成为一家总资产规模超9.5万亿元、员工人数超6.5万名，具有强大综合实力和品牌竞争力的金融集团。2024年，本行在英国Brand Finance发布的“全球银行品牌价值500强”榜单中排名第19位；本行一级资本在英国《银行家》杂志“世界1000家银行排名”中位列18位。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芦苇先生，中信银行党委副书记、行长。芦先生自2025年2月起担任本行党委副书记，自2025年4月起担任本行行长。芦先生曾任本行总行营业部（现北京分行）党委委员、总经理助理、副总经理，总行计划财务部（现财务会计部）副总经理（主持工作）、总经理，总行资产负债部总经理等职务；本行董事会秘书、董事会秘书（业务总监级）、业务总监、党委委员、副行长，期间先后兼任香港分行筹</w:t>
      </w:r>
      <w:r>
        <w:rPr>
          <w:rFonts w:ascii="宋体" w:hAnsi="宋体"/>
          <w:sz w:val="24"/>
        </w:rPr>
        <w:lastRenderedPageBreak/>
        <w:t>备组副组长，总行资产负债部总经理，阿尔金银行筹备组副组长、董事，深圳分行党委书记、行长；中信信托有限责任公司党委书记、总经理、副董事长、董事长。此前，芦先生在北京青年实业集团公司工作。芦先生拥有二十五年中国银行业从业经验，拥有中国、中国香港、澳大利亚注册会计师资格，获澳大利亚迪肯大学专业会计学硕士学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谢志斌先生，中信银行党委委员、副行长，分管托管业务。谢先生曾任中国出口信用保险公司党委委员、总经理助理（期间挂职任内蒙古自治区呼和浩特市委常委、副市长），中国光大集团股份公司党委委员、纪委书记。此前，谢先生在中国出口信用保险公司历任人力资源部总经理助理、副总经理、总经理（党委组织部部长助理、副部长、部长），深圳分公司党委书记，河北省分公司负责人、党委书记、总经理。谢先生毕业于中国人民大学，获经济学博士学位，高级经济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截至2025年第二季度末，中信银行托管398只公开募集证券投资基金，以及基金公司、证券公司资产管理产品、信托产品、企业年金、股权基金、QDII等其他托管资产，托管总规模达到17.25万亿元人民币。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w:t>
      </w:r>
      <w:r>
        <w:rPr>
          <w:rFonts w:ascii="宋体" w:hAnsi="宋体"/>
          <w:sz w:val="24"/>
        </w:rPr>
        <w:lastRenderedPageBreak/>
        <w:t>对基金托管业务的各个工作环节和业务流程进行独立、客观、公正的稽核监察。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8" w:name="_Toc240548766"/>
      <w:r>
        <w:rPr>
          <w:rFonts w:ascii="Times New Roman" w:hAnsi="Times New Roman"/>
          <w:sz w:val="30"/>
        </w:rPr>
        <w:lastRenderedPageBreak/>
        <w:t>五、相关服务机构</w:t>
      </w:r>
      <w:bookmarkEnd w:id="8"/>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个人投资者可以通过基金管理人网上直销交易平台办理开户、本基金的申购、赎回、转换以及定期定额投资等业务，具体交易细则请参阅基金管理人网站。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（2）名称：上海浦东发展银行股份有限公司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住所：上海市中山东一路12 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（3）名称：中国邮政储蓄银行股份有限公司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（4）名称：中国民生银行股份有限公司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（5）名称：招商银行股份有限公司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传真：（0755）83195109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（7）名称：东莞农村商业银行股份有限公司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（8）名称：中国农业银行股份有限公司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网址：www.abchina.com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（9）名称：宁波银行股份有限公司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（10）名称：平安银行股份有限公司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（11）名称：中国光大银行股份有限公司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（12）名称：中泰证券股份有限公司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住所：山东省济南市市中区经七路86号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办公地址：山东省济南市市中区经七路86号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（13）名称：国投证券股份有限公司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（14）名称：华宝证券股份有限公司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（15）名称：中国国际金融股份有限公司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网址：www.cicc.com.cn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（16）名称：华鑫证券有限责任公司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华鑫证券有限责任公司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（17）名称：中国中金财富证券有限公司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（18）名称：万联证券股份有限公司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注册地址：广州市天河区珠江东路11号18、19楼全层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办公地址：广东省广州市天河区珠江东路13号高德置地广场E座12层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法定代表人：王达</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 系 人：丁思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联系方式：020-83988334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客服电话：95322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公司官网：www.wlzq.cn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（19）名称：华龙证券股份有限公司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网址：www.hlzqgs.com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（20）名称：西部证券股份有限公司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（21）名称：广发证券股份有限公司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法定代表人：孙树明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联系人：马梦洁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（22）名称：第一创业证券股份有限公司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（23）名称：中邮证券有限责任公司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注册地址：陕西省西安市唐延路5号（陕西邮政信息大厦9-11层）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办公地址：北京市东城区珠市口东大街17号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法定代表人：郭成林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电话：010-67017788-8914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传真：010-67017788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联系人：史蕾</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客户服务电话：4008-888-005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网址：www.cnpsec.com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（24）名称：中信建投证券股份有限公司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法定代表人：王常青</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电话：（010）85130588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传真：（010）65182261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联系人：魏明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（25）名称：开源证券股份有限公司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（26）名称：海通证券股份有限公司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客户服务电话：95553或拨打各城市营业网点咨询电话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（27）名称：华西证券股份有限公司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（28）名称：南京证券股份有限公司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住所：南京市江东中路389号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办公地址：南京市江东中路389号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法定代表人：李剑锋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电话：（025）58519529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传真：（025）83369725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联系人：曹梦媛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网址：www.nizq.com.cn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（29）名称：中信证券（山东）有限责任公司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法定代表人：姜晓林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联系人：焦刚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（30）名称：国金证券股份有限公司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住所：四川省成都市东城根上街95号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（31）名称：中信证券华南股份有限公司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法定代表人：胡伏云</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（32）名称：国泰海通证券股份有限公司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联系人：朱雅崴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（33）名称：中信证券股份有限公司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电话：010-60838888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（34）名称：深圳市新兰德证券投资咨询有限公司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（35）名称：大连网金基金销售有限公司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（36）名称：阳光人寿保险股份有限公司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（37）名称：玄元保险代理有限公司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（38）名称：京东肯特瑞基金销售有限公司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（39）名称：上海大智慧基金销售有限公司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（40）名称：珠海盈米基金销售有限公司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法定代表人：肖雯</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（41）名称：上海华夏财富投资管理有限公司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（42）名称：北京度小满基金销售有限公司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（43）名称：南京苏宁基金销售有限公司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联系人：冯鹏鹏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（44）名称：嘉实财富管理有限公司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（45）名称：北京汇成基金销售有限公司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（46）名称：上海利得基金销售有限公司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（47）名称：北京虹点基金销售有限公司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（48）名称：上海陆金所基金销售有限公司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（49）名称：上海挖财基金销售有限公司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（50）名称：万家财富基金销售（天津）有限公司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办公地址：北京市西城区丰盛胡同28号太平洋保险大厦A座5层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（51）名称：上海万得基金销售有限公司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（52）名称：格上富信投资顾问有限公司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（53）名称：深圳市金斧子基金销售有限公司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传真：（0755）66892399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（54）名称：北京雪球基金销售有限公司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（55）名称：北京新浪仓石基金销售有限公司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（56）名称：中证金牛（北京）基金销售有限公司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客户服务电话：4008-909-998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（57）名称：上海证达通基金销售有限公司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（58）名称：北京创金启富基金销售有限公司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（59）名称：奕丰基金销售有限公司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（60）名称：上海天天基金销售有限公司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（61）名称：诺亚正行基金销售有限公司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（62）名称：上海好买基金销售有限公司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（63）名称：上海长量基金销售有限公司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电话：（021）20691832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（64）名称：深圳众禄基金销售股份有限公司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（65）名称：蚂蚁（杭州）基金销售有限公司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（66）名称：上海基煜基金销售有限公司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联系人：俞申莉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（67）名称：浙江同花顺基金销售有限公司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（68）名称：宜信普泽（北京）基金销售有限公司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（69）名称：上海联泰基金销售有限公司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（70）名称：中国人寿保险股份有限公司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（71）名称：泛华普益基金销售有限公司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（72）名称：北京展恒基金销售股份有限公司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（73）名称：和耕传承基金销售有限公司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传真：0371-85518397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（74）名称：上海中欧财富基金销售有限公司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（75）名称：腾安基金销售（深圳）有限公司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（76）名称：济安财富（北京）基金销售有限公司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网址：www.jianfortune.com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（77）名称：博时财富基金销售有限公司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（78）名称：深圳前海微众银行股份有限公司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（79）名称：中信期货有限公司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网站：www.citicsf.com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名称：容诚会计师事务所（特殊普通合伙）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注册地址：北京市西城区阜成门外大街22号1幢外经贸大厦901-22至901-26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办公地址：北京市西城区阜成门外大街22号1幢外经贸大厦901-22至901-26</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执行事务合伙人：肖厚发、刘维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电话：010-66001391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传真：010-66001391</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联系人：李隐煜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经办会计师：沈兆杰、李隐煜</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9" w:name="_Toc240548767"/>
      <w:r>
        <w:rPr>
          <w:rFonts w:ascii="Times New Roman" w:hAnsi="Times New Roman"/>
          <w:sz w:val="30"/>
        </w:rPr>
        <w:lastRenderedPageBreak/>
        <w:t>六、基金的募集</w:t>
      </w:r>
      <w:bookmarkEnd w:id="9"/>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本基金由基金管理人依照《基金法》、《运作办法》、《销售办法》、基金合同及其他有关规定，并经中国证监会2018年7月13日证监许可[2018]1125号文准予募集注册。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本基金为契约型开放式混合型证券投资基金。基金的存续期间为不定期。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本基金自2018年8月13日至2018年 9月21日进行发售，本基金设立募集期共募集364,241,070.86份基金份额，有效认购户数为7,229户。</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10" w:name="_Toc240548768"/>
      <w:r>
        <w:rPr>
          <w:rFonts w:ascii="Times New Roman" w:hAnsi="Times New Roman"/>
          <w:sz w:val="30"/>
        </w:rPr>
        <w:lastRenderedPageBreak/>
        <w:t>七、基金合同的生效</w:t>
      </w:r>
      <w:bookmarkEnd w:id="10"/>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根据有关规定，本基金满足基金合同生效条件，基金合同已于2018年9月27日正式生效。自基金合同生效之日起，本基金管理人正式开始管理本基金。</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出现基金份额持有人数量不满200人或者基金资产净值低于5000万元情形的，基金管理人应当在定期报告中予以披露。连续六十个工作日出现基金份额持有人数量不满200人或者基金资产净值低于5000万元情形的，基金管理人可向中国证监会报告并提前终止基金合同，无需召开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11" w:name="_Toc240548769"/>
      <w:r>
        <w:rPr>
          <w:rFonts w:ascii="Times New Roman" w:hAnsi="Times New Roman"/>
          <w:sz w:val="30"/>
        </w:rPr>
        <w:lastRenderedPageBreak/>
        <w:t>八、基金份额的申购与赎回</w:t>
      </w:r>
      <w:bookmarkEnd w:id="11"/>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个人投资者可以通过基金管理人网上直销交易平台办理开户、本基金的申购、赎回、转换、定期定额投资等业务，具体交易细则请参阅基金管理人网站。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若该工作日为非港股通交易日，则本基金不开放，具体办理时间为上海证券交易所、深圳证券交易所的正常交易日的交易时间，但基金管理人根据法律法规、中国证监会的要求或基金合同的规定公</w:t>
      </w:r>
      <w:r>
        <w:rPr>
          <w:rFonts w:ascii="宋体" w:hAnsi="宋体"/>
          <w:sz w:val="24"/>
        </w:rPr>
        <w:lastRenderedPageBreak/>
        <w:t>告暂停申购、赎回时除外。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本基金已于2018年11月1日起开放申购、赎回业务。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w:t>
      </w:r>
      <w:r>
        <w:rPr>
          <w:rFonts w:ascii="宋体" w:hAnsi="宋体"/>
          <w:sz w:val="24"/>
        </w:rPr>
        <w:lastRenderedPageBreak/>
        <w:t>额高于1元，以该销售机构的规定为准。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遇交易所或交易市场数据传输延迟、通讯系统故障、银行数据交换系统故障或其它非基金管理人及基金托管人所能控制的因素影响业务处理流程，则赎回款顺延至上述情形消除</w:t>
      </w:r>
      <w:r>
        <w:rPr>
          <w:rFonts w:ascii="宋体" w:hAnsi="宋体"/>
          <w:sz w:val="24"/>
        </w:rPr>
        <w:lastRenderedPageBreak/>
        <w:t>后的下一个工作日划往投资者银行账户。在发生巨额赎回或基金合同载明的其他暂停赎回或延缓支付赎回款项的情形时，款项的支付办法参照基金合同有关条款处理。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412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0412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41277" w:rsidRDefault="000412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412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41277" w:rsidRDefault="000412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0412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41277" w:rsidRDefault="000412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本基金对通过基金管理人直销柜台申购本基金基金份额的养老金客户实施特定申购费率。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企业年金理事会委托的特定客户资产管理计划、企业年金养老金产品。如将来出现经养老基金监管部门认可的新的养老基金类型，基金管理人可在招募说明书更新或发布临时公告将其纳入养老金客户范围，并按规定向中国证监会备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0412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0412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41277" w:rsidRDefault="000412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0412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41277" w:rsidRDefault="000412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w:t>
            </w:r>
          </w:p>
        </w:tc>
      </w:tr>
      <w:tr w:rsidR="000412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41277" w:rsidRDefault="000412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赎回费用由赎回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未归入基金财产的部分用于支付登记费和其他必要的手续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04127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0412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41277" w:rsidRDefault="000412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0412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41277" w:rsidRDefault="000412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0412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41277" w:rsidRDefault="000412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0412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41277" w:rsidRDefault="000412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年（含）</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r>
      <w:tr w:rsidR="0004127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041277" w:rsidRDefault="0004127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r>
              <w:rPr>
                <w:rFonts w:ascii="Times New Roman" w:hAnsi="Times New Roman"/>
                <w:color w:val="000000"/>
                <w:kern w:val="0"/>
                <w:sz w:val="25"/>
                <w:szCs w:val="24"/>
              </w:rPr>
              <w:t>年以上（含）</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上表中的“年”指的是365个自然日。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基金管理人可以按中国证监会要求履行必要手续后，对投资人适当调低基金申购费率、赎回费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申购费用=申购总金额-净申购金额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T日基金份额净值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例三：某投资者（非养老金客户）投资40,000元申购本基金，假设申购当日基金份额净值为1.040元，申购费率为1.5%，则其可得到的申购份额为：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申购份额=（40,000-591.13）/1.040=37,893.14份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即：某投资者（非养老金客户）投资40,000元申购本基金，假设申购当日基金份额净值为1.040元，则其可得到37,893.14份基金份额。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例四：某养老金客户投资100,000元通过基金管理人的直销柜台申购本基金，假设申购当日基金份额净值为1.040元，申购费率为0.6%，则其可得到的申购份额为：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申购份额=（100,000-596.42）/1.040=95,580.37份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即：该养老金客户投资100,000元通过基金管理人的直销柜台申购本基金，假设申购当日基金份额净值为1.040元，则其可得到95,580.37份基金份额。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赎回金额为按实际确认的有效赎回份额乘以当日基金份额净值并扣除相应的费用，赎回金额单位为元，计算结果保留到小数点后两位，第三位四舍五入。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赎回金额的计算方法如下：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例五：某投资者赎回持有的10,000份基金份额，持有期限为30日，对应的赎回费率为0.5%，假设赎回当日基金份额净值是1.016元，则其可得到的赎回金额为：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10,000×1.016×0.5% ＝ 50.80元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10,000×1.016-50.80 ＝ 10,109.20元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即：投资者赎回本基金10,000份基金份额，对应的赎回费率为0.5%，假设赎回当日基金份额净值是1.016元，则其可得到的赎回金额为10,109.20元。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基金份额净值的计算，保留到小数点后4位，小数点后第5位四舍五入，由此误差产生的收益或损失由基金财产承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5、基金资产规模过大，使基金管理人无法找到合适的投资品种，或其他可能对基金业绩产生负面影响，或出现其他损害现有基金份额持有人利益的情形。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9、当前一估值日基金资产净值50%以上的资产出现无可参考的活跃市场价格且采用估值技术仍导致公允价值存在重大不确定性时，经与基金托管人协商确认后，基金管理人应当暂停接受申购申请。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10、法律法规规定或中国证监会认定的其他情形。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发生上述第1、2、3、5、6、7、9、10项暂停申购情形之一且基金管理人决定</w:t>
      </w:r>
      <w:r>
        <w:rPr>
          <w:rFonts w:ascii="宋体" w:hAnsi="宋体"/>
          <w:sz w:val="24"/>
        </w:rPr>
        <w:lastRenderedPageBreak/>
        <w:t>暂停接受投资人的申购申请时，基金管理人应当根据有关规定在指定媒介上刊登暂停申购公告。如果投资人的申购申请被拒绝，被拒绝的申购款项本金将退还给投资人。在暂停申购的情况消除时，基金管理人应及时恢复申购业务的办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5、发生继续接受赎回申请将损害现有基金份额持有人利益的情形时，可暂停接受投资人的赎回申请。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2、巨额赎回的处理方式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1、发生上述暂停申购或赎回情况的，基金管理人应在规定期限内在指定媒介上刊登暂停公告。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他非交易过户。无论在上述何种情况下，接受划转的主体必须是依法可以持有本基金基金份额的投资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本基金2018年10月30日刊登公告自2018年11月1日起开通定期定额投资计划业务，具体开通销售机构名单和业务规则参见相关公告。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w:t>
      </w:r>
      <w:r>
        <w:rPr>
          <w:rFonts w:ascii="宋体" w:hAnsi="宋体"/>
          <w:sz w:val="24"/>
        </w:rPr>
        <w:lastRenderedPageBreak/>
        <w:t>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（十七）其他业务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12" w:name="_Toc240548770"/>
      <w:r>
        <w:rPr>
          <w:rFonts w:ascii="Times New Roman" w:hAnsi="Times New Roman"/>
          <w:sz w:val="30"/>
        </w:rPr>
        <w:lastRenderedPageBreak/>
        <w:t>九、基金的转换</w:t>
      </w:r>
      <w:bookmarkEnd w:id="12"/>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2018年11月6日刊登公告自2018年11月8日起开放日常转换业务。办理基金间转换的时间为上海证券交易所、深圳证券交易所交易日。若出现新的证券交易市场或交易所交易时间更改或其它原因，基金管理人将视情况进行相应的调整并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13" w:name="_Toc240548771"/>
      <w:r>
        <w:rPr>
          <w:rFonts w:ascii="Times New Roman" w:hAnsi="Times New Roman"/>
          <w:sz w:val="30"/>
        </w:rPr>
        <w:lastRenderedPageBreak/>
        <w:t>十、基金的投资</w:t>
      </w:r>
      <w:bookmarkEnd w:id="13"/>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本基金通过优化资产配置和灵活运用多种投资策略，把握港股通资本市场开放政策下的投资机会，力争实现基金资产的稳定增值。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内地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50%-95%（其中，投资于内地依法发行上市的股票的比例占基金资产的50-95%，投资于港股通标的股票的比例占股票资产的0-50%），其中投资于创新成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综合考虑国家经济政策、经济周期、各行业的相对估值水平和行业竞争格局等因素，运用修正后的投资时钟分析框架，自上而下调整基金大类资产配置和股票行业配置策略，确定债券组合久期和债券类别配置；在严谨深入的股票和债券研究分析基础上，自下而上精选个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1、资产配置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利用经交银施罗德研究团队修正后的投资时钟分析框架，通过“自上而下”的定性分析和定量分析相结合形成对不同资产市场表现的预测和判断，确定基金资产在股票、债券及货币市场工具等各类别资产间的分配比例，并随着各类证券风险收益特征的相对变化，在基金合同约定的范围内动态调整组合中各类资产的比例，以规避或控制市场风险，提高基金收益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本基金管理人将坚持行业配置策略与个股精选策略相结合；个股选择层面，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遵循自下而上的积极策略。本基金对境内股票及港股通标的股票的选择，主要采取创新成长型选股策略。本基金重点关注的创新成长型股票为：在沪港深三地上市的公司中，优选“朝阳行业”中具备核心创新和研发能力的企业，同时注重稳健回报。“朝阳行业”指未来3-5年需求空间大、增长速度快、产品服务渗透率低的新型成长行业。具备核心创新和研发能力的企业更具长期成长实力，这是为投资者带来持续稳健高收益的关键。同时，充分考虑行业研究员给予的行业判断，把握行业发展趋势。</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（1）在沪港深三地上市的公司中，优选“朝阳行业”中具备核心创新和研发能力的公司，同时注重稳健回报。主要筛选指标包括：</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■盈利能力指标（如P/E、P/Cash Flow、P/FCF、P/S、P/EBIT等）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■经营效率指标（如ROE、ROA、Return on operating assets等）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■财务状况指标（如D/A、流动比率等）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（2）分析管理层与中小股东的利益一致性，寻找管理层充分投入于创造股东财富的上市公司，并且通过历史记录考核、管理层能力评价等定量和定性方式选择杰出管理层管理的公司。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（3）比较行业发展潜力和业内竞争优势。结合行业、公司优势进行标的的二次优化，为投资者积极追求投资回报的增加。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（4）投资于在香港上市的外资龙头公司，重点关注香港本土和国外上市企业。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（5）关注双重上市公司A股与H股之间的套利机会。内地与香港投资者结构和交易规则不同将带来跨市场套利机会。本基金将积极关注AH折溢价，事件驱动等所带来的跨市场套利的机会。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w:t>
      </w:r>
      <w:r>
        <w:rPr>
          <w:rFonts w:ascii="宋体" w:hAnsi="宋体"/>
          <w:sz w:val="24"/>
        </w:rPr>
        <w:lastRenderedPageBreak/>
        <w:t>估基础上精选优秀质地的投资标的构建股票组合。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（6）存托凭证的投资策略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获取债券市场的长期稳定收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5、资产支持证券投资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6、股指期货投资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w:t>
      </w:r>
      <w:r>
        <w:rPr>
          <w:rFonts w:ascii="宋体" w:hAnsi="宋体"/>
          <w:sz w:val="24"/>
        </w:rPr>
        <w:lastRenderedPageBreak/>
        <w:t>负责股指期货的投资审批事项。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其中，投资于内地依法发行上市的股票的比例占基金资产的50-95%，投资于港股通标的股票的比例占股票资产的0-50%），其中投资于创新成长主题相关证券的比例不低于非现金基金资产的80%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（11）本基金投资于同一原始权益人的各类资产支持证券的比例，不得超过基金资产净值的10%；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（13）本基金持有的同一(指同一信用级别)资产支持证券的比例，不得超过该资产支持证券规模的10%；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（14）本基金管理人管理的全部基金投资于同一原始权益人的各类资产支持证券，不得超过其各类资产支持证券合计规模的10%；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（17）本基金进入全国银行间同业市场进行债券回购的资金余额不得超过基金资产净值的40%；本基金在全国银行间同业市场中的债券回购最长期限为1年，债券回购到期后不得展期；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（18）本基金参与股指期货交易，则：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（20）本基金投资存托凭证的比例限制依照境内上市交易的股票执行；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9）项、第（10）项、第（15）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法律法规或监管部门另有规定的，从其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w:t>
      </w:r>
      <w:r>
        <w:rPr>
          <w:rFonts w:ascii="宋体" w:hAnsi="宋体"/>
          <w:sz w:val="24"/>
        </w:rPr>
        <w:lastRenderedPageBreak/>
        <w:t>过。基金管理人董事会应至少每半年对关联交易事项进行审查。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本基金业绩比较基准：沪深300成长指数收益率×55%+中证港股通综合指数（人民币）收益率×30%+中债-国债总财富（1-3年）指数收益率×15%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A股股票、港股通标的股票、债券等资产，相应选取与之匹配的A股指数、港股指数、债券指数作为基准要素。同时基于基金投资股票资产（含存托凭证）占基金资产的比例为50%-95%（其中投资于港股通标的股票的比例占股票资产的0%-50%）等投资比例限制，以及预期的资产配置比例，本基金将股票资产与债券资产所对应的基准要素权重分别设置为85%与15%，其中将股票资产中的A股股票与港股通标的股票所对应的基准要素权重分别设置为55%与30%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300成长指数和中证港股通综合指数（人民币）分别作为A股股票和港股通标的股票部分的业绩比较基准要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成长指数从沪深300指数样本中，选取成长得分最高的100只证券作为沪深300成长指数样本，反映沪深300指数样本中具有成长特征的上市公司证券的整体表现，适合作为本基金A股股票部分的业绩比较基准要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中证港股通综合指数（人民币）选取符合港股通资格的上市公司证券作为指数样本，以反映港股通范围内上市公司的整体表现，适合作为本基金港股通标的股票部分的业绩比较基准要素。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财富（1-3年）指数作为债券部分的业绩比较基准要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中债-国债总财富（1-3年）指数隶属于中债-国债总指数，该指数成份券由在</w:t>
      </w:r>
      <w:r>
        <w:rPr>
          <w:rFonts w:ascii="宋体" w:hAnsi="宋体"/>
          <w:sz w:val="24"/>
        </w:rPr>
        <w:lastRenderedPageBreak/>
        <w:t>境内公开发行且上市流通的记账式国债组成，成份券待偿期在1-3年（含1年），适合作为本基金债券部分的业绩比较基准要素。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沪深300成长指数由中证指数有限公司编制发布，指数代码为000918，指数具体信息详见中证指数有限公司网站，网址：www.csindex.com.cn。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中证港股通综合指数（人民币）由中证指数有限公司编制发布，指数代码为930933，指数具体信息详见中证指数有限公司网站，网址：www.csindex.com.cn。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中债-国债总财富（1-3年）指数由中债金融估值中心有限公司编制发布，指数代码为CBA00621，指数具体信息详见中国债券信息网，网址：www.chinabond.com.cn。</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沪深300成长指数、中证港股通综合指数（人民币）、中债-国债总财富（1-3年）指数的每日收益率，再按照预设权重比例计算当日组合要素基准的日收益率，并连乘每日收益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比较基准要素成份证券外的证券。本基金投资组合相对业绩比较基准要素成份证券和权重可能存在偏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w:t>
      </w:r>
      <w:r>
        <w:rPr>
          <w:rFonts w:ascii="宋体" w:hAnsi="宋体"/>
          <w:sz w:val="24"/>
        </w:rPr>
        <w:lastRenderedPageBreak/>
        <w:t>响的，基金管理人应当与基金托管人协商，在新业绩比较基准生效前三十日公告并充分说明变更原因、差异及影响，无需召开基金份额持有人大会：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基金托管人中信银行股份有限公司根据本基金合同规定，于2025年07月17日复核了本报告中的财务指标、净值表现和投资组合报告等内容，保证复核内容不存在虚假记载、误导性陈述或者重大遗漏。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本报告期自2025年04月01日起至06月30日止。本报告财务资料未经审计师审计。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173,212,181.81</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86.61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173,212,181.81</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86.61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26,054,036.15</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13.03</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720,129.00</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0.36</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199,986,346.96</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注：本基金本报告期末通过港股通机制投资香港股票的公允价值为64,602,264.42元，占基金资产净值比例为33.48%。</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64,825,747.64</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33.60</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G</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9,086,668.35</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4.71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23,681,175.00</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12.27</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2,502,926.40</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1.30</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8,513,400.00</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4.41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108,609,917.39</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56.29</w:t>
            </w:r>
          </w:p>
        </w:tc>
      </w:tr>
    </w:tbl>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36,443,984.27</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18.89</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16,054,879.75</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8.32</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12,103,400.40</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6.27</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64,602,264.42</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33.48</w:t>
            </w:r>
          </w:p>
        </w:tc>
      </w:tr>
    </w:tbl>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09992 HK</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泡泡玛特</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77,000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18,720,691.99</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9.70</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00700 HK</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腾讯控股</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35,000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16,054,879.75</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8.32</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600519</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贵州茅台</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10,500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14,799,960.00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7.67</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02423 HK</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贝壳</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280,000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12,103,400.40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6.27</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03690 HK</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美团</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85,000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9,712,723.48</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5.03</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001979</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招商蛇口</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8,770,000.00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4.55</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300251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光线传媒</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420,000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8,513,400.00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4.41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09988 HK</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阿里巴巴</w:t>
            </w:r>
            <w:r>
              <w:rPr>
                <w:rFonts w:ascii="Times New Roman" w:hAnsi="Times New Roman"/>
                <w:color w:val="000000"/>
                <w:kern w:val="0"/>
                <w:sz w:val="25"/>
                <w:szCs w:val="24"/>
              </w:rPr>
              <w:t>-W</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8,010,568.80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4.15</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9</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600276</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恒瑞医药</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7,785,000.00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4.04</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002475</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立讯精密</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220,000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7,631,800.00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3.96</w:t>
            </w:r>
          </w:p>
        </w:tc>
      </w:tr>
    </w:tbl>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w:t>
      </w:r>
      <w:r>
        <w:rPr>
          <w:rFonts w:ascii="宋体" w:hAnsi="宋体"/>
          <w:sz w:val="24"/>
        </w:rPr>
        <w:lastRenderedPageBreak/>
        <w:t>报告编制日前一年内受到公开谴责、处罚的情形披露如下：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2024年11月22日，央行重庆市分行公示渝银罚决字[2024]16号行政处罚决定书，给予美团旗下重庆美团三快小额贷款有限公司92万元人民币的罚款行政处罚。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88,348.26</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429,333.29</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71,815.01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130,632.44</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right"/>
              <w:rPr>
                <w:rFonts w:ascii="宋体" w:hAnsi="宋体"/>
                <w:color w:val="000000"/>
                <w:kern w:val="0"/>
                <w:sz w:val="25"/>
                <w:szCs w:val="24"/>
              </w:rPr>
            </w:pPr>
            <w:r>
              <w:rPr>
                <w:rFonts w:ascii="Times New Roman" w:hAnsi="Times New Roman"/>
                <w:color w:val="000000"/>
                <w:kern w:val="0"/>
                <w:sz w:val="25"/>
                <w:szCs w:val="24"/>
              </w:rPr>
              <w:t>720,129.00</w:t>
            </w:r>
          </w:p>
        </w:tc>
      </w:tr>
    </w:tbl>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14" w:name="_Toc240548772"/>
      <w:r>
        <w:rPr>
          <w:rFonts w:ascii="Times New Roman" w:hAnsi="Times New Roman"/>
          <w:sz w:val="30"/>
        </w:rPr>
        <w:lastRenderedPageBreak/>
        <w:t>十一、基金的业绩</w:t>
      </w:r>
      <w:bookmarkEnd w:id="14"/>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基金业绩截止日为2025年06月30日，所载财务数据未经审计师审计。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0412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0412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-1.03%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1.49%</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2.42%</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-3.45%</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0412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上半年</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7.73%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1.41%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6.23%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1.50%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0412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17.73%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14.96%</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2.77%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0.57%</w:t>
            </w:r>
          </w:p>
        </w:tc>
      </w:tr>
      <w:tr w:rsidR="000412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-8.73%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-11.48%</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0412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-23.99%</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1.55%</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-14.57%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1.17%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-9.42%</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0412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7.04%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1.43%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-5.57%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0.87%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12.61%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0.56%</w:t>
            </w:r>
          </w:p>
        </w:tc>
      </w:tr>
      <w:tr w:rsidR="000412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62.82%</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1.61%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13.03%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1.08%</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49.79%</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r>
      <w:tr w:rsidR="000412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51.81%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1.34%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21.37%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30.44%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0.51%</w:t>
            </w:r>
          </w:p>
        </w:tc>
      </w:tr>
      <w:tr w:rsidR="0004127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年（自基金合同生效起至</w:t>
            </w:r>
            <w:r>
              <w:rPr>
                <w:rFonts w:ascii="Times New Roman" w:hAnsi="Times New Roman"/>
                <w:color w:val="000000"/>
                <w:kern w:val="0"/>
                <w:sz w:val="25"/>
                <w:szCs w:val="24"/>
              </w:rPr>
              <w:t>2018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-0.78%</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-7.52%</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1.19%</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6.74%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r>
    </w:tbl>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041277" w:rsidRDefault="001F019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交银施罗德创新成长混合型证券投资基金</w:t>
      </w:r>
    </w:p>
    <w:p w:rsidR="00041277" w:rsidRDefault="001F019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041277" w:rsidRDefault="001F0197">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（2018年9月27日至2025年06月30日）</w:t>
      </w:r>
    </w:p>
    <w:p w:rsidR="00041277" w:rsidRDefault="00F44C48">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15" w:name="_Toc240548773"/>
      <w:r>
        <w:rPr>
          <w:rFonts w:ascii="Times New Roman" w:hAnsi="Times New Roman"/>
          <w:sz w:val="30"/>
        </w:rPr>
        <w:lastRenderedPageBreak/>
        <w:t>十二、基金的财产</w:t>
      </w:r>
      <w:bookmarkEnd w:id="15"/>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16" w:name="_Toc240548774"/>
      <w:r>
        <w:rPr>
          <w:rFonts w:ascii="Times New Roman" w:hAnsi="Times New Roman"/>
          <w:sz w:val="30"/>
        </w:rPr>
        <w:lastRenderedPageBreak/>
        <w:t>十三、基金资产的估值</w:t>
      </w:r>
      <w:bookmarkEnd w:id="16"/>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基金所拥有的股票、债券、衍生工具和其他投资等持续以公允价值计量的金融资产及负债。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（2）交易所市场上市交易或挂牌转让的固定收益品种（另有规定的除外），选取第三方估值机构提供的相应品种当日的估值净价进行估值；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市场上市交易的可转换债券，按估值日收盘价减去可转换债券收盘价中所含债券应收利息后得到的净价进行估值；交易所上市实行全价交易的债券（可转债除外），选取第三方估值机构提供的估值全价减去估值全价中所含的债券（税后）应收利息得到的净价进行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（4）交易所市场挂牌转让的资产支持证券和私募债券，采用估值技术确定公允价值。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（2）首次公开发行未上市的股票和权证，采用估值技术确定公允价值；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等，按监管机构或行业协会有关规定确定公允价值；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（4）交易所市场发行未上市或未挂牌转让的债券，采用估值技术确定公允价值。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7、如有确凿证据表明按上述方法进行估值不能客观反映其公允价值的，基金管理人可根据具体情况与基金托管人商定后，按最能反映公允价值的方法估值。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8、当发生大额申购或赎回情形时，基金管理人可以对本基金采用摆动定价机制，以确保基金估值的公平性。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9、本基金投资存托凭证的估值核算依照境内上市交易的股票执行。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10、相关法律法规以及监管部门有强制规定的，从其规定。如有新增事项，按法律法规以及监管部门最新规定估值。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1、基金份额净值是按照每个工作日闭市后，基金资产净值除以当日基金份额的余额数量计算，精确到0.0001元，小数点后第五位四舍五入。国家另有规定的，从其规定。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基金管理人于每个工作日计算基金资产净值及基金份额净值，并按规定公告。如遇特殊情况，经中国证监会同意，可以适当延迟计算或公告。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2、估值错误处理原则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w:t>
      </w:r>
      <w:r>
        <w:rPr>
          <w:rFonts w:ascii="宋体" w:hAnsi="宋体"/>
          <w:sz w:val="24"/>
        </w:rPr>
        <w:lastRenderedPageBreak/>
        <w:t>金托管人，并采取合理的措施防止损失进一步扩大。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3、当前一估值日基金资产净值50%以上的资产出现无可参考的活跃市场价格且采用估值技术仍导致公允价值存在重大不确定性时，经与基金托管人协商确认后，基金管理人应当暂停基金估值；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4、中国证监会和基金合同认定的其它情形。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1、基金管理人或基金托管人按估值方法的第7项进行估值时，所造成的误差不作为基金资产估值错误处理。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17" w:name="_Toc240548775"/>
      <w:r>
        <w:rPr>
          <w:rFonts w:ascii="Times New Roman" w:hAnsi="Times New Roman"/>
          <w:sz w:val="30"/>
        </w:rPr>
        <w:lastRenderedPageBreak/>
        <w:t>十四、基金收益与分配</w:t>
      </w:r>
      <w:bookmarkEnd w:id="17"/>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2、本基金收益分配方式分两种：现金分红与红利再投资，投资者可选择现金红利或将现金红利自动转为基金份额进行再投资；若投资者不选择，本基金默认的收益分配方式是现金分红；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w:t>
      </w:r>
      <w:r>
        <w:rPr>
          <w:rFonts w:ascii="宋体" w:hAnsi="宋体"/>
          <w:sz w:val="24"/>
        </w:rPr>
        <w:lastRenderedPageBreak/>
        <w:t>《业务规则》执行。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18" w:name="_Toc240548776"/>
      <w:r>
        <w:rPr>
          <w:rFonts w:ascii="Times New Roman" w:hAnsi="Times New Roman"/>
          <w:sz w:val="30"/>
        </w:rPr>
        <w:lastRenderedPageBreak/>
        <w:t>十五、基金的费用与税收</w:t>
      </w:r>
      <w:bookmarkEnd w:id="18"/>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本基金的管理费按前一日基金资产净值的1.2%年费率计提。管理费的计算方法如下：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H＝E×1.2%÷当年天数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基金管理费每日计提，按月支付。由基金管理人向基金托管人发送基金管理费划付指令，经基金托管人复核后于次月首日起3个工作日内从基金资产中一次性支付给基金管理人。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H＝E×0.2%÷当年天数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基金托管费每日计提，按月支付。由基金管理人向基金托管人发送基金托管费划付指令，经基金托管人复核后于次月首日起3个工作日内从基金资产中一次性支付给基金托管人。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若遇法定节假日、休息日或不可抗力致使无法按时支付的，顺延至最近可支付日支付。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（3）上述“（一）基金费用的种类”中第3－10项费用，根据有关法规及相应协议规定，按费用实际支出金额列入当期费用，由基金托管人从基金财产中支付。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（四）基金管理人和基金托管人可根据基金发展情况依照有关规定调整基金管理费率、基金托管费率等相关费率。基金管理人必须依照有关规定于新的费率实施日前在指定媒介上刊登公告。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w:t>
      </w:r>
      <w:r>
        <w:rPr>
          <w:rFonts w:ascii="宋体" w:hAnsi="宋体"/>
          <w:sz w:val="24"/>
        </w:rPr>
        <w:lastRenderedPageBreak/>
        <w:t>行。</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19" w:name="_Toc240548777"/>
      <w:r>
        <w:rPr>
          <w:rFonts w:ascii="Times New Roman" w:hAnsi="Times New Roman"/>
          <w:sz w:val="30"/>
        </w:rPr>
        <w:lastRenderedPageBreak/>
        <w:t>十六、基金的会计与审计</w:t>
      </w:r>
      <w:bookmarkEnd w:id="19"/>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20" w:name="_Toc240548778"/>
      <w:r>
        <w:rPr>
          <w:rFonts w:ascii="Times New Roman" w:hAnsi="Times New Roman"/>
          <w:sz w:val="30"/>
        </w:rPr>
        <w:lastRenderedPageBreak/>
        <w:t>十七、基金的信息披露</w:t>
      </w:r>
      <w:bookmarkEnd w:id="20"/>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《基金合同》生效后，在开始办理基金份额申购或者赎回前，基金管理人应当至少每周在指定网站披露一次基金份额净值和基金份额累计净值。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在开始办理基金份额申购或者赎回后，基金管理人应当在不晚于每个开放日的次日，通过指定网站、销售机构网站或者营业网点披露开放日的基金份额净值和基</w:t>
      </w:r>
      <w:r>
        <w:rPr>
          <w:rFonts w:ascii="宋体" w:hAnsi="宋体"/>
          <w:sz w:val="24"/>
        </w:rPr>
        <w:lastRenderedPageBreak/>
        <w:t>金份额累计净值。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基金管理人应当在不晚于半年度和年度最后一日的次日，在指定网站披露半年度和年度最后一日的基金份额净值和基金份额累计净值。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（3）转换基金运作方式、基金合并；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w:t>
      </w:r>
      <w:r>
        <w:rPr>
          <w:rFonts w:ascii="宋体" w:hAnsi="宋体"/>
          <w:sz w:val="24"/>
        </w:rPr>
        <w:lastRenderedPageBreak/>
        <w:t>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（22）本基金采用摆动定价机制进行估值；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13、参与港股通交易的信息披露</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在季度报告、中期报告、年度报告等定期报告和招募说明书（更新）等文件中</w:t>
      </w:r>
      <w:r>
        <w:rPr>
          <w:rFonts w:ascii="宋体" w:hAnsi="宋体"/>
          <w:sz w:val="24"/>
        </w:rPr>
        <w:lastRenderedPageBreak/>
        <w:t>披露参与港股通交易的相关情况。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21" w:name="_Toc240548779"/>
      <w:r>
        <w:rPr>
          <w:rFonts w:ascii="Times New Roman" w:hAnsi="Times New Roman"/>
          <w:sz w:val="30"/>
        </w:rPr>
        <w:lastRenderedPageBreak/>
        <w:t>十八、风险揭示</w:t>
      </w:r>
      <w:bookmarkEnd w:id="21"/>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上一开放日总份额的百分之十时，投资人将可能无法及时赎回持有的全部基金份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w:t>
      </w:r>
      <w:r>
        <w:rPr>
          <w:rFonts w:ascii="宋体" w:hAnsi="宋体"/>
          <w:sz w:val="24"/>
        </w:rPr>
        <w:lastRenderedPageBreak/>
        <w:t>资产变现能力差，可能会产生基金仓位调整的困难，导致流动性风险，可能影响基金份额净值。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若该工作日为非港股通交易日，则本基金不开放）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全额赎回”或“部分延期赎回”的约定方式与其他基金份额持有人的赎回申请一并办理。但是，如该类基金份额持有人在当日选择取消赎回，则其当日未获受理的部分赎回申请将被撤销。</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连续2个开放日以上（含本数）发生巨额赎回，如基金管理人认为有必要，可暂停接受基金的赎回申请；已经接受的赎回申请可以延缓支付赎回款项，但不得超过20个工作日，并应当在指定媒介上进行公告。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3、本基金可投资港股通标的股票，会面临港股通机制下因投资环境、投资标的、市场制度以及交易规则等差异带来的特有风险，具体如下：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申购赎回产生直接或间接的影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2）香港市场交易规则有别于内地A股市场规则，此外，在“内地与香港股票市场交易互联互通机制”下参与香港股票投资还将面临包括但不限于如下特殊风险：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a）香港市场实行T+0回转交易机制（即当日买入的股票，在交收前可以于当日卖出），且证券交易价格并无涨跌幅上下限的规定，因此每日涨跌幅空间相对较大，可能表现出比A股更为剧烈的股价波动；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w:t>
      </w:r>
      <w:r>
        <w:rPr>
          <w:rFonts w:ascii="宋体" w:hAnsi="宋体"/>
          <w:sz w:val="24"/>
        </w:rPr>
        <w:lastRenderedPageBreak/>
        <w:t>股组合在资产估值上出现波动增大的风险；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香港出现香港联合交易所规定的相关情形时，香港联合交易所将可能停市，本基金将面临在停市期间无法进行港股通交易的风险；出现内地证券交易服务公司认定的交易异常情况时，内地证券交易服务公司将可能暂停提供部分或者全部港股通服务，将面临在暂停服务期间无法进行港股通交易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内地证券交易服务公司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配持有基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（4）本基金可根据投资策略需要或不同配置地市场环境的变化，选择将部分基金资产投资于港股通标的股票或选择不将基金资产投资于港股通标的股票，基金资产并非必然投资港股通标的股票。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4、本基金可投资创业板股票，创业板个股上市后的前五个交易日不设价格涨跌幅限制，第六个交易日开始涨跌幅限制比例为20%。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w:t>
      </w:r>
      <w:r>
        <w:rPr>
          <w:rFonts w:ascii="宋体" w:hAnsi="宋体"/>
          <w:sz w:val="24"/>
        </w:rPr>
        <w:lastRenderedPageBreak/>
        <w:t>是股指期货投资中最主要的风险。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（八）投资科创板股票的特定风险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科创板个股上市后的前五个交易日无涨跌停限制，其后涨跌幅限制为20%，科创板股票上市首日即可作为融资融券标的，可能导致较大的股票价格波动。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科创板整体投资门槛较高，二级市场上个人投资者参与度相对较低，机构持有个股大量流通盘导致个股流动性较差，基金组合存在无法及时变现及其他相关流动性风险。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科创板退市制度较主板更为严格，且不再设置暂停上市、恢复上市和重新上市环节，上市公司退市风险更大。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（九）投资存托凭证的特定风险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（十）本基金法律文件风险收益特征表述与销售机构基金风险评价可能不一致的风险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w:t>
      </w:r>
      <w:r>
        <w:rPr>
          <w:rFonts w:ascii="宋体" w:hAnsi="宋体"/>
          <w:sz w:val="24"/>
        </w:rPr>
        <w:lastRenderedPageBreak/>
        <w:t>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（十一）其他风险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22" w:name="_Toc240548780"/>
      <w:r>
        <w:rPr>
          <w:rFonts w:ascii="Times New Roman" w:hAnsi="Times New Roman"/>
          <w:sz w:val="30"/>
        </w:rPr>
        <w:lastRenderedPageBreak/>
        <w:t>十九、基金合同的变更、终止与基金财产的清算</w:t>
      </w:r>
      <w:bookmarkEnd w:id="22"/>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（5）聘请会计师事务所对清算报告进行外部审计，聘请律师事务所对清算报告出具法律意见书；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23" w:name="_Toc240548781"/>
      <w:r>
        <w:rPr>
          <w:rFonts w:ascii="Times New Roman" w:hAnsi="Times New Roman"/>
          <w:sz w:val="30"/>
        </w:rPr>
        <w:lastRenderedPageBreak/>
        <w:t>二十、基金合同内容摘要</w:t>
      </w:r>
      <w:bookmarkEnd w:id="23"/>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（8）复核、审查基金管理人计算的基金净值信息、基金份额申购、赎回价格；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w:t>
      </w:r>
      <w:r>
        <w:rPr>
          <w:rFonts w:ascii="宋体" w:hAnsi="宋体"/>
          <w:sz w:val="24"/>
        </w:rPr>
        <w:lastRenderedPageBreak/>
        <w:t>为《基金合同》当事人并不以在《基金合同》上书面签章或签字为必要条件。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每份基金份额具有同等的合法权益。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（10）提供基金管理人和监管机构依法要求提供的信息，以及不时的更新和补充，并保证其真实性；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（2）在法律法规和《基金合同》规定的范围内且在对现有基金份额持有人利益无实质性不利影响的前提下，以下情况可由基金管理人和基金托管人协商后修改，不需召开基金份额持有人大会：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1）法律法规要求增加的基金费用的收取；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2）在法律法规和《基金合同》规定的范围内，且在对现有基金份额持有人利益无实质性不利影响的前提下调整本基金的申购费率、调低赎回费率、变更或增加收费方式；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7）在不违反法律法规及对基金份额持有人利益无实质性不利影响的前提下，基金管理人、登记机构、销售机构调整有关基金认购、申购、赎回、转换、非交易过户、转托管等业务的规则；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8）按照法律法规和《基金合同》规定不需召开基金份额持有人大会的以外的其他情形。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（3）基金合同生效后的存续期内，若连续六十个工作日基金份额持有人数量不满200人或者基金资产净值低于5000万元，基金管理人可向中国证监会报告并提前终止基金合同，无需召开基金份额持有人大会。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w:t>
      </w:r>
      <w:r>
        <w:rPr>
          <w:rFonts w:ascii="宋体" w:hAnsi="宋体"/>
          <w:sz w:val="24"/>
        </w:rPr>
        <w:lastRenderedPageBreak/>
        <w:t>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知不参加收取书面表决意见的，不影响表决效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（2）议事程序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w:t>
      </w:r>
      <w:r>
        <w:rPr>
          <w:rFonts w:ascii="宋体" w:hAnsi="宋体"/>
          <w:sz w:val="24"/>
        </w:rPr>
        <w:lastRenderedPageBreak/>
        <w:t>会议通知规定的表决意见视为有效表决，表决意见模糊不清或相互矛盾的视为弃权表决，但应当计入出具表决意见的基金份额持有人所代表的基金份额总数。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w:t>
      </w:r>
      <w:r>
        <w:rPr>
          <w:rFonts w:ascii="宋体" w:hAnsi="宋体"/>
          <w:sz w:val="24"/>
        </w:rPr>
        <w:lastRenderedPageBreak/>
        <w:t>构、公证员姓名等一同公告。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（4）相关法律法规和中国证监会规定的其他情况。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（3）基金财产清算小组职责：基金财产清算小组负责基金财产的保管、清理、估价、变现和分配。基金财产清算小组可以依法进行必要的民事活动。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w:t>
      </w:r>
      <w:r>
        <w:rPr>
          <w:rFonts w:ascii="宋体" w:hAnsi="宋体"/>
          <w:sz w:val="24"/>
        </w:rPr>
        <w:lastRenderedPageBreak/>
        <w:t>委员会，按照中国国际经济贸易仲裁委员会届时有效的仲裁规则进行仲裁。仲裁地点为北京市。仲裁裁决是终局的，对各方当事人均有约束力，除非仲裁裁决另有规定，仲裁费用、律师费由败诉方承担。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（五）基金合同存放及投资者取得基金合同的方式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24" w:name="_Toc240548782"/>
      <w:r>
        <w:rPr>
          <w:rFonts w:ascii="Times New Roman" w:hAnsi="Times New Roman"/>
          <w:sz w:val="30"/>
        </w:rPr>
        <w:lastRenderedPageBreak/>
        <w:t>二十一、托管协议的内容摘要</w:t>
      </w:r>
      <w:bookmarkEnd w:id="24"/>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成立时间：1987年4月7日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批准设立文号：国办函[1987]14号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基金托管业务批准文号：证监基金字[2004]125号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有效期至2020年09月09日）；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w:t>
      </w:r>
      <w:r>
        <w:rPr>
          <w:rFonts w:ascii="宋体" w:hAnsi="宋体"/>
          <w:sz w:val="24"/>
        </w:rPr>
        <w:lastRenderedPageBreak/>
        <w:t>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内地依法发行上市的股票（含中小板、创业板及其他经中国证监会核准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权证以及法律法规或中国证监会允许基金投资的其他金融工具（但须符合中国证监会相关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资产（含存托凭证）占基金资产的50%-95%（其中，投资于内地依法发行上市的股票的比例占基金资产的50-95%，投资于港股通标的股票的比例占股票资产的0-50%），其中投资于创新成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1）股票资产（含存托凭证）占基金资产的50%-95%（其中，投资于内地依法发行上市的股票的比例占基金资产的50-95%，投资于港股通标的股票的比例占股票资</w:t>
      </w:r>
      <w:r>
        <w:rPr>
          <w:rFonts w:ascii="宋体" w:hAnsi="宋体"/>
          <w:sz w:val="24"/>
        </w:rPr>
        <w:lastRenderedPageBreak/>
        <w:t>产的0-50%），其中投资于创新成长主题相关证券的比例不低于非现金基金资产的80%；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主动投资于流动性受限资产的市值合计不得超过本基金资产净值的15%；因证券市场波动、上市公司股票停牌、基金规模变动等基金管理人之外的因素致使基金不符合该比例限制的，基金管理人不得主动新增流动性受限资产的投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10）本基金与私募类证券资管产品及中国证监会认定的其他主体为交易对手开展逆回购交易的，可接受质押品的资质要求应当与基金合同约定的投资范围保持一致；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11）本基金投资于同一原始权益人的各类资产支持证券的比例，不得超过基金资产净值的10%；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12）本基金持有的全部资产支持证券，其市值不得超过基金资产净值的20%；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13）本基金持有的同一(指同一信用级别)资产支持证券的比例，不得超过该资产支持证券规模的10%；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14）本基金管理人管理的全部基金投资于同一原始权益人的各类资产支持证</w:t>
      </w:r>
      <w:r>
        <w:rPr>
          <w:rFonts w:ascii="宋体" w:hAnsi="宋体"/>
          <w:sz w:val="24"/>
        </w:rPr>
        <w:lastRenderedPageBreak/>
        <w:t>券，不得超过其各类资产支持证券合计规模的10%；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15）本基金应投资于信用级别评级为BBB以上(含BBB)的资产支持证券。基金持有资产支持证券期间，如果其信用等级下降、不再符合投资标准，应在评级报告发布之日起3个月内予以全部卖出；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16）基金财产参与股票发行申购，本基金所申报的金额不超过本基金的总资产，本基金所申报的股票数量不超过拟发行股票公司本次发行股票的总量；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17）本基金进入全国银行间同业市场进行债券回购的资金余额不得超过基金资产净值的40%；本基金在全国银行间同业市场中的债券回购最长期限为1年，债券回购到期后不得展期；</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18）本基金参与股指期货交易，则：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c）本基金在任何交易日日终，持有的卖出期货合约价值不得超过基金持有的股票总市值的20%；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19）本基金的基金资产总值不得超过基金资产净值的140%；</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20)本基金投资存托凭证的比例限制依照境内上市交易的股票执行；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21）法律法规及中国证监会规定的和《基金合同》约定的其他投资限制。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项、第9）项、第10）项、第15）项以外，因证券、期货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w:t>
      </w:r>
      <w:r>
        <w:rPr>
          <w:rFonts w:ascii="宋体" w:hAnsi="宋体"/>
          <w:sz w:val="24"/>
        </w:rPr>
        <w:lastRenderedPageBreak/>
        <w:t>金合同的有关约定。在上述期间内，本基金的投资范围、投资策略应当符合基金合同的约定。基金托管人对基金的投资的监督与检查自基金合同生效之日起开始。法律法规或监管部门另有规定的，从其规定。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上述投资组合限制条款中，若属法律法规或监管部门的强制性规定，则当法律法规或监管部门取消或修改上述限制，如适用于本基金，基金管理人在履行适当程序后，本基金投资所受限制相应调整或取消。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6）从事内幕交易、操纵证券价格及其他不正当的证券交易活动；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w:t>
      </w:r>
      <w:r>
        <w:rPr>
          <w:rFonts w:ascii="宋体" w:hAnsi="宋体"/>
          <w:sz w:val="24"/>
        </w:rPr>
        <w:lastRenderedPageBreak/>
        <w:t>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w:t>
      </w:r>
      <w:r>
        <w:rPr>
          <w:rFonts w:ascii="宋体" w:hAnsi="宋体"/>
          <w:sz w:val="24"/>
        </w:rPr>
        <w:lastRenderedPageBreak/>
        <w:t>管理人董事会批准的有关基金投资流通受限证券的投资决策流程、风险控制制度。上述资料应包括但不限于基金投资流通受限证券的投资额度和投资比例控制情况。</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（7）基金托管人对基金投资中期票据的监督：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前，基金管理人须根据法律、法规、监管部门的规定，制定严格的关于投资中期票据的风险控制制度和流动性风险处置预案，并书面提供给基金托管人，基金托管人依据上述文件对基金管理人投资中期票据的额度和比例进行监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2）如未来有关监管部门发布的法律法规对证券投资基金投资中期票据另有规定的，从其约定。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w:t>
      </w:r>
      <w:r>
        <w:rPr>
          <w:rFonts w:ascii="宋体" w:hAnsi="宋体"/>
          <w:sz w:val="24"/>
        </w:rPr>
        <w:lastRenderedPageBreak/>
        <w:t>基金管理人改正。如果基金管理人违规事项未能在限期内纠正的，基金托管人应报告中国证监会。如果基金托管人未能切实履行监督职责，导致基金出现风险，基金托管人应承担连带责任。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2）基金托管人应加强对基金银行存款业务的监督与核查，严格审查、复核相关协议、账户资料、投资指令、存款证实书等有关文件，切实履行托管职责。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3）基金管理人与基金托管人在开展基金存款业务时，应严格遵守《基金法》、《运作办法》等有关法律法规，以及国家有关账户管理、利率管理、支付结算等的各项规定。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w:t>
      </w:r>
      <w:r>
        <w:rPr>
          <w:rFonts w:ascii="宋体" w:hAnsi="宋体"/>
          <w:sz w:val="24"/>
        </w:rPr>
        <w:lastRenderedPageBreak/>
        <w:t>改正。基金管理人对基金托管人通知的违规事项未能在限期内纠正的，基金托管人应报告中国证监会。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（4）基金托管人发现基金管理人的投资指令违反关法律法规规定或者违反基金合同约定的，应当拒绝执行，立即通知基金管理人。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督权，或采取拖延、欺诈等手段妨碍基金托管人进行有效监督，情节严重或经基金托管人提出警告仍不改正的，基金托管人应报告中国证监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和期货账户等投资所需账户、复核基金管理人计算的基金资产净值和基金份额净值、根据基金管理人指令办理清算交收、相关信息披露和监督基金投资运作等行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3、基金管理人发现基金托管人有重大违规行为，应立即报告中国证监会和银</w:t>
      </w:r>
      <w:r>
        <w:rPr>
          <w:rFonts w:ascii="宋体" w:hAnsi="宋体"/>
          <w:sz w:val="24"/>
        </w:rPr>
        <w:lastRenderedPageBreak/>
        <w:t>行业监督管理机构，同时通知基金托管人限期纠正。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（3）基金托管人按照规定开设基金财产的资金账户和证券账户，协助开立股指期货业务相关账户及交易编码。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（3）若基金募集期限届满，未能达到基金备案条件，由基金管理人按规定办理退款事宜，基金托管人应提供充分协助。</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4、基金证券账户和证券交易资金账户的开设和管理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（1）基金托管人以基金托管人和本基金联名的方式在中国证券登记结算有限责任公司上海分公司/深圳分公司开设证券账户。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基金进行交易；基金托管人负责以本基金的名义在中央国债登记结算有限责任公司开设银行间债券市场债券托管账户，并由基金托管人负责本基金的债券的后台匹配及资金的清算。</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w:t>
      </w:r>
      <w:r>
        <w:rPr>
          <w:rFonts w:ascii="宋体" w:hAnsi="宋体"/>
          <w:sz w:val="24"/>
        </w:rPr>
        <w:lastRenderedPageBreak/>
        <w:t>按有关规则使用并管理。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按照每个工作日闭市后，基金资产净值除以当日基金份额的余额数量计算，精确到0.0001元，小数点后第五位四舍五入。国家另有规定的，从其规定。</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基金资产净值和基金份额净值由基金管理人负责计算，基金托管人复核。基金管理人应于每个工作日交易结束后计算当日的基金份额净值并以双方认可的方式发送给基金托管人。基金托管人对净值计算结果复核后以双方认可的方式发送给基金管理人，由基金管理人依据基金合同和相关法律法规的规定予</w:t>
      </w:r>
      <w:r>
        <w:rPr>
          <w:rFonts w:ascii="宋体" w:hAnsi="宋体"/>
          <w:sz w:val="24"/>
        </w:rPr>
        <w:lastRenderedPageBreak/>
        <w:t>以公布。月末、年中和年末估值复核与基金会计账目的核对同时进行。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计算并公告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交易所上市的有价证券（包括股票、权证等，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b）交易所市场上市交易或挂牌转让的固定收益品种（另有规定的除外），选取第三方估值机构提供的相应品种当日的估值净价进行估值；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交易所市场上市交易的可转换债券，按估值日收盘价减去可转换债券收盘价中所含债券应收利息后得到的净价进行估值；交易所上市实行全价交易的债券（可转债除外），选取第三方估值机构提供的估值全价减去估值全价中所含的债券（税后）应收利息得到的净价进行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d）交易所市场挂牌转让的资产支持证券和私募债券，采用估值技术确定公允价值。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2）证券交易所发行未上市期间的有价证券应区分如下情况处理：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a）送股、转增股、配股和公开增发的新股，按估值日在证券交易所挂牌的同一股票的估值方法估值；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b）首次公开发行未上市的股票和权证，采用估值技术确定公允价值；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c）发行时明确一定期限限售期的股票，包括但不限于非公开发行股票、首次</w:t>
      </w:r>
      <w:r>
        <w:rPr>
          <w:rFonts w:ascii="宋体" w:hAnsi="宋体"/>
          <w:sz w:val="24"/>
        </w:rPr>
        <w:lastRenderedPageBreak/>
        <w:t>公开发行股票时公司股东公开发售股份、通过大宗交易取得的带限售期的股票等，按监管机构或行业协会有关规定确定公允价值；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d）交易所市场发行未上市或未挂牌转让的债券，采用估值技术确定公允价值。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3）银行间市场上市交易的固定收益品种，选取第三方估值机构提供的相应品种当日的估值净价进行估值。银行间市场发行未上市的固定收益品种，采用估值技术确定公允价值。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5）估值计算中涉及港币对人民币汇率的，将依据下列信息提供机构所提供的汇率为基准：当日中国人民银行公布的人民币与港币的中间价。</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7）如有确凿证据表明按上述方法进行估值不能客观反映其公允价值的，基金管理人可根据具体情况与基金托管人商定后，按最能反映公允价值的方法估值。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8）当发生大额申购或赎回情形时，基金管理人可以对本基金采用摆动定价机制，以确保基金估值的公平性。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9）本基金投资存托凭证的估值核算依照境内上市交易的股票执行。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10）相关法律法规以及监管部门有强制规定的，从其规定。如有新增事项，按法律法规以及监管部门最新规定估值。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3、估值错误处理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（1）因基金估值错误给投资人造成损失的应先由基金管理人承担，基金管理人对不应由其承担的责任，有权向过错人追偿。</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管理人计算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一方当事人提供的信息错误，另一方当事人在采取了必要合理的措施后仍不能发现该错误，进而导致基金资产净值、基金份额净值计算错误造成投资人或基金的损失，以及由此造成以后交易日基金资产净值、基金份额净值计算顺延错误而引起的投资人或基金的损失，由提供错误信息的当事人一方负责赔偿。</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不可抗力原因，或由于证券、期货交易所、证券经纪机构、期货公司或登记结算公司发送的数据错误，或国家会计政策变更、市场规则变更等，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减轻或消除由此造成的影响。</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（6）基金管理人或基金托管人按估值方法的第8）项进行估值的，所造成的误差不作为基金资产估值错误处理。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（1）基金管理人和基金托管人在基金合同生效后，应按照相关各方约定的同</w:t>
      </w:r>
      <w:r>
        <w:rPr>
          <w:rFonts w:ascii="宋体" w:hAnsi="宋体"/>
          <w:sz w:val="24"/>
        </w:rPr>
        <w:lastRenderedPageBreak/>
        <w:t>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（1）基金财务报表由基金管理人和基金托管人每月分别独立编制。月度报表的编制，应于每月终了后5个工作日内完成。</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（4）核对无误后，基金托管人在基金管理人提供的报告上加盖业务印鉴或者出具加盖托管业务部门公章的复核意见书，相关各方各自留存一份。</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（5）基金托管人在对月度报表、季度、中期报告或年度报告复核完毕后，需盖章确认或出具相应的复核确认书，以备有权机构对相关文件审核时提示。</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w:t>
      </w:r>
      <w:r>
        <w:rPr>
          <w:rFonts w:ascii="宋体" w:hAnsi="宋体"/>
          <w:sz w:val="24"/>
        </w:rPr>
        <w:lastRenderedPageBreak/>
        <w:t>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（3）当前一估值日基金资产净值50%以上的资产出现无可参考的活跃市场价格且采用估值技术仍导致公允价值存在重大不确定性时，经与基金托管人协商确认后，基金管理人应当暂停基金估值；</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（4）中国证监会和基金合同认定的其他情形。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1、基金管理人和基金托管人须分别妥善保管的基金份额持有人名册，基金份额持有人名册的内容必须包括基金份额持有人的名称和持有的基金份额。</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2、基金份额持有人名册由基金的登记机构根据基金管理人的指令编制和保管，基金管理人和基金托管人应按照目前相关规则分别保管基金份额持有人名册。保管方式可以采用电子或文档的形式。保管期限为15年。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2、基金托管协议终止的情形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25" w:name="_Toc240548783"/>
      <w:r>
        <w:rPr>
          <w:rFonts w:ascii="Times New Roman" w:hAnsi="Times New Roman"/>
          <w:sz w:val="30"/>
        </w:rPr>
        <w:lastRenderedPageBreak/>
        <w:t>二十二、对基金份额持有人的服务</w:t>
      </w:r>
      <w:bookmarkEnd w:id="25"/>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和定期定额投资等业务。通过网上直销交易平台办理本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本基金已开通转换业务，具体实施方法请参见相关公告。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26" w:name="_Toc240548784"/>
      <w:r>
        <w:rPr>
          <w:rFonts w:ascii="Times New Roman" w:hAnsi="Times New Roman"/>
          <w:sz w:val="30"/>
        </w:rPr>
        <w:lastRenderedPageBreak/>
        <w:t>二十三、其他应披露事项</w:t>
      </w:r>
      <w:bookmarkEnd w:id="26"/>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2024-10-11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交银施罗德基金管理有限公司关于董事长（法定代表人）任职的公告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交银施罗德基金管理有限公司高级管理人员任职公告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2024-10-25</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交银施罗德基金管理有限公司关于旗下基金改聘会计师事务所的公告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2024-12-03</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交银施罗德基金管理有限公司关于旗下部分基金于</w:t>
            </w:r>
            <w:r>
              <w:rPr>
                <w:rFonts w:ascii="Times New Roman" w:hAnsi="Times New Roman"/>
                <w:color w:val="000000"/>
                <w:kern w:val="0"/>
                <w:sz w:val="25"/>
                <w:szCs w:val="24"/>
              </w:rPr>
              <w:t>2025</w:t>
            </w:r>
            <w:r>
              <w:rPr>
                <w:rFonts w:ascii="Times New Roman" w:hAnsi="Times New Roman"/>
                <w:color w:val="000000"/>
                <w:kern w:val="0"/>
                <w:sz w:val="25"/>
                <w:szCs w:val="24"/>
              </w:rPr>
              <w:t>年非港股通交易日暂停基金交易业务的提示性公告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2024-12-25</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2025-01-21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交银施罗德基金管理有限公司关于增加中信期货有限公司为旗下基金的销售机构的公告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交银施罗德基金管理有限公司关于增加中信证券华南股份有限公司为旗下基金的销售机构的公告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12</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交银施罗德基金管理有限公司关于增加中信证券（山东）有限责任公司为旗下基金的销售机构的公告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2025-02-26</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交银施罗德基金管理有限公司关于增加国泰君安证券股份有限公司为旗下基金的销售机构的公告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2025-03-17</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2024</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2025-03-28</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交银施罗德基金管理有限公司旗下公募基金通过证券公司交易及佣金支付情况公告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2025-03-31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2025-04-21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交银施罗德基金管理有限公司关于增加国金证券股份有限公司为旗下基金的销售机构的公告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2025-07-21</w:t>
            </w:r>
          </w:p>
        </w:tc>
      </w:tr>
      <w:tr w:rsidR="0004127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交银施罗德创新成长混合型证券投资基金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041277" w:rsidRDefault="001F0197">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bl>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27" w:name="_Toc240548785"/>
      <w:r>
        <w:rPr>
          <w:rFonts w:ascii="Times New Roman" w:hAnsi="Times New Roman"/>
          <w:sz w:val="30"/>
        </w:rPr>
        <w:lastRenderedPageBreak/>
        <w:t>二十四、招募说明书的存放及查阅方式</w:t>
      </w:r>
      <w:bookmarkEnd w:id="27"/>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1F0197"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041277" w:rsidRDefault="001F0197">
      <w:pPr>
        <w:pStyle w:val="1"/>
        <w:snapToGrid w:val="0"/>
        <w:spacing w:beforeLines="0" w:before="240" w:after="240"/>
        <w:rPr>
          <w:rFonts w:ascii="宋体" w:hAnsi="宋体"/>
          <w:szCs w:val="30"/>
        </w:rPr>
      </w:pPr>
      <w:bookmarkStart w:id="28" w:name="_Toc240548786"/>
      <w:r>
        <w:rPr>
          <w:rFonts w:ascii="Times New Roman" w:hAnsi="Times New Roman"/>
          <w:sz w:val="30"/>
        </w:rPr>
        <w:lastRenderedPageBreak/>
        <w:t>二十五、备查文件</w:t>
      </w:r>
      <w:bookmarkEnd w:id="28"/>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（一）中国证监会准予交银施罗德创新成长混合型证券投资基金募集注册的文件</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（二）《交银施罗德创新成长混合型证券投资基金基金合同》</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（三）《交银施罗德创新成长混合型证券投资基金托管协议》</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041277" w:rsidRDefault="001F0197">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（六）关于申请募集注册交银施罗沪港深创新成长灵活配置混合型证券投资基金的法律意见书</w:t>
      </w:r>
    </w:p>
    <w:sectPr w:rsidR="00041277">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175E" w:rsidRDefault="001F0197">
      <w:r>
        <w:separator/>
      </w:r>
    </w:p>
  </w:endnote>
  <w:endnote w:type="continuationSeparator" w:id="0">
    <w:p w:rsidR="0078175E" w:rsidRDefault="001F0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277" w:rsidRDefault="0004127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277" w:rsidRDefault="00F44C4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041277" w:rsidRDefault="001F019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44C48">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277" w:rsidRDefault="0004127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277" w:rsidRDefault="00F44C48">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041277" w:rsidRDefault="001F0197">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F44C48">
                  <w:rPr>
                    <w:rFonts w:ascii="Times New Roman" w:hAnsi="Times New Roman"/>
                    <w:noProof/>
                    <w:kern w:val="0"/>
                    <w:sz w:val="18"/>
                    <w:szCs w:val="18"/>
                  </w:rPr>
                  <w:t>150</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175E" w:rsidRDefault="001F0197">
      <w:r>
        <w:separator/>
      </w:r>
    </w:p>
  </w:footnote>
  <w:footnote w:type="continuationSeparator" w:id="0">
    <w:p w:rsidR="0078175E" w:rsidRDefault="001F01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277" w:rsidRDefault="0004127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277" w:rsidRDefault="001F0197">
    <w:pPr>
      <w:pStyle w:val="a3"/>
      <w:jc w:val="right"/>
      <w:rPr>
        <w:rFonts w:ascii="宋体" w:hAnsi="宋体"/>
      </w:rPr>
    </w:pPr>
    <w:r>
      <w:rPr>
        <w:rFonts w:ascii="宋体" w:hAnsi="宋体" w:hint="eastAsia"/>
      </w:rPr>
      <w:t>交银施罗德创新成长混合型证券投资基金招募说明书更新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277" w:rsidRDefault="00041277">
    <w:pPr>
      <w:pStyle w:val="10"/>
      <w:jc w:val="right"/>
    </w:pPr>
  </w:p>
  <w:p w:rsidR="00041277" w:rsidRDefault="00041277">
    <w:pPr>
      <w:pStyle w:val="10"/>
      <w:jc w:val="right"/>
    </w:pPr>
  </w:p>
  <w:p w:rsidR="00041277" w:rsidRDefault="00041277">
    <w:pPr>
      <w:pStyle w:val="a3"/>
      <w:jc w:val="right"/>
    </w:pPr>
  </w:p>
  <w:p w:rsidR="00041277" w:rsidRDefault="001F0197">
    <w:pPr>
      <w:pStyle w:val="a3"/>
      <w:jc w:val="right"/>
      <w:rPr>
        <w:rFonts w:ascii="宋体" w:hAnsi="宋体"/>
      </w:rPr>
    </w:pPr>
    <w:r>
      <w:rPr>
        <w:rFonts w:ascii="宋体" w:hAnsi="宋体" w:hint="eastAsia"/>
      </w:rPr>
      <w:t>交银施罗德创新成长混合型证券投资基金招募说明书更新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1277" w:rsidRDefault="00041277">
    <w:pPr>
      <w:pStyle w:val="a3"/>
      <w:jc w:val="right"/>
    </w:pPr>
  </w:p>
  <w:p w:rsidR="00041277" w:rsidRDefault="00041277">
    <w:pPr>
      <w:pStyle w:val="a3"/>
      <w:jc w:val="right"/>
    </w:pPr>
  </w:p>
  <w:p w:rsidR="00041277" w:rsidRDefault="00041277">
    <w:pPr>
      <w:pStyle w:val="a3"/>
      <w:jc w:val="right"/>
    </w:pPr>
  </w:p>
  <w:p w:rsidR="00041277" w:rsidRDefault="001F0197">
    <w:pPr>
      <w:pStyle w:val="a3"/>
      <w:jc w:val="right"/>
      <w:rPr>
        <w:rFonts w:ascii="宋体" w:hAnsi="宋体"/>
      </w:rPr>
    </w:pPr>
    <w:r>
      <w:rPr>
        <w:rFonts w:ascii="宋体" w:hAnsi="宋体" w:hint="eastAsia"/>
      </w:rPr>
      <w:t>交银施罗德创新成长混合型证券投资基金招募说明书更新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1277"/>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0197"/>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75E"/>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4C48"/>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89F932C7-9C3F-4490-B79D-61B2F2EA3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151</Pages>
  <Words>15980</Words>
  <Characters>91089</Characters>
  <Application>Microsoft Office Word</Application>
  <DocSecurity>0</DocSecurity>
  <Lines>759</Lines>
  <Paragraphs>213</Paragraphs>
  <ScaleCrop>false</ScaleCrop>
  <Company>Microsoft</Company>
  <LinksUpToDate>false</LinksUpToDate>
  <CharactersWithSpaces>106856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2026-09-17T06:45:00Z</dcterms:created>
  <dcterms:modified xsi:type="dcterms:W3CDTF">2026-09-17T06:45:00Z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