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E353A">
      <w:pPr>
        <w:rPr>
          <w:sz w:val="32"/>
        </w:rPr>
      </w:pPr>
    </w:p>
    <w:p w:rsidR="00C92FC0" w:rsidRPr="00EB07BC" w:rsidRDefault="009E353A">
      <w:pPr>
        <w:rPr>
          <w:sz w:val="32"/>
        </w:rPr>
      </w:pPr>
    </w:p>
    <w:p w:rsidR="00C92FC0" w:rsidRPr="00EB07BC" w:rsidRDefault="009E353A">
      <w:pPr>
        <w:rPr>
          <w:sz w:val="32"/>
        </w:rPr>
      </w:pPr>
    </w:p>
    <w:p w:rsidR="00F010D2" w:rsidRDefault="00F010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010D2" w:rsidRDefault="00F010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010D2" w:rsidRDefault="00F010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010D2" w:rsidRDefault="0032288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交银施罗德成长动力一年持有期混合型证券投资基金</w:t>
      </w:r>
    </w:p>
    <w:p w:rsidR="00F010D2" w:rsidRDefault="0032288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010D2" w:rsidRDefault="00F010D2">
      <w:pPr>
        <w:snapToGrid w:val="0"/>
        <w:spacing w:line="360" w:lineRule="auto"/>
        <w:jc w:val="center"/>
        <w:rPr>
          <w:rFonts w:ascii="宋体" w:hAnsi="宋体"/>
          <w:b/>
          <w:sz w:val="30"/>
          <w:szCs w:val="30"/>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32288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010D2" w:rsidRDefault="0032288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F010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010D2" w:rsidRDefault="0032288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F010D2" w:rsidRDefault="00F010D2">
      <w:pPr>
        <w:autoSpaceDE w:val="0"/>
        <w:autoSpaceDN w:val="0"/>
        <w:adjustRightInd w:val="0"/>
        <w:snapToGrid w:val="0"/>
        <w:spacing w:line="360" w:lineRule="auto"/>
        <w:ind w:left="1347" w:rightChars="6" w:right="13"/>
        <w:rPr>
          <w:rFonts w:ascii="宋体" w:hAnsi="宋体"/>
          <w:kern w:val="0"/>
          <w:sz w:val="32"/>
          <w:szCs w:val="32"/>
        </w:rPr>
        <w:sectPr w:rsidR="00F010D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010D2" w:rsidRDefault="00322880">
      <w:pPr>
        <w:pStyle w:val="1"/>
        <w:snapToGrid w:val="0"/>
        <w:spacing w:beforeLines="0" w:before="240" w:after="240"/>
        <w:rPr>
          <w:rFonts w:ascii="宋体" w:hAnsi="宋体"/>
          <w:kern w:val="0"/>
        </w:rPr>
      </w:pPr>
      <w:bookmarkStart w:id="0" w:name="_Toc324920538"/>
      <w:bookmarkStart w:id="1" w:name="_Toc496884613"/>
      <w:bookmarkStart w:id="2" w:name="_Toc240548843"/>
      <w:r>
        <w:rPr>
          <w:rFonts w:ascii="Times New Roman" w:hAnsi="Times New Roman"/>
          <w:kern w:val="0"/>
        </w:rPr>
        <w:lastRenderedPageBreak/>
        <w:t>重要提示</w:t>
      </w:r>
      <w:bookmarkEnd w:id="0"/>
      <w:bookmarkEnd w:id="1"/>
      <w:bookmarkEnd w:id="2"/>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交银施罗德成长动力一年持有期混合型证券投资基金（以下简称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3454</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万元情形时基金管理人依基金合同约定提前终止基金合同的风险；投资本基金的其他风险等等。本基金是一只混合型基金，其预期风险和预期收益高于债券型基金和货币市场基金，低于股票型基金。</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F010D2" w:rsidRDefault="0032288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F010D2" w:rsidRDefault="00F010D2">
      <w:pPr>
        <w:autoSpaceDE w:val="0"/>
        <w:autoSpaceDN w:val="0"/>
        <w:adjustRightInd w:val="0"/>
        <w:snapToGrid w:val="0"/>
        <w:spacing w:before="51" w:line="360" w:lineRule="auto"/>
        <w:ind w:left="120" w:rightChars="6" w:right="13" w:firstLine="480"/>
        <w:rPr>
          <w:rFonts w:ascii="宋体" w:hAnsi="宋体"/>
          <w:kern w:val="0"/>
          <w:szCs w:val="24"/>
        </w:rPr>
        <w:sectPr w:rsidR="00F010D2">
          <w:headerReference w:type="default" r:id="rId14"/>
          <w:pgSz w:w="11920" w:h="16840"/>
          <w:pgMar w:top="1440" w:right="1680" w:bottom="280" w:left="1680" w:header="0" w:footer="1073" w:gutter="0"/>
          <w:pgNumType w:start="1"/>
          <w:cols w:space="720"/>
        </w:sectPr>
      </w:pPr>
    </w:p>
    <w:p w:rsidR="009E353A" w:rsidRPr="009E353A" w:rsidRDefault="00322880" w:rsidP="009E353A">
      <w:pPr>
        <w:pStyle w:val="ad"/>
        <w:snapToGrid w:val="0"/>
        <w:spacing w:after="240" w:line="360" w:lineRule="auto"/>
        <w:jc w:val="center"/>
        <w:rPr>
          <w:rFonts w:ascii="宋体" w:hAnsi="宋体"/>
          <w:noProof/>
          <w:sz w:val="24"/>
        </w:rPr>
      </w:pPr>
      <w:r w:rsidRPr="009E353A">
        <w:rPr>
          <w:rFonts w:ascii="宋体" w:hAnsi="宋体"/>
          <w:color w:val="000000"/>
          <w:position w:val="-4"/>
          <w:sz w:val="24"/>
          <w:szCs w:val="30"/>
        </w:rPr>
        <w:lastRenderedPageBreak/>
        <w:t>目</w:t>
      </w:r>
      <w:r w:rsidRPr="009E353A">
        <w:rPr>
          <w:rFonts w:ascii="宋体" w:hAnsi="宋体"/>
          <w:color w:val="000000"/>
          <w:position w:val="-4"/>
          <w:sz w:val="24"/>
          <w:szCs w:val="30"/>
        </w:rPr>
        <w:tab/>
        <w:t>录</w:t>
      </w:r>
      <w:r w:rsidR="009E353A" w:rsidRPr="009E353A">
        <w:rPr>
          <w:rFonts w:ascii="宋体" w:hAnsi="宋体"/>
          <w:color w:val="000000"/>
          <w:position w:val="-4"/>
          <w:sz w:val="24"/>
          <w:szCs w:val="30"/>
        </w:rPr>
        <w:fldChar w:fldCharType="begin"/>
      </w:r>
      <w:r w:rsidR="009E353A" w:rsidRPr="009E353A">
        <w:rPr>
          <w:rFonts w:ascii="宋体" w:hAnsi="宋体"/>
          <w:color w:val="000000"/>
          <w:position w:val="-4"/>
          <w:sz w:val="24"/>
          <w:szCs w:val="30"/>
        </w:rPr>
        <w:instrText xml:space="preserve"> TOC \o "1-3" \f - \h \t "-1" </w:instrText>
      </w:r>
      <w:r w:rsidR="009E353A" w:rsidRPr="009E353A">
        <w:rPr>
          <w:rFonts w:ascii="宋体" w:hAnsi="宋体"/>
          <w:color w:val="000000"/>
          <w:position w:val="-4"/>
          <w:sz w:val="24"/>
          <w:szCs w:val="30"/>
        </w:rPr>
        <w:fldChar w:fldCharType="separate"/>
      </w:r>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3" w:history="1">
        <w:r w:rsidRPr="009E353A">
          <w:rPr>
            <w:rStyle w:val="aa"/>
            <w:rFonts w:ascii="宋体" w:hAnsi="宋体" w:hint="eastAsia"/>
            <w:noProof/>
            <w:kern w:val="0"/>
            <w:sz w:val="24"/>
          </w:rPr>
          <w:t>重要提示</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_Toc240548843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4" w:history="1">
        <w:r w:rsidRPr="009E353A">
          <w:rPr>
            <w:rStyle w:val="aa"/>
            <w:rFonts w:ascii="宋体" w:hAnsi="宋体" w:hint="eastAsia"/>
            <w:noProof/>
            <w:sz w:val="24"/>
          </w:rPr>
          <w:t>一、绪言</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_Toc240548844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5</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5" w:history="1">
        <w:r w:rsidRPr="009E353A">
          <w:rPr>
            <w:rStyle w:val="aa"/>
            <w:rFonts w:ascii="宋体" w:hAnsi="宋体" w:hint="eastAsia"/>
            <w:noProof/>
            <w:sz w:val="24"/>
          </w:rPr>
          <w:t>二、释义</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_Toc240548845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6</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6" w:history="1">
        <w:r w:rsidRPr="009E353A">
          <w:rPr>
            <w:rStyle w:val="aa"/>
            <w:rFonts w:ascii="宋体" w:hAnsi="宋体" w:hint="eastAsia"/>
            <w:noProof/>
            <w:sz w:val="24"/>
          </w:rPr>
          <w:t>三、基金管理人</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_Toc240548846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11</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7" w:history="1">
        <w:r w:rsidRPr="009E353A">
          <w:rPr>
            <w:rStyle w:val="aa"/>
            <w:rFonts w:ascii="宋体" w:hAnsi="宋体" w:hint="eastAsia"/>
            <w:noProof/>
            <w:sz w:val="24"/>
          </w:rPr>
          <w:t>四、基金托管人</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_Toc240548847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18</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8" w:history="1">
        <w:r w:rsidRPr="009E353A">
          <w:rPr>
            <w:rStyle w:val="aa"/>
            <w:rFonts w:ascii="宋体" w:hAnsi="宋体" w:hint="eastAsia"/>
            <w:noProof/>
            <w:sz w:val="24"/>
          </w:rPr>
          <w:t>五、相关服务机构</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_Toc240548848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22</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49" w:history="1">
        <w:r w:rsidRPr="009E353A">
          <w:rPr>
            <w:rStyle w:val="aa"/>
            <w:rFonts w:ascii="宋体" w:hAnsi="宋体" w:hint="eastAsia"/>
            <w:noProof/>
            <w:sz w:val="24"/>
          </w:rPr>
          <w:t>六、基金的募集</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_Toc240548849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48</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0" w:history="1">
        <w:r w:rsidRPr="009E353A">
          <w:rPr>
            <w:rStyle w:val="aa"/>
            <w:rFonts w:ascii="宋体" w:hAnsi="宋体" w:hint="eastAsia"/>
            <w:noProof/>
            <w:sz w:val="24"/>
          </w:rPr>
          <w:t>七、基金合同的生效</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_Toc240548850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49</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1" w:history="1">
        <w:r w:rsidRPr="009E353A">
          <w:rPr>
            <w:rStyle w:val="aa"/>
            <w:rFonts w:ascii="宋体" w:hAnsi="宋体" w:hint="eastAsia"/>
            <w:noProof/>
            <w:sz w:val="24"/>
          </w:rPr>
          <w:t>八、基金份额的申购与赎回</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_Toc240548851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50</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2" w:history="1">
        <w:r w:rsidRPr="009E353A">
          <w:rPr>
            <w:rStyle w:val="aa"/>
            <w:rFonts w:ascii="宋体" w:hAnsi="宋体" w:hint="eastAsia"/>
            <w:noProof/>
            <w:sz w:val="24"/>
          </w:rPr>
          <w:t>九、基金的转换</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_Toc240548852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63</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3" w:history="1">
        <w:r w:rsidRPr="009E353A">
          <w:rPr>
            <w:rStyle w:val="aa"/>
            <w:rFonts w:ascii="宋体" w:hAnsi="宋体" w:hint="eastAsia"/>
            <w:noProof/>
            <w:sz w:val="24"/>
          </w:rPr>
          <w:t>十、基金的投资</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_Toc240548853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70</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4" w:history="1">
        <w:r w:rsidRPr="009E353A">
          <w:rPr>
            <w:rStyle w:val="aa"/>
            <w:rFonts w:ascii="宋体" w:hAnsi="宋体" w:hint="eastAsia"/>
            <w:noProof/>
            <w:sz w:val="24"/>
          </w:rPr>
          <w:t>十一、基金的业绩</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_Toc240548854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84</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5" w:history="1">
        <w:r w:rsidRPr="009E353A">
          <w:rPr>
            <w:rStyle w:val="aa"/>
            <w:rFonts w:ascii="宋体" w:hAnsi="宋体" w:hint="eastAsia"/>
            <w:noProof/>
            <w:sz w:val="24"/>
          </w:rPr>
          <w:t>十二、基金的财产</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_Toc240548855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87</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6" w:history="1">
        <w:r w:rsidRPr="009E353A">
          <w:rPr>
            <w:rStyle w:val="aa"/>
            <w:rFonts w:ascii="宋体" w:hAnsi="宋体" w:hint="eastAsia"/>
            <w:noProof/>
            <w:sz w:val="24"/>
          </w:rPr>
          <w:t>十三、基金资产的估值</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_Toc240548856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88</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7" w:history="1">
        <w:r w:rsidRPr="009E353A">
          <w:rPr>
            <w:rStyle w:val="aa"/>
            <w:rFonts w:ascii="宋体" w:hAnsi="宋体" w:hint="eastAsia"/>
            <w:noProof/>
            <w:sz w:val="24"/>
          </w:rPr>
          <w:t>十四、基金收益与分配</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_Toc240548857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94</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8" w:history="1">
        <w:r w:rsidRPr="009E353A">
          <w:rPr>
            <w:rStyle w:val="aa"/>
            <w:rFonts w:ascii="宋体" w:hAnsi="宋体" w:hint="eastAsia"/>
            <w:noProof/>
            <w:sz w:val="24"/>
          </w:rPr>
          <w:t>十五、基金的费用与税收</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_Toc240548858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96</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59" w:history="1">
        <w:r w:rsidRPr="009E353A">
          <w:rPr>
            <w:rStyle w:val="aa"/>
            <w:rFonts w:ascii="宋体" w:hAnsi="宋体" w:hint="eastAsia"/>
            <w:noProof/>
            <w:sz w:val="24"/>
          </w:rPr>
          <w:t>十六、基金的会计与审计</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_Toc240548859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99</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0" w:history="1">
        <w:r w:rsidRPr="009E353A">
          <w:rPr>
            <w:rStyle w:val="aa"/>
            <w:rFonts w:ascii="宋体" w:hAnsi="宋体" w:hint="eastAsia"/>
            <w:noProof/>
            <w:sz w:val="24"/>
          </w:rPr>
          <w:t>十七、基金的信息披露</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_Toc240548860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100</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1" w:history="1">
        <w:r w:rsidRPr="009E353A">
          <w:rPr>
            <w:rStyle w:val="aa"/>
            <w:rFonts w:ascii="宋体" w:hAnsi="宋体" w:hint="eastAsia"/>
            <w:noProof/>
            <w:sz w:val="24"/>
          </w:rPr>
          <w:t>十八、侧袋机制</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_Toc240548861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107</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2" w:history="1">
        <w:r w:rsidRPr="009E353A">
          <w:rPr>
            <w:rStyle w:val="aa"/>
            <w:rFonts w:ascii="宋体" w:hAnsi="宋体" w:hint="eastAsia"/>
            <w:noProof/>
            <w:sz w:val="24"/>
          </w:rPr>
          <w:t>十九、风险揭示</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_Toc240548862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110</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3" w:history="1">
        <w:r w:rsidRPr="009E353A">
          <w:rPr>
            <w:rStyle w:val="aa"/>
            <w:rFonts w:ascii="宋体" w:hAnsi="宋体" w:hint="eastAsia"/>
            <w:noProof/>
            <w:sz w:val="24"/>
          </w:rPr>
          <w:t>二十、基金合同的变更、终止与基金财产的清算</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_Toc240548863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121</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4" w:history="1">
        <w:r w:rsidRPr="009E353A">
          <w:rPr>
            <w:rStyle w:val="aa"/>
            <w:rFonts w:ascii="宋体" w:hAnsi="宋体" w:hint="eastAsia"/>
            <w:noProof/>
            <w:sz w:val="24"/>
          </w:rPr>
          <w:t>二十一、基金合同内容摘要</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_Toc240548864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123</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5" w:history="1">
        <w:r w:rsidRPr="009E353A">
          <w:rPr>
            <w:rStyle w:val="aa"/>
            <w:rFonts w:ascii="宋体" w:hAnsi="宋体" w:hint="eastAsia"/>
            <w:noProof/>
            <w:sz w:val="24"/>
          </w:rPr>
          <w:t>二十二、托管协议的内容摘要</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_Toc240548865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140</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6" w:history="1">
        <w:r w:rsidRPr="009E353A">
          <w:rPr>
            <w:rStyle w:val="aa"/>
            <w:rFonts w:ascii="宋体" w:hAnsi="宋体" w:hint="eastAsia"/>
            <w:noProof/>
            <w:sz w:val="24"/>
          </w:rPr>
          <w:t>二十三、对基金份额持有人的服务</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_Toc240548866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159</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7" w:history="1">
        <w:r w:rsidRPr="009E353A">
          <w:rPr>
            <w:rStyle w:val="aa"/>
            <w:rFonts w:ascii="宋体" w:hAnsi="宋体" w:hint="eastAsia"/>
            <w:noProof/>
            <w:sz w:val="24"/>
          </w:rPr>
          <w:t>二十四、其他应披露事项</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_Toc240548867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161</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8" w:history="1">
        <w:r w:rsidRPr="009E353A">
          <w:rPr>
            <w:rStyle w:val="aa"/>
            <w:rFonts w:ascii="宋体" w:hAnsi="宋体" w:hint="eastAsia"/>
            <w:noProof/>
            <w:sz w:val="24"/>
          </w:rPr>
          <w:t>二十五、招募说明书的存放及查阅方式</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_Toc240548868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163</w:t>
        </w:r>
        <w:r w:rsidRPr="009E353A">
          <w:rPr>
            <w:rFonts w:ascii="宋体" w:hAnsi="宋体"/>
            <w:noProof/>
            <w:sz w:val="24"/>
          </w:rPr>
          <w:fldChar w:fldCharType="end"/>
        </w:r>
      </w:hyperlink>
    </w:p>
    <w:p w:rsidR="009E353A" w:rsidRPr="009E353A" w:rsidRDefault="009E353A" w:rsidP="009E353A">
      <w:pPr>
        <w:pStyle w:val="10"/>
        <w:tabs>
          <w:tab w:val="right" w:leader="dot" w:pos="8550"/>
        </w:tabs>
        <w:spacing w:line="360" w:lineRule="auto"/>
        <w:rPr>
          <w:rFonts w:ascii="宋体" w:hAnsi="宋体" w:cstheme="minorBidi"/>
          <w:noProof/>
          <w:sz w:val="24"/>
        </w:rPr>
      </w:pPr>
      <w:hyperlink w:anchor="_Toc240548869" w:history="1">
        <w:r w:rsidRPr="009E353A">
          <w:rPr>
            <w:rStyle w:val="aa"/>
            <w:rFonts w:ascii="宋体" w:hAnsi="宋体" w:hint="eastAsia"/>
            <w:noProof/>
            <w:sz w:val="24"/>
          </w:rPr>
          <w:t>二十六、备查文件</w:t>
        </w:r>
        <w:r w:rsidRPr="009E353A">
          <w:rPr>
            <w:rFonts w:ascii="宋体" w:hAnsi="宋体"/>
            <w:noProof/>
            <w:sz w:val="24"/>
          </w:rPr>
          <w:tab/>
        </w:r>
        <w:r w:rsidRPr="009E353A">
          <w:rPr>
            <w:rFonts w:ascii="宋体" w:hAnsi="宋体"/>
            <w:noProof/>
            <w:sz w:val="24"/>
          </w:rPr>
          <w:fldChar w:fldCharType="begin"/>
        </w:r>
        <w:r w:rsidRPr="009E353A">
          <w:rPr>
            <w:rFonts w:ascii="宋体" w:hAnsi="宋体"/>
            <w:noProof/>
            <w:sz w:val="24"/>
          </w:rPr>
          <w:instrText xml:space="preserve"> PAGEREF _Toc240548869 \h </w:instrText>
        </w:r>
        <w:r w:rsidRPr="009E353A">
          <w:rPr>
            <w:rFonts w:ascii="宋体" w:hAnsi="宋体"/>
            <w:noProof/>
            <w:sz w:val="24"/>
          </w:rPr>
        </w:r>
        <w:r w:rsidRPr="009E353A">
          <w:rPr>
            <w:rFonts w:ascii="宋体" w:hAnsi="宋体"/>
            <w:noProof/>
            <w:sz w:val="24"/>
          </w:rPr>
          <w:fldChar w:fldCharType="separate"/>
        </w:r>
        <w:r w:rsidRPr="009E353A">
          <w:rPr>
            <w:rFonts w:ascii="宋体" w:hAnsi="宋体"/>
            <w:noProof/>
            <w:sz w:val="24"/>
          </w:rPr>
          <w:t>164</w:t>
        </w:r>
        <w:r w:rsidRPr="009E353A">
          <w:rPr>
            <w:rFonts w:ascii="宋体" w:hAnsi="宋体"/>
            <w:noProof/>
            <w:sz w:val="24"/>
          </w:rPr>
          <w:fldChar w:fldCharType="end"/>
        </w:r>
      </w:hyperlink>
    </w:p>
    <w:p w:rsidR="00F010D2" w:rsidRPr="009E353A" w:rsidRDefault="009E353A" w:rsidP="009E353A">
      <w:pPr>
        <w:pStyle w:val="ad"/>
        <w:snapToGrid w:val="0"/>
        <w:spacing w:after="240" w:line="360" w:lineRule="auto"/>
        <w:jc w:val="center"/>
        <w:rPr>
          <w:rFonts w:ascii="宋体" w:hAnsi="宋体"/>
          <w:color w:val="000000"/>
          <w:sz w:val="24"/>
        </w:rPr>
      </w:pPr>
      <w:r w:rsidRPr="009E353A">
        <w:rPr>
          <w:rFonts w:ascii="宋体" w:hAnsi="宋体"/>
          <w:color w:val="000000"/>
          <w:position w:val="-4"/>
          <w:sz w:val="24"/>
          <w:szCs w:val="30"/>
        </w:rPr>
        <w:fldChar w:fldCharType="end"/>
      </w:r>
      <w:bookmarkStart w:id="3" w:name="_GoBack"/>
      <w:bookmarkEnd w:id="3"/>
    </w:p>
    <w:p w:rsidR="00F010D2" w:rsidRDefault="00F010D2">
      <w:pPr>
        <w:autoSpaceDE w:val="0"/>
        <w:autoSpaceDN w:val="0"/>
        <w:adjustRightInd w:val="0"/>
        <w:snapToGrid w:val="0"/>
        <w:spacing w:line="360" w:lineRule="auto"/>
        <w:ind w:left="120" w:rightChars="6" w:right="13"/>
        <w:rPr>
          <w:rFonts w:ascii="宋体" w:hAnsi="宋体"/>
          <w:kern w:val="0"/>
          <w:szCs w:val="24"/>
        </w:rPr>
        <w:sectPr w:rsidR="00F010D2">
          <w:pgSz w:w="11920" w:h="16840"/>
          <w:pgMar w:top="1480" w:right="1680" w:bottom="280" w:left="1680" w:header="0" w:footer="1073" w:gutter="0"/>
          <w:cols w:space="720"/>
        </w:sectPr>
      </w:pPr>
    </w:p>
    <w:p w:rsidR="00F010D2" w:rsidRDefault="00322880">
      <w:pPr>
        <w:pStyle w:val="1"/>
        <w:snapToGrid w:val="0"/>
        <w:spacing w:beforeLines="0" w:before="240" w:after="240"/>
        <w:rPr>
          <w:rFonts w:ascii="宋体" w:hAnsi="宋体"/>
          <w:szCs w:val="30"/>
        </w:rPr>
      </w:pPr>
      <w:bookmarkStart w:id="4" w:name="_Toc240548844"/>
      <w:r>
        <w:rPr>
          <w:rFonts w:ascii="Times New Roman" w:hAnsi="Times New Roman"/>
          <w:sz w:val="30"/>
        </w:rPr>
        <w:lastRenderedPageBreak/>
        <w:t>一、绪言</w:t>
      </w:r>
      <w:bookmarkEnd w:id="4"/>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成长动力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成长动力一年持有期混合型证券投资基金基金合同》（以下简称“基金合同”）编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5" w:name="_Toc240548845"/>
      <w:r>
        <w:rPr>
          <w:rFonts w:ascii="Times New Roman" w:hAnsi="Times New Roman"/>
          <w:sz w:val="30"/>
        </w:rPr>
        <w:lastRenderedPageBreak/>
        <w:t>二、释义</w:t>
      </w:r>
      <w:bookmarkEnd w:id="5"/>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1、基金或本基金：指交银施罗德成长动力一年持有期混合型证券投资基金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4、基金合同：指《交银施罗德成长动力一年持有期混合型证券投资基金基金合同》及对基金合同的任何有效修订和补充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5、托管协议：指基金管理人与基金托管人就本基金签订之《交银施罗德成长动力一年持有期混合型证券投资基金托管协议》及对该托管协议的任何有效修订和补充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6、招募说明书或本招募说明书：指《交银施罗德成长动力一年持有期混合型证券投资基金招募说明书》及其更新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7、基金产品资料概要：指《交银施罗德成长动力一年持有期混合型证券投资基金基金产品资料概要》及其更新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8、基金份额发售公告：指《交银施罗德成长动力一年持有期混合型证券投资基金基金份额发售公告》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及相关法律法规规定使用来自境外的资金进行境内证券期货投资的境外机构投资者，包括合格境外机构投资者和人民币合格境外机构投资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58、规定媒介：指符合中国证监会规定条件的用以进行信息披露的全国性报刊及《信息披露办法》规定的互联网网站（包括基金管理人网站、基金托管人网站、中国证监会基金电子披露网站）等媒介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6" w:name="_Toc240548846"/>
      <w:r>
        <w:rPr>
          <w:rFonts w:ascii="Times New Roman" w:hAnsi="Times New Roman"/>
          <w:sz w:val="30"/>
        </w:rPr>
        <w:lastRenderedPageBreak/>
        <w:t>三、基金管理人</w:t>
      </w:r>
      <w:bookmarkEnd w:id="6"/>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基金经理。复旦大学金融学硕士、南京大学工学学士，17年证券投资行业从业经验。2009年至2010年任野村证券亚太区股票研究部研究助理，2010年至2013年任中银国际证券研究部研究员、高级经理，2013年至2015年任瑞银证券研究部行业分析师、董事。2015年加入交银施罗德基金管理有限公司，现任跨境投资部基金经理。曾任交银施罗德环球精选价值证券投资基金(2015年12月12日至2024年06月06日)、交银施罗德全球自然资源证券投资基金(2015年12月12日至2019年09月19日)、交银施罗德启道混合型证券投资基金(2021年01月28日至2026年07月22日)的基金经理。现任交银施罗德创新成长混合型证券投资基金(2018年09月27日至今)、交银施罗德启欣混合型证券投资基金(2020年10月28日至今)、交银施罗德成长动力一年持有期混合型证券投资基金(2021年06月11日至今)的基金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7" w:name="_Toc240548847"/>
      <w:r>
        <w:rPr>
          <w:rFonts w:ascii="Times New Roman" w:hAnsi="Times New Roman"/>
          <w:sz w:val="30"/>
        </w:rPr>
        <w:lastRenderedPageBreak/>
        <w:t>四、基金托管人</w:t>
      </w:r>
      <w:bookmarkEnd w:id="7"/>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联系人：汪小敏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截止2026年3月31日，上海浦东发展银行证券投资基金托管规模为16599.55亿元，托管证券投资基金共541只。</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8" w:name="_Toc240548848"/>
      <w:r>
        <w:rPr>
          <w:rFonts w:ascii="Times New Roman" w:hAnsi="Times New Roman"/>
          <w:sz w:val="30"/>
        </w:rPr>
        <w:lastRenderedPageBreak/>
        <w:t>五、相关服务机构</w:t>
      </w:r>
      <w:bookmarkEnd w:id="8"/>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个人投资者可以通过基金管理人网上直销交易平台办理开户、本基金的申购、赎回、转换以及定期定额投资等业务，具体交易细则请参阅基金管理人网站。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住所：宁波市江东区中山东路294号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（9）名称：中国银河证券股份有限公司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（11）名称：中国中金财富证券有限公司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（12）名称：山西证券股份有限公司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（13）名称：国投证券股份有限公司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电话：（0755）81688000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（14）名称：中信建投证券股份有限公司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（15）名称：中原证券股份有限公司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（16）名称：东方财富证券股份有限公司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（17）名称：国信证券股份有限公司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住所：深圳市罗湖区红岭中路1012号国信证券大厦16-26楼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（18）名称：金融街证券股份有限公司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（19）名称：华泰证券股份有限公司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（20）名称：湘财证券股份有限公司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法定代表人：林俊波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（21）名称：兴业证券股份有限公司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（22）名称：华龙证券股份有限公司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（23）名称：长城国瑞证券有限公司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客户服务电话：400-0099-886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（24）名称：大同证券有限责任公司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（25）名称：招商证券股份有限公司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（27）名称：中信证券华南股份有限公司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（28）名称：第一创业证券股份有限公司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（30）名称：平安证券股份有限公司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传真：（0755）82400862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（31）名称：中信证券（山东）有限责任公司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（32）名称：申万宏源西部证券有限公司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（33）名称：华鑫证券有限责任公司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（34）名称：长城证券有限责任公司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传真：（0755）83516199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（35）名称：国金证券股份有限公司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（36）名称：国新证券股份有限公司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（37）名称：华西证券股份有限公司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（38）名称：西部证券股份有限公司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（39）名称：海通证券股份有限公司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（41）名称：大连网金基金销售有限公司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樊怀东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（42）名称：阳光人寿保险股份有限公司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（43）名称：京东肯特瑞基金销售有限公司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（44）名称：和耕传承基金销售有限公司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（45）名称：腾安基金销售（深圳）有限公司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（46）名称：珠海盈米基金销售有限公司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（47）名称：北京度小满基金销售有限公司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客户服务电话：95055-4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（48）名称：南京苏宁基金销售有限公司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（49）名称：嘉实财富管理有限公司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（50）名称：北京汇成基金销售有限公司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（51）名称：上海利得基金销售有限公司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上海浦东新区峨山路91弄61号陆家嘴软件园10号楼12楼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（52）名称：上海陆金所基金销售有限公司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（53）名称：上海挖财基金销售有限公司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（54）名称：万家财富基金销售（天津）有限公司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（55）名称：上海万得基金销售有限公司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（56）名称：深圳市金斧子基金销售有限公司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（57）名称：北京雪球基金销售有限公司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（58）名称：北京新浪仓石基金销售有限公司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（59）名称：中证金牛（北京）基金销售有限公司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（60）名称：上海证达通基金销售有限公司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（61）名称：奕丰基金销售有限公司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（62）名称：上海天天基金销售有限公司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（63）名称：和讯信息科技有限公司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（64）名称：诺亚正行基金销售有限公司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住所:上海市虹口区飞虹路360弄9号3724室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（65）名称：上海好买基金销售有限公司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（66）名称：上海长量基金销售有限公司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（67）名称：深圳众禄基金销售股份有限公司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（68）名称：蚂蚁（杭州）基金销售有限公司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（69）名称：中信期货有限公司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（70）名称：上海基煜基金销售有限公司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（71）名称：浙江同花顺基金销售有限公司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（72）名称：宜信普泽（北京）基金销售有限公司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（73）名称：上海联泰基金销售有限公司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网址：www.66liantai.com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（74）名称：泛华普益基金销售有限公司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（75）名称：北京展恒基金销售股份有限公司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（76）名称：北京创金启富基金销售有限公司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（77）名称：济安财富（北京）基金销售有限公司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办公地址：北京市朝阳区太阳宫中路16号院1号楼11层1105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（78）名称：博时财富基金销售有限公司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（79）名称：深圳前海微众银行股份有限公司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（80）名称：上海中欧财富基金销售有限公司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电话：021-68609600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（81）名称：中国人寿保险股份有限公司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（四）审计基金财产的会计师事务所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9" w:name="_Toc240548849"/>
      <w:r>
        <w:rPr>
          <w:rFonts w:ascii="Times New Roman" w:hAnsi="Times New Roman"/>
          <w:sz w:val="30"/>
        </w:rPr>
        <w:lastRenderedPageBreak/>
        <w:t>六、基金的募集</w:t>
      </w:r>
      <w:bookmarkEnd w:id="9"/>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本基金由基金管理人依照《基金法》、《运作办法》、《销售办法》、基金合同及其他有关规定，并经中国证监会2020年12月14日证监许可【2020】3454号文准予募集注册。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本基金于2021年6月1日至2021年6月8日进行发售，本基金设立募集期共募集3,556,376,123.04份基金份额，有效认购户数为35,778户。</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0" w:name="_Toc240548850"/>
      <w:r>
        <w:rPr>
          <w:rFonts w:ascii="Times New Roman" w:hAnsi="Times New Roman"/>
          <w:sz w:val="30"/>
        </w:rPr>
        <w:lastRenderedPageBreak/>
        <w:t>七、基金合同的生效</w:t>
      </w:r>
      <w:bookmarkEnd w:id="10"/>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根据有关规定，本基金满足基金合同生效条件，基金合同已于2021年6月11日正式生效。自基金合同生效之日起，本基金管理人正式开始管理本基金。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1" w:name="_Toc240548851"/>
      <w:r>
        <w:rPr>
          <w:rFonts w:ascii="Times New Roman" w:hAnsi="Times New Roman"/>
          <w:sz w:val="30"/>
        </w:rPr>
        <w:lastRenderedPageBreak/>
        <w:t>八、基金份额的申购与赎回</w:t>
      </w:r>
      <w:bookmarkEnd w:id="11"/>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本基金已于2021年9月8日起开放申购业务。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本基金已于2022年6月13日起开放赎回业务。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遇交易所或交易市场数据传输延迟、通讯系统故障、银行数据交换系统故障、港股通交易系统、港股通资金交收规则限制或其他非基金管理人及基金托管人所能控制的因素影响业务处理流程，则赎回款项划付时间相应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本基金A类基金份额的申购费用由申购A类基金份额的基金申购人承担，不列入基金财产，主要用于本基金的市场推广、销售、登记等各项费用。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基金份额持有人持有的每份基金份额最短持有期限为一年，本基金不收取赎回费用。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例四：某投资者（非养老金客户）投资40,000元申购本基金A类基金份额，假设申购当日A类基金份额净值为1.0400元，申购费率为1.5%，则其可得到的申购份额为：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例五：某养老金客户投资100,000元通过基金管理人的直销柜台申购本基金A类基金份额，假设申购当日A类基金份额净值为1.0400元，申购费率为0.6%，则其可得到的申购份额为：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例六：某投资者投资100,000元申购本基金的C类基金份额，假设申购当日C类基金份额净值为1.0400元，则其可得到的申购份额为：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基金份额持有人持有的每份基金份额最短持有期限为一年，本基金不收取赎回费用。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赎回金额=10,000×1.0160＝10,160.00元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即：投资者赎回本基金10,000份基金份额，假设赎回当日基金份额净值是1.0160元，则其可得到的赎回金额为10,160.00元。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4、接受某笔或某些申购申请可能会影响或损害现有基金份额持有人利益时。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w:t>
      </w:r>
      <w:r>
        <w:rPr>
          <w:rFonts w:ascii="宋体" w:hAnsi="宋体"/>
          <w:sz w:val="24"/>
        </w:rPr>
        <w:lastRenderedPageBreak/>
        <w:t>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w:t>
      </w:r>
      <w:r>
        <w:rPr>
          <w:rFonts w:ascii="宋体" w:hAnsi="宋体"/>
          <w:sz w:val="24"/>
        </w:rPr>
        <w:lastRenderedPageBreak/>
        <w:t>产生的非交易过户以及登记机构认可、符合法律法规的其它非交易过户。无论在上述何种情况下，接受划转的主体必须是依法可以持有本基金基金份额的投资人。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本基金2021年9月4日刊登公告自2021年9月8日起开通定期定额投资计划业务，具体开通销售机构名单和业务规则参见相关公告。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（十八）其他业务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2" w:name="_Toc240548852"/>
      <w:r>
        <w:rPr>
          <w:rFonts w:ascii="Times New Roman" w:hAnsi="Times New Roman"/>
          <w:sz w:val="30"/>
        </w:rPr>
        <w:lastRenderedPageBreak/>
        <w:t>九、基金的转换</w:t>
      </w:r>
      <w:bookmarkEnd w:id="12"/>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本基金2022年6月9日刊登公告自2022年6月13日起开放日常转换业务。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3" w:name="_Toc240548853"/>
      <w:r>
        <w:rPr>
          <w:rFonts w:ascii="Times New Roman" w:hAnsi="Times New Roman"/>
          <w:sz w:val="30"/>
        </w:rPr>
        <w:lastRenderedPageBreak/>
        <w:t>十、基金的投资</w:t>
      </w:r>
      <w:bookmarkEnd w:id="13"/>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（1）“成长动力”主题界定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随着第四次科技革命的发生和发展，万物互联时代到来，信息和数据成为决定性的生产工具之一。经济的发展动力从工业化、电气化转向科技创新，转向数字化和智能化。在把握住经济发展动力的前提下，优秀的企业才能够快速发展壮大，给投资者带来超额回报。本基金将重点投资数字时代发展大背景之下，反应时代成长特质和未来成长动力的优质企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成长动力”主题覆盖的上市公司主要从两个方面进行筛选：一方面，本基金从基本面出发，注重挖掘当前发展过程当中重要的社会和科技发展趋势，所选择的行业和个股需要和当前的成长动力及方向相一致。另一方面，本基金将积极关注持续创新的企业和企业家，特别是通过不断的创新和商业化落地引领行业发展的企业。本基金将优先选择平台型商业模式、公司质地优秀的企业，这类企业较高的护城河，可以不断为投资者创造持续的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w:t>
      </w:r>
      <w:r>
        <w:rPr>
          <w:rFonts w:ascii="宋体" w:hAnsi="宋体"/>
          <w:sz w:val="24"/>
        </w:rPr>
        <w:lastRenderedPageBreak/>
        <w:t>票池。主要筛选指标包括：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成长动力主题相关股票的投资策略，优先将基本面健康、业绩向上弹性较大、具有估值优势的港股纳入本基金的股票投资组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最后，本基金根据对个股价值的评估和市场机会的判断构建股票组合，其中投资于成长动力主题相关证券的比例不低于非现金基金资产的80%。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w:t>
      </w:r>
      <w:r>
        <w:rPr>
          <w:rFonts w:ascii="宋体" w:hAnsi="宋体"/>
          <w:sz w:val="24"/>
        </w:rPr>
        <w:lastRenderedPageBreak/>
        <w:t>略、类属配置策略、期限结构配置策略、回购策略、信用债券投资策略、可转换债券投资策略等多种策略，以期获取债券市场的长期稳定收益。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（1）股票投资（含存托凭证）占基金资产的比例为60%-95%（其中投资于港股通标的股票的比例占股票资产的0%-50%），投资于成长动力主题相关证券的比例不低于非现金基金资产的80%；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（2）违反规定向他人贷款或者提供担保；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本基金业绩比较基准：沪深300成长指数收益率×55%+中证港股通综合指数（人民币）收益率×30%+中债-国债总财富（1-3年）指数收益率×15%</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比例为60%-95%（其中投资于港股通标的股票的比例占股票资产的0%-50%）等投资比例限制，以及预期的资产配置比例，本基金将股票资产与债券资产所对应的基准要素权重分别设置为85%与15%，其中将股票资产中的A股股票与港股通标的股票所对应的基准要素权重分别设置为55%与30%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w:t>
      </w:r>
      <w:r>
        <w:rPr>
          <w:rFonts w:ascii="宋体" w:hAnsi="宋体"/>
          <w:sz w:val="24"/>
        </w:rPr>
        <w:lastRenderedPageBreak/>
        <w:t>300成长指数和中证港股通综合指数（人民币）分别作为A股股票和港股通标的股票部分的业绩比较基准要素。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由从沪深300指数样本中，选取成长得分最高的100只证券作为沪深300成长指数样本，反映沪深300指数样本中具有成长特征的上市公司证券的整体表现，适合作为本基金A股股票部分的业绩比较基准要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沪深300成长指数由中证指数有限公司编制发布，指数代码为000918，指数具体信息详见中证指数有限公司网站，网址：www.csindex.com.cn。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成长指数、中证港股通综合指数（人民币）、中债-国债总财富（1-3年）指数的每日收益率，再按照预设权重比</w:t>
      </w:r>
      <w:r>
        <w:rPr>
          <w:rFonts w:ascii="宋体" w:hAnsi="宋体"/>
          <w:sz w:val="24"/>
        </w:rPr>
        <w:lastRenderedPageBreak/>
        <w:t>例计算当日组合要素基准的日收益率，并连乘每日收益率。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本基金是一只混合型基金，其预期风险和预期收益高于债券型基金和货币市场基金，低于股票型基金。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（九）基金的投资组合报告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本基金托管人上海浦东发展银行股份有限公司根据本基金合同规定，于2026年04月20日复核了本报告中的财务指标、净值表现和投资组合报告等内容，保证复核内容不存在虚假记载、误导性陈述或者重大遗漏。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880,825,506.91</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85.99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880,825,506.91</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85.99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134,618,026.21</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8,874,770.19</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0.87</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1,024,318,303.31</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注：本基金本报告期末通过港股通机制投资香港股票的公允价值为346,590,844.36元，占基金资产净值比例为34.36%。</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248,657,178.37</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24.65</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107,153,013.06</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10.62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45,825,048.00</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68,676,427.09</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6.81</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18,453,636.00</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1.83</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45,258,335.32</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534,234,662.55</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52.96</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139,832,067.48</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13.86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82,349,921.06</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8.16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60,234,849.00</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57,516,563.82</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6,657,443.00</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346,590,844.36</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34.36</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192,700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82,349,921.06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8.16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60,234,849.00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465,400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59,008,819.95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939,080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51,855,997.60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5.14</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206,656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48,266,575.36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4.78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600030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中信证券</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1,906,200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45,825,048.00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460,870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45,211,347.00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4.48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00268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金蝶国际</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5,377,000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40,687,121.83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4.03</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386,400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40,599,453.72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4.02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03690 HK</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549,200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40,223,793.81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3.99</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2025年12月31日,央行重庆市分行公示渝银罚决字[2025]35号行政处罚决定书，给予美团旗下重庆美团三快小额贷款有限公司56.7万元人民币的罚款行政处罚。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w:t>
      </w:r>
      <w:r>
        <w:rPr>
          <w:rFonts w:ascii="宋体" w:hAnsi="宋体"/>
          <w:sz w:val="24"/>
        </w:rPr>
        <w:lastRenderedPageBreak/>
        <w:t>特别是重仓证券的投资有严格的投资决策流程控制，对上述主体发行证券的投资决策程序符合公司投资制度的规定。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677,434.77</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8,158,016.41</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39,319.01</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right"/>
              <w:rPr>
                <w:rFonts w:ascii="宋体" w:hAnsi="宋体"/>
                <w:color w:val="000000"/>
                <w:kern w:val="0"/>
                <w:sz w:val="25"/>
                <w:szCs w:val="24"/>
              </w:rPr>
            </w:pPr>
            <w:r>
              <w:rPr>
                <w:rFonts w:ascii="Times New Roman" w:hAnsi="Times New Roman"/>
                <w:color w:val="000000"/>
                <w:kern w:val="0"/>
                <w:sz w:val="25"/>
                <w:szCs w:val="24"/>
              </w:rPr>
              <w:t>8,874,770.19</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4" w:name="_Toc240548854"/>
      <w:r>
        <w:rPr>
          <w:rFonts w:ascii="Times New Roman" w:hAnsi="Times New Roman"/>
          <w:sz w:val="30"/>
        </w:rPr>
        <w:lastRenderedPageBreak/>
        <w:t>十一、基金的业绩</w:t>
      </w:r>
      <w:bookmarkEnd w:id="14"/>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（1）交银成长动力持有期混合A：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-6.62%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-22.05%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-14.55%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-25.52%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-10.23%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（2）交银成长动力持有期混合C：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-13.51%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-10.87%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17.30%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3.64%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-22.51%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-15.01%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-25.98%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-10.69%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F010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2、自基金合同生效以来基金份额累计净值增长率变动及其与同期业绩比较基准收益率变动的比较</w:t>
      </w:r>
    </w:p>
    <w:p w:rsidR="00F010D2" w:rsidRDefault="0032288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交银成长动力一年持有期混合型证券投资基金</w:t>
      </w:r>
    </w:p>
    <w:p w:rsidR="00F010D2" w:rsidRDefault="0032288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F010D2" w:rsidRDefault="0032288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（2021年6月11日至2026年03月31日）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（1）交银成长动力持有期混合A</w:t>
      </w:r>
    </w:p>
    <w:p w:rsidR="00F010D2" w:rsidRDefault="009E353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（2）交银成长动力持有期混合C</w:t>
      </w:r>
    </w:p>
    <w:p w:rsidR="00F010D2" w:rsidRDefault="009E353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5" w:name="_Toc240548855"/>
      <w:r>
        <w:rPr>
          <w:rFonts w:ascii="Times New Roman" w:hAnsi="Times New Roman"/>
          <w:sz w:val="30"/>
        </w:rPr>
        <w:lastRenderedPageBreak/>
        <w:t>十二、基金的财产</w:t>
      </w:r>
      <w:bookmarkEnd w:id="15"/>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6" w:name="_Toc240548856"/>
      <w:r>
        <w:rPr>
          <w:rFonts w:ascii="Times New Roman" w:hAnsi="Times New Roman"/>
          <w:sz w:val="30"/>
        </w:rPr>
        <w:lastRenderedPageBreak/>
        <w:t>十三、基金资产的估值</w:t>
      </w:r>
      <w:bookmarkEnd w:id="16"/>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6、估值计算中涉及港币对人民币汇率的，将依据下列信息提供机构所提供的汇率为基准：当日中国人民银行或其授权机构公布的人民币汇率中间价。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8、当发生大额申购或赎回情形时，基金管理人可以采用摆动定价机制，以确保基金估值的公平性。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并报中国证监会备案；错误偏差达到基金份额净值的0.5%时，基金管理人应当公告，并报中国证监会备案。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7" w:name="_Toc240548857"/>
      <w:r>
        <w:rPr>
          <w:rFonts w:ascii="Times New Roman" w:hAnsi="Times New Roman"/>
          <w:sz w:val="30"/>
        </w:rPr>
        <w:lastRenderedPageBreak/>
        <w:t>十四、基金收益与分配</w:t>
      </w:r>
      <w:bookmarkEnd w:id="17"/>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8" w:name="_Toc240548858"/>
      <w:r>
        <w:rPr>
          <w:rFonts w:ascii="Times New Roman" w:hAnsi="Times New Roman"/>
          <w:sz w:val="30"/>
        </w:rPr>
        <w:lastRenderedPageBreak/>
        <w:t>十五、基金的费用与税收</w:t>
      </w:r>
      <w:bookmarkEnd w:id="18"/>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19" w:name="_Toc240548859"/>
      <w:r>
        <w:rPr>
          <w:rFonts w:ascii="Times New Roman" w:hAnsi="Times New Roman"/>
          <w:sz w:val="30"/>
        </w:rPr>
        <w:lastRenderedPageBreak/>
        <w:t>十六、基金的会计与审计</w:t>
      </w:r>
      <w:bookmarkEnd w:id="19"/>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7、基金托管人每月与基金管理人就基金的会计核算、报表编制等进行核对并以书面方式或双方认可的其他方式确认。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0" w:name="_Toc240548860"/>
      <w:r>
        <w:rPr>
          <w:rFonts w:ascii="Times New Roman" w:hAnsi="Times New Roman"/>
          <w:sz w:val="30"/>
        </w:rPr>
        <w:lastRenderedPageBreak/>
        <w:t>十七、基金的信息披露</w:t>
      </w:r>
      <w:bookmarkEnd w:id="20"/>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1" w:name="_Toc240548861"/>
      <w:r>
        <w:rPr>
          <w:rFonts w:ascii="Times New Roman" w:hAnsi="Times New Roman"/>
          <w:sz w:val="30"/>
        </w:rPr>
        <w:lastRenderedPageBreak/>
        <w:t>十八、侧袋机制</w:t>
      </w:r>
      <w:bookmarkEnd w:id="21"/>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1、本基金实施侧袋机制的，管理费、托管费按主袋账户基金资产净值作为基数计提。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010D2" w:rsidRDefault="00322880">
      <w:pPr>
        <w:pStyle w:val="1"/>
        <w:snapToGrid w:val="0"/>
        <w:spacing w:beforeLines="0" w:before="240" w:after="240"/>
        <w:rPr>
          <w:rFonts w:ascii="宋体" w:hAnsi="宋体"/>
          <w:szCs w:val="30"/>
        </w:rPr>
      </w:pPr>
      <w:bookmarkStart w:id="22" w:name="_Toc240548862"/>
      <w:r>
        <w:rPr>
          <w:rFonts w:ascii="Times New Roman" w:hAnsi="Times New Roman"/>
          <w:sz w:val="30"/>
        </w:rPr>
        <w:lastRenderedPageBreak/>
        <w:t>十九、风险揭示</w:t>
      </w:r>
      <w:bookmarkEnd w:id="22"/>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一年，对于满足最短持有期限的投资人，在基金的所有开放日，基金管理人都有义务接受投资人的赎回。如果基金资产不能迅速转变成现金，或者变现为现金时使资金净值产生不利的影响，都会影响基金运作和收益水平。尤其是在发生巨额赎回</w:t>
      </w:r>
      <w:r>
        <w:rPr>
          <w:rFonts w:ascii="宋体" w:hAnsi="宋体"/>
          <w:sz w:val="24"/>
        </w:rPr>
        <w:lastRenderedPageBreak/>
        <w:t>时，如果基金资产变现能力差，可能会产生基金仓位调整的困难，导致流动性风险，可能影响基金份额净值。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对于每份基金份额，自其最短持有期限届满的下一工作日起（含该日），基金份额持有人方可就该基金份额提出赎回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（3）退市风险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（十）投资港股通标的股票的特定风险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w:t>
      </w:r>
      <w:r>
        <w:rPr>
          <w:rFonts w:ascii="宋体" w:hAnsi="宋体"/>
          <w:sz w:val="24"/>
        </w:rPr>
        <w:lastRenderedPageBreak/>
        <w:t>象、税务政策等方面都有一定的限制，而且此类限制可能会不断调整，这些限制因素的变化可能对本基金进入或退出当地市场造成障碍，从而对投资收益以及正常的申购赎回产生直接或间接的影响。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w:t>
      </w:r>
      <w:r>
        <w:rPr>
          <w:rFonts w:ascii="宋体" w:hAnsi="宋体"/>
          <w:sz w:val="24"/>
        </w:rPr>
        <w:lastRenderedPageBreak/>
        <w:t>日的，以投票截止日的持有作为计算基准；投票数量超出持有数量的，按照比例分配持有基数。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 投资存托凭证的特定风险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3" w:name="_Toc240548863"/>
      <w:r>
        <w:rPr>
          <w:rFonts w:ascii="Times New Roman" w:hAnsi="Times New Roman"/>
          <w:sz w:val="30"/>
        </w:rPr>
        <w:lastRenderedPageBreak/>
        <w:t>二十、基金合同的变更、终止与基金财产的清算</w:t>
      </w:r>
      <w:bookmarkEnd w:id="23"/>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4" w:name="_Toc240548864"/>
      <w:r>
        <w:rPr>
          <w:rFonts w:ascii="Times New Roman" w:hAnsi="Times New Roman"/>
          <w:sz w:val="30"/>
        </w:rPr>
        <w:lastRenderedPageBreak/>
        <w:t>二十一、基金合同内容摘要</w:t>
      </w:r>
      <w:bookmarkEnd w:id="24"/>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w:t>
      </w:r>
      <w:r>
        <w:rPr>
          <w:rFonts w:ascii="宋体" w:hAnsi="宋体"/>
          <w:sz w:val="24"/>
        </w:rPr>
        <w:lastRenderedPageBreak/>
        <w:t>加收取表决意见的，不影响表决效力；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或变更的，基金管理人经与基金托管人协商一致并提前公告后，可直接对本部分内容进行修改和调整，无需召开基金份额持有人大会审议。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w:t>
      </w:r>
      <w:r>
        <w:rPr>
          <w:rFonts w:ascii="宋体" w:hAnsi="宋体"/>
          <w:sz w:val="24"/>
        </w:rPr>
        <w:lastRenderedPageBreak/>
        <w:t>定，仲裁费由败诉方承担。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5" w:name="_Toc240548865"/>
      <w:r>
        <w:rPr>
          <w:rFonts w:ascii="Times New Roman" w:hAnsi="Times New Roman"/>
          <w:sz w:val="30"/>
        </w:rPr>
        <w:lastRenderedPageBreak/>
        <w:t>二十二、托管协议的内容摘要</w:t>
      </w:r>
      <w:bookmarkEnd w:id="25"/>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 有限责任公司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w:t>
      </w:r>
      <w:r>
        <w:rPr>
          <w:rFonts w:ascii="宋体" w:hAnsi="宋体"/>
          <w:sz w:val="24"/>
        </w:rPr>
        <w:lastRenderedPageBreak/>
        <w:t>等）、资产支持证券、货币市场工具、债券回购、同业存单、银行存款（含协议存款、定期存款及其他银行存款）、股指期货以及法律法规或中国证监会允许基金投资的其他金融工具（但须符合中国证监会相关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1）股票投资（含存托凭证）占基金资产的比例为60%-95%（其中投资于港股通标的股票的比例占股票资产的0%-50%），投资于成长动力主题相关证券的比例不低</w:t>
      </w:r>
      <w:r>
        <w:rPr>
          <w:rFonts w:ascii="宋体" w:hAnsi="宋体"/>
          <w:sz w:val="24"/>
        </w:rPr>
        <w:lastRenderedPageBreak/>
        <w:t>于非现金基金资产的80%；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w:t>
      </w:r>
      <w:r>
        <w:rPr>
          <w:rFonts w:ascii="宋体" w:hAnsi="宋体"/>
          <w:sz w:val="24"/>
        </w:rPr>
        <w:lastRenderedPageBreak/>
        <w:t>15%；因证券市场波动、上市公司股票停牌、基金规模变动等基金管理人之外的因素致使基金不符合该比例限制的，基金管理人不得主动新增流动性受限资产的投资；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①本基金在任何交易日日终，持有的买入股指期货合约价值，不得超过基金资产净值的10%；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③本基金在任何交易日日终，持有的卖出股指期货合约价值不得超过基金持有的股票总市值的20%；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④本基金所持有的股票市值和买入、卖出股指期货合约价值，合计（轧差计算）应当符合基金合同关于股票投资比例的有关约定；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基金托管人对上述指标的监督义务，仅限于监督由基金管理人管理且由托管人</w:t>
      </w:r>
      <w:r>
        <w:rPr>
          <w:rFonts w:ascii="宋体" w:hAnsi="宋体"/>
          <w:sz w:val="24"/>
        </w:rPr>
        <w:lastRenderedPageBreak/>
        <w:t>托管的全部公募基金是否符合上述比例限制。《基金法》及其他有关法律法规或监管部门取消上述限制的，如适用于本基金，基金管理人在履行适当程序后，则本基金投资不再受相关限制。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w:t>
      </w:r>
      <w:r>
        <w:rPr>
          <w:rFonts w:ascii="宋体" w:hAnsi="宋体"/>
          <w:sz w:val="24"/>
        </w:rPr>
        <w:lastRenderedPageBreak/>
        <w:t>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基金托管人依据有关法律法规的规定和《基金合同》的约定，对基金银行存款业务进行监督。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3）基金拟认购的数量、价格、总成本、账面价值。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w:t>
      </w:r>
      <w:r>
        <w:rPr>
          <w:rFonts w:ascii="宋体" w:hAnsi="宋体"/>
          <w:sz w:val="24"/>
        </w:rPr>
        <w:lastRenderedPageBreak/>
        <w:t>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w:t>
      </w:r>
      <w:r>
        <w:rPr>
          <w:rFonts w:ascii="宋体" w:hAnsi="宋体"/>
          <w:sz w:val="24"/>
        </w:rPr>
        <w:lastRenderedPageBreak/>
        <w:t>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期货结算账户及投资所需其他账户、是否复核基金管理人计算的基金资产净值和各类基金份额净值、是否根据基金管理人指令办理清算交收、进行相关信息披露和监督基金投资运作等行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w:t>
      </w:r>
      <w:r>
        <w:rPr>
          <w:rFonts w:ascii="宋体" w:hAnsi="宋体"/>
          <w:sz w:val="24"/>
        </w:rPr>
        <w:lastRenderedPageBreak/>
        <w:t>提出警告仍不改正的，基金管理人应报告中国证监会。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（3）基金托管人按照规定为托管的基金财产开设资金账户、证券账户、期货结算账户及投资所需其他账户。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以基金的名义在其营业机构开设资产托管专户，并根据基金管理人合法合规的有效指令办理资金收付。基金管理人应根据法律法规及托管行的相关要求，提供开户所需的资料并提供其他必要协助。本基金的资产托管专户的预留印鉴的印章由基金托管人刻制、保管和使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w:t>
      </w:r>
      <w:r>
        <w:rPr>
          <w:rFonts w:ascii="宋体" w:hAnsi="宋体"/>
          <w:sz w:val="24"/>
        </w:rPr>
        <w:lastRenderedPageBreak/>
        <w:t>券市场准入备案。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w:t>
      </w:r>
      <w:r>
        <w:rPr>
          <w:rFonts w:ascii="宋体" w:hAnsi="宋体"/>
          <w:sz w:val="24"/>
        </w:rPr>
        <w:lastRenderedPageBreak/>
        <w:t>达、挂号邮寄等安全方式将合同原件送达基金托管人处。合同原件应存放于基金管理人和基金托管人各自文件保管部门，保管期限不低于法律法规规定的最低期限。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对基金资产估值。但基金管理人根据法律法规或基金合同的规定暂停估值时除外。估值原则应符合《基金合同》、《证券投资基金会计核算业务指引》及其他法律、法规的规定。基金管理人应于每个工作日交易结束后计算当日的各类基金份额净值和基金资产净值并以双方认可的方式发送给基金托管人。基金托管人对净值计算结果复核后以双方认可的方式发送给基金管理人，由基金管理人约定对外公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（4）基金管理人和基金托管人由于各自技术系统设置而产生的净值计算尾差，以基金管理人计算结果为准。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法律法规、中国证监会和《基金合同》认定的其他情形。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w:t>
      </w:r>
      <w:r>
        <w:rPr>
          <w:rFonts w:ascii="宋体" w:hAnsi="宋体"/>
          <w:sz w:val="24"/>
        </w:rPr>
        <w:lastRenderedPageBreak/>
        <w:t>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1、本协议适用中华人民共和国法律（为本协议之目的，在此不包括香港、澳门特别行政区和台湾地区法律），并从其解释。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w:t>
      </w:r>
      <w:r>
        <w:rPr>
          <w:rFonts w:ascii="宋体" w:hAnsi="宋体"/>
          <w:sz w:val="24"/>
        </w:rPr>
        <w:lastRenderedPageBreak/>
        <w:t>管人、符合《中华人民共和国证券法》规定的注册会计师、律师以及中国证监会指定的人员组成。基金财产清算小组可以聘用必要的工作人员。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4、基金财产清算账册及文件的保存</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6" w:name="_Toc240548866"/>
      <w:r>
        <w:rPr>
          <w:rFonts w:ascii="Times New Roman" w:hAnsi="Times New Roman"/>
          <w:sz w:val="30"/>
        </w:rPr>
        <w:lastRenderedPageBreak/>
        <w:t>二十三、对基金份额持有人的服务</w:t>
      </w:r>
      <w:bookmarkEnd w:id="26"/>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转换和定期定额投资及本基金C类基金份额的申购、赎回、转换和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（四）基金转换业务</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7" w:name="_Toc240548867"/>
      <w:r>
        <w:rPr>
          <w:rFonts w:ascii="Times New Roman" w:hAnsi="Times New Roman"/>
          <w:sz w:val="30"/>
        </w:rPr>
        <w:lastRenderedPageBreak/>
        <w:t>二十四、其他应披露事项</w:t>
      </w:r>
      <w:bookmarkEnd w:id="27"/>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交银施罗德基金管理有限公司关于增加西部证券股份有限公司为旗下基金的销售机构的公告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2025-08-22</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010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010D2" w:rsidRDefault="00322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8" w:name="_Toc240548868"/>
      <w:r>
        <w:rPr>
          <w:rFonts w:ascii="Times New Roman" w:hAnsi="Times New Roman"/>
          <w:sz w:val="30"/>
        </w:rPr>
        <w:lastRenderedPageBreak/>
        <w:t>二十五、招募说明书的存放及查阅方式</w:t>
      </w:r>
      <w:bookmarkEnd w:id="28"/>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2288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010D2" w:rsidRDefault="00322880">
      <w:pPr>
        <w:pStyle w:val="1"/>
        <w:snapToGrid w:val="0"/>
        <w:spacing w:beforeLines="0" w:before="240" w:after="240"/>
        <w:rPr>
          <w:rFonts w:ascii="宋体" w:hAnsi="宋体"/>
          <w:szCs w:val="30"/>
        </w:rPr>
      </w:pPr>
      <w:bookmarkStart w:id="29" w:name="_Toc240548869"/>
      <w:r>
        <w:rPr>
          <w:rFonts w:ascii="Times New Roman" w:hAnsi="Times New Roman"/>
          <w:sz w:val="30"/>
        </w:rPr>
        <w:lastRenderedPageBreak/>
        <w:t>二十六、备查文件</w:t>
      </w:r>
      <w:bookmarkEnd w:id="29"/>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（一）中国证监会准予交银施罗德成长动力一年持有期混合型证券投资基金募集注册的文件</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（二）《交银施罗德成长动力一年持有期混合型证券投资基金基金合同》</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（三）《交银施罗德成长动力一年持有期混合型证券投资基金托管协议》</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010D2" w:rsidRDefault="0032288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（六）关于申请募集注册交银施罗德成长动力一年持有期混合型证券投资基金的法律意见书</w:t>
      </w:r>
    </w:p>
    <w:sectPr w:rsidR="00F010D2">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240" w:rsidRDefault="00322880">
      <w:r>
        <w:separator/>
      </w:r>
    </w:p>
  </w:endnote>
  <w:endnote w:type="continuationSeparator" w:id="0">
    <w:p w:rsidR="007D6240" w:rsidRDefault="00322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F010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9E353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010D2" w:rsidRDefault="0032288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E353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F010D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9E353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010D2" w:rsidRDefault="0032288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E353A">
                  <w:rPr>
                    <w:rFonts w:ascii="Times New Roman" w:hAnsi="Times New Roman"/>
                    <w:noProof/>
                    <w:kern w:val="0"/>
                    <w:sz w:val="18"/>
                    <w:szCs w:val="18"/>
                  </w:rPr>
                  <w:t>164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240" w:rsidRDefault="00322880">
      <w:r>
        <w:separator/>
      </w:r>
    </w:p>
  </w:footnote>
  <w:footnote w:type="continuationSeparator" w:id="0">
    <w:p w:rsidR="007D6240" w:rsidRDefault="00322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F010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322880">
    <w:pPr>
      <w:pStyle w:val="a3"/>
      <w:jc w:val="right"/>
      <w:rPr>
        <w:rFonts w:ascii="宋体" w:hAnsi="宋体"/>
      </w:rPr>
    </w:pPr>
    <w:r>
      <w:rPr>
        <w:rFonts w:ascii="宋体" w:hAnsi="宋体" w:hint="eastAsia"/>
      </w:rPr>
      <w:t>交银施罗德成长动力一年持有期混合型证券投资基金招募说明书更新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F010D2">
    <w:pPr>
      <w:pStyle w:val="10"/>
      <w:jc w:val="right"/>
    </w:pPr>
  </w:p>
  <w:p w:rsidR="00F010D2" w:rsidRDefault="00F010D2">
    <w:pPr>
      <w:pStyle w:val="10"/>
      <w:jc w:val="right"/>
    </w:pPr>
  </w:p>
  <w:p w:rsidR="00F010D2" w:rsidRDefault="00F010D2">
    <w:pPr>
      <w:pStyle w:val="a3"/>
      <w:jc w:val="right"/>
    </w:pPr>
  </w:p>
  <w:p w:rsidR="00F010D2" w:rsidRDefault="00322880">
    <w:pPr>
      <w:pStyle w:val="a3"/>
      <w:jc w:val="right"/>
      <w:rPr>
        <w:rFonts w:ascii="宋体" w:hAnsi="宋体"/>
      </w:rPr>
    </w:pPr>
    <w:r>
      <w:rPr>
        <w:rFonts w:ascii="宋体" w:hAnsi="宋体" w:hint="eastAsia"/>
      </w:rPr>
      <w:t>交银施罗德成长动力一年持有期混合型证券投资基金招募说明书更新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0D2" w:rsidRDefault="00F010D2">
    <w:pPr>
      <w:pStyle w:val="a3"/>
      <w:jc w:val="right"/>
    </w:pPr>
  </w:p>
  <w:p w:rsidR="00F010D2" w:rsidRDefault="00F010D2">
    <w:pPr>
      <w:pStyle w:val="a3"/>
      <w:jc w:val="right"/>
    </w:pPr>
  </w:p>
  <w:p w:rsidR="00F010D2" w:rsidRDefault="00F010D2">
    <w:pPr>
      <w:pStyle w:val="a3"/>
      <w:jc w:val="right"/>
    </w:pPr>
  </w:p>
  <w:p w:rsidR="00F010D2" w:rsidRDefault="00322880">
    <w:pPr>
      <w:pStyle w:val="a3"/>
      <w:jc w:val="right"/>
      <w:rPr>
        <w:rFonts w:ascii="宋体" w:hAnsi="宋体"/>
      </w:rPr>
    </w:pPr>
    <w:r>
      <w:rPr>
        <w:rFonts w:ascii="宋体" w:hAnsi="宋体" w:hint="eastAsia"/>
      </w:rPr>
      <w:t>交银施罗德成长动力一年持有期混合型证券投资基金招募说明书更新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2880"/>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D6240"/>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53A"/>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10D2"/>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E67CDC2-4761-4CB7-9BE1-37D828CC1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165</Pages>
  <Words>17382</Words>
  <Characters>99083</Characters>
  <Application>Microsoft Office Word</Application>
  <DocSecurity>0</DocSecurity>
  <Lines>825</Lines>
  <Paragraphs>232</Paragraphs>
  <ScaleCrop>false</ScaleCrop>
  <Company>Microsoft</Company>
  <LinksUpToDate>false</LinksUpToDate>
  <CharactersWithSpaces>116233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