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交银施罗德稳安60天滚动持有债券型证券投资基金（C类份额）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交银稳安60天滚动持有债券C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017433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2023-01-09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每个开放日开放申购，对于每份基金份额设置60天滚动运作期，每个运作期到期日前不可赎回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姬静</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2023-01-09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2013-08-01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黄莹洁</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2023-11-16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2008-02-15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在严格控制风险和保持较高流动性的前提下，力求获得高于业绩比较基准的投资收益。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债券（含国债、金融债、央行票据、地方政府债、政府支持债、政府支持机构债、企业债、公司债、公开发行的次级债、短期融资券、超短期融资券、中期票据）、资产支持证券、债券回购、银行存款（包括定期存款、协议存款、通知存款等）、同业存单、货币市场工具、国债期货以及法律法规或中国证监会允许基金投资的其他金融工具（但须符合中国证监会相关规定）。本基金不投资于股票等权益类资产，也不投资于可转换债券、可交换债券。</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本基金投资于债券资产的比例不低于基金资产的80%。每个交易日日终在扣除国债期货合约需缴纳的交易保证金后，本基金持有的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久期调整策略；2、债券的类属配置策略；3、期限结构配置策略；4、回购策略；5、信用债券（含资产支持证券）投资策略；6、国债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中债-综合全价（1年以下）指数收益率×95%+活期存款基准利率×5%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本基金是一只债券型基金，其预期风险与预期收益理论上高于货币市场基金，低于混合型基金和股票型基金。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详见《交银施罗德稳安60天滚动持有债券型证券投资基金招募说明书》“基金的投资”。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2、本基金合同于2023年1月9日生效，合同生效当年净值增长率按实际存续期计算。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本基金对于每份基金份额设置60天的滚动运作期。每个运作期到期日，基金份额持有人可提出赎回申请。基金份额持有人在每个运作期到期日申请赎回C类基金份额不收取赎回费。</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60000.00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0.46%</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运作期不能赎回的风险。本基金对每份基金份额设置60天的滚动运作期。对于每份基金份额，基金管理人仅在该基金份额的每个运作期到期日为基金份额持有人办理赎回。如果基金份额持有人在当期运作期到期日未申请赎回或赎回被确认失败，则该基金份额将在该运作期到期日下一日起自动进入下一个运作期；在下一个运作期到期日前，基金份额持有人不能赎回该基金份额。因此基金份额持有人面临在滚动运作期内不能赎回基金份额的风险。</w:t>
      </w:r>
    </w:p>
    <w:p>
      <w:pPr>
        <w:ind w:firstLine="420"/>
        <w:jc w:val="left"/>
        <w:rPr>
          <w:rFonts w:ascii="仿宋_GB2312" w:eastAsia="仿宋_GB2312"/>
          <w:szCs w:val="21"/>
        </w:rPr>
      </w:pPr>
      <w:r>
        <w:rPr>
          <w:rFonts w:hint="eastAsia" w:ascii="仿宋_GB2312" w:eastAsia="仿宋_GB2312"/>
          <w:szCs w:val="21"/>
        </w:rPr>
        <w:t>（3）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6、投资国债期货的特定风险</w:t>
      </w:r>
    </w:p>
    <w:p>
      <w:pPr>
        <w:ind w:firstLine="420"/>
        <w:jc w:val="left"/>
        <w:rPr>
          <w:rFonts w:ascii="仿宋_GB2312" w:eastAsia="仿宋_GB2312"/>
          <w:szCs w:val="21"/>
        </w:rPr>
      </w:pPr>
      <w:r>
        <w:rPr>
          <w:rFonts w:hint="eastAsia" w:ascii="仿宋_GB2312" w:eastAsia="仿宋_GB2312"/>
          <w:szCs w:val="21"/>
        </w:rPr>
        <w:t>本基金可投资国债期货，国债期货的投资可能给本基金带来额外风险。国债期货的投资可能面临市场风险、基差风险、流动性风险。市场风险是因期货市场价格波动使所持有的期货合约价值发生变化的风险。基差风险是期货市场的特有风险之一，是指由于期货与现货之间价差的波动，影响套期保值或套利效果，使之发生意外损益的风险。流动性风险可分为两类：一类为流通量风险，是指期货合约无法及时以所希望的价格建立或了结头寸的风险，此类风险往往是由市场缺乏广度或深度导致的；另一类为资金量风险，是指资金量无法满足保证金要求，使得所持有的头寸面临被强制平仓的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●《交银施罗德稳安60天滚动持有债券型证券投资基金基金合同》、</w:t>
      </w:r>
    </w:p>
    <w:p>
      <w:pPr>
        <w:ind w:firstLine="420"/>
        <w:jc w:val="left"/>
        <w:rPr>
          <w:rFonts w:ascii="仿宋_GB2312" w:eastAsia="仿宋_GB2312"/>
          <w:szCs w:val="21"/>
        </w:rPr>
      </w:pPr>
      <w:r>
        <w:rPr>
          <w:rFonts w:hint="eastAsia" w:ascii="仿宋_GB2312" w:eastAsia="仿宋_GB2312"/>
          <w:szCs w:val="21"/>
        </w:rPr>
        <w:t>《交银施罗德稳安60天滚动持有债券型证券投资基金托管协议》、</w:t>
      </w:r>
    </w:p>
    <w:p>
      <w:pPr>
        <w:ind w:firstLine="420"/>
        <w:jc w:val="left"/>
        <w:rPr>
          <w:rFonts w:ascii="仿宋_GB2312" w:eastAsia="仿宋_GB2312"/>
          <w:szCs w:val="21"/>
        </w:rPr>
      </w:pPr>
      <w:r>
        <w:rPr>
          <w:rFonts w:hint="eastAsia" w:ascii="仿宋_GB2312" w:eastAsia="仿宋_GB2312"/>
          <w:szCs w:val="21"/>
        </w:rPr>
        <w:t>《交银施罗德稳安60天滚动持有债券型证券投资基金招募说明书》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20754"/>
    <w:rsid w:val="00F75715"/>
    <w:rsid w:val="00F811C4"/>
    <w:rsid w:val="00FC2918"/>
    <w:rsid w:val="372467DF"/>
    <w:rsid w:val="6D9221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654</Words>
  <Characters>3733</Characters>
  <Lines>31</Lines>
  <Paragraphs>8</Paragraphs>
  <TotalTime>2</TotalTime>
  <ScaleCrop>false</ScaleCrop>
  <LinksUpToDate>false</LinksUpToDate>
  <CharactersWithSpaces>4379</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2026-09-17T02:42:00Z</dcterms:created>
  <dc:creator>Cc</dc:creator>
  <cp:lastModifiedBy>haotingting</cp:lastModifiedBy>
  <dcterms:modified xsi:type="dcterms:W3CDTF">2026-09-17T08:22:33Z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002E4FDA6CD34FA4BA207D11B81FBF0E</vt:lpwstr>
  </property>
</Properties>
</file>