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交银施罗德瑞和三年持有期混合型证券投资基金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交银瑞和三年持有期混合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013269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2022-03-02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何帅</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2022-03-02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沪深300指数收益率×55%+中债-国债总财富（1-3年）指数收益率×20%+中证港股通综合指数（人民币）收益率×25%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详见《交银施罗德瑞和三年持有期混合型证券投资基金招募说明书》“基金的投资”。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2、本基金合同于2022年03月02日生效，合同生效当年净值增长率按实际存续期计算。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三年，最短持有期限届满后，本基金不收取赎回费。其中，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三年，在最短持有期限内该份基金份额不可赎回，自最短持有期限届满的下一工作日起（含该日）可赎回。对于每笔认购的基金份额而言，最短持有期限自基金合同生效之日起（含该日）至三年后的年度对日的前一日；对于每笔申购的基金份额而言，最短持有期限自该笔申购份额确认日（含该日）至三年后的年度对日的前一日。因此，对于基金份额持有人而言，存在投资本基金后三年内无法赎回的风险。</w:t>
      </w:r>
    </w:p>
    <w:p>
      <w:pPr>
        <w:ind w:firstLine="420"/>
        <w:jc w:val="left"/>
        <w:rPr>
          <w:rFonts w:ascii="仿宋_GB2312" w:eastAsia="仿宋_GB2312"/>
          <w:szCs w:val="21"/>
        </w:rPr>
      </w:pPr>
      <w:r>
        <w:rPr>
          <w:rFonts w:hint="eastAsia" w:ascii="仿宋_GB2312" w:eastAsia="仿宋_GB2312"/>
          <w:szCs w:val="21"/>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●《交银施罗德瑞和三年持有期混合型证券投资基金基金合同》、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《交银施罗德瑞和三年持有期混合型证券投资基金托管协议》、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《交银施罗德瑞和三年持有期混合型证券投资基金招募说明书》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E1735"/>
    <w:rsid w:val="00F75715"/>
    <w:rsid w:val="00F811C4"/>
    <w:rsid w:val="00FC2918"/>
    <w:rsid w:val="17146B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781</Words>
  <Characters>4455</Characters>
  <Lines>37</Lines>
  <Paragraphs>10</Paragraphs>
  <TotalTime>0</TotalTime>
  <ScaleCrop>false</ScaleCrop>
  <LinksUpToDate>false</LinksUpToDate>
  <CharactersWithSpaces>5226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2026-09-17T02:42:00Z</dcterms:created>
  <dc:creator>Cc</dc:creator>
  <cp:lastModifiedBy>haotingting</cp:lastModifiedBy>
  <dcterms:modified xsi:type="dcterms:W3CDTF">2026-09-17T08:08:08Z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5C3A002D083D410D94555768EB3136BF</vt:lpwstr>
  </property>
</Properties>
</file>