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F97368">
      <w:pPr>
        <w:rPr>
          <w:sz w:val="32"/>
        </w:rPr>
      </w:pPr>
    </w:p>
    <w:p w:rsidR="00C92FC0" w:rsidRPr="00EB07BC" w:rsidRDefault="00F97368">
      <w:pPr>
        <w:rPr>
          <w:sz w:val="32"/>
        </w:rPr>
      </w:pPr>
    </w:p>
    <w:p w:rsidR="00C92FC0" w:rsidRPr="00EB07BC" w:rsidRDefault="00F97368">
      <w:pPr>
        <w:rPr>
          <w:sz w:val="32"/>
        </w:rPr>
      </w:pPr>
    </w:p>
    <w:p w:rsidR="00A71A83" w:rsidRDefault="00A71A83">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A71A83" w:rsidRDefault="00A71A83">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A71A83" w:rsidRDefault="00A71A83">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A71A83" w:rsidRDefault="00E3014F">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交银施罗德品质增长一年持有期混合型证券投资基金</w:t>
      </w:r>
    </w:p>
    <w:p w:rsidR="00A71A83" w:rsidRDefault="00E3014F">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A71A83" w:rsidRDefault="00A71A83">
      <w:pPr>
        <w:snapToGrid w:val="0"/>
        <w:spacing w:line="360" w:lineRule="auto"/>
        <w:jc w:val="center"/>
        <w:rPr>
          <w:rFonts w:ascii="宋体" w:hAnsi="宋体"/>
          <w:b/>
          <w:sz w:val="30"/>
          <w:szCs w:val="30"/>
        </w:rPr>
      </w:pPr>
    </w:p>
    <w:p w:rsidR="00A71A83" w:rsidRDefault="00A71A8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71A83" w:rsidRDefault="00A71A8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71A83" w:rsidRDefault="00A71A8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71A83" w:rsidRDefault="00A71A8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71A83" w:rsidRDefault="00A71A8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71A83" w:rsidRDefault="00A71A8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71A83" w:rsidRDefault="00E3014F">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A71A83" w:rsidRDefault="00E3014F">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A71A83" w:rsidRDefault="00A71A8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71A83" w:rsidRDefault="00A71A8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71A83" w:rsidRDefault="00E3014F">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A71A83" w:rsidRDefault="00A71A83">
      <w:pPr>
        <w:autoSpaceDE w:val="0"/>
        <w:autoSpaceDN w:val="0"/>
        <w:adjustRightInd w:val="0"/>
        <w:snapToGrid w:val="0"/>
        <w:spacing w:line="360" w:lineRule="auto"/>
        <w:ind w:left="1347" w:rightChars="6" w:right="13"/>
        <w:rPr>
          <w:rFonts w:ascii="宋体" w:hAnsi="宋体"/>
          <w:kern w:val="0"/>
          <w:sz w:val="32"/>
          <w:szCs w:val="32"/>
        </w:rPr>
        <w:sectPr w:rsidR="00A71A83">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A71A83" w:rsidRDefault="00E3014F">
      <w:pPr>
        <w:pStyle w:val="1"/>
        <w:snapToGrid w:val="0"/>
        <w:spacing w:beforeLines="0" w:before="240" w:after="240"/>
        <w:rPr>
          <w:rFonts w:ascii="宋体" w:hAnsi="宋体"/>
          <w:kern w:val="0"/>
        </w:rPr>
      </w:pPr>
      <w:bookmarkStart w:id="0" w:name="_Toc324920538"/>
      <w:bookmarkStart w:id="1" w:name="_Toc496884613"/>
      <w:bookmarkStart w:id="2" w:name="_Toc240548849"/>
      <w:r>
        <w:rPr>
          <w:rFonts w:ascii="Times New Roman" w:hAnsi="Times New Roman"/>
          <w:kern w:val="0"/>
        </w:rPr>
        <w:lastRenderedPageBreak/>
        <w:t>重要提示</w:t>
      </w:r>
      <w:bookmarkEnd w:id="0"/>
      <w:bookmarkEnd w:id="1"/>
      <w:bookmarkEnd w:id="2"/>
    </w:p>
    <w:p w:rsidR="00A71A83" w:rsidRDefault="00E3014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交银施罗德品质增长一年持有期混合型证券投资基金（以下简称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2021</w:t>
      </w:r>
      <w:r>
        <w:rPr>
          <w:rFonts w:ascii="Times New Roman" w:hAnsi="Times New Roman"/>
          <w:kern w:val="0"/>
          <w:sz w:val="24"/>
        </w:rPr>
        <w:t>】</w:t>
      </w:r>
      <w:r>
        <w:rPr>
          <w:rFonts w:ascii="Times New Roman" w:hAnsi="Times New Roman"/>
          <w:kern w:val="0"/>
          <w:sz w:val="24"/>
        </w:rPr>
        <w:t>1519</w:t>
      </w:r>
      <w:r>
        <w:rPr>
          <w:rFonts w:ascii="Times New Roman" w:hAnsi="Times New Roman"/>
          <w:kern w:val="0"/>
          <w:sz w:val="24"/>
        </w:rPr>
        <w:t>号文准予募集注册。本基金基金合同于</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23</w:t>
      </w:r>
      <w:r>
        <w:rPr>
          <w:rFonts w:ascii="Times New Roman" w:hAnsi="Times New Roman"/>
          <w:kern w:val="0"/>
          <w:sz w:val="24"/>
        </w:rPr>
        <w:t>日正式生效。</w:t>
      </w:r>
    </w:p>
    <w:p w:rsidR="00A71A83" w:rsidRDefault="00E3014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A71A83" w:rsidRDefault="00E3014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A71A83" w:rsidRDefault="00E3014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投资股指期货的特定风险；投资资产支持证券的特定风险；投资流通受限证券的特定风险；投资科创板股票的特定风险；投资存托凭证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万元情形时基金合同终止的风险；投资本基金的其他风险等等。本基金是一只混合型基金，其预期风险和预期收益高于债券型基金和货币市场基金，低于股票型基金。</w:t>
      </w:r>
    </w:p>
    <w:p w:rsidR="00A71A83" w:rsidRDefault="00E3014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A71A83" w:rsidRDefault="00E3014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w:t>
      </w:r>
      <w:r>
        <w:rPr>
          <w:rFonts w:ascii="Times New Roman" w:hAnsi="Times New Roman"/>
          <w:kern w:val="0"/>
          <w:sz w:val="24"/>
        </w:rPr>
        <w:lastRenderedPageBreak/>
        <w:t>持证券投资，请基金份额持有人关注包括投资资产支持证券可能导致的基金净值波动在内的各项风险。</w:t>
      </w:r>
    </w:p>
    <w:p w:rsidR="00A71A83" w:rsidRDefault="00E3014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A71A83" w:rsidRDefault="00E3014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A71A83" w:rsidRDefault="00E3014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A71A83" w:rsidRDefault="00E3014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rsidR="00A71A83" w:rsidRDefault="00E3014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A71A83" w:rsidRDefault="00E3014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A71A83" w:rsidRDefault="00E3014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A71A83" w:rsidRDefault="00E3014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A71A83" w:rsidRDefault="00E3014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04</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A71A83" w:rsidRDefault="00A71A83">
      <w:pPr>
        <w:autoSpaceDE w:val="0"/>
        <w:autoSpaceDN w:val="0"/>
        <w:adjustRightInd w:val="0"/>
        <w:snapToGrid w:val="0"/>
        <w:spacing w:before="51" w:line="360" w:lineRule="auto"/>
        <w:ind w:left="120" w:rightChars="6" w:right="13" w:firstLine="480"/>
        <w:rPr>
          <w:rFonts w:ascii="宋体" w:hAnsi="宋体"/>
          <w:kern w:val="0"/>
          <w:szCs w:val="24"/>
        </w:rPr>
        <w:sectPr w:rsidR="00A71A83">
          <w:headerReference w:type="default" r:id="rId14"/>
          <w:pgSz w:w="11920" w:h="16840"/>
          <w:pgMar w:top="1440" w:right="1680" w:bottom="280" w:left="1680" w:header="0" w:footer="1073" w:gutter="0"/>
          <w:pgNumType w:start="1"/>
          <w:cols w:space="720"/>
        </w:sectPr>
      </w:pPr>
    </w:p>
    <w:p w:rsidR="00F97368" w:rsidRPr="00F97368" w:rsidRDefault="00E3014F" w:rsidP="00F97368">
      <w:pPr>
        <w:pStyle w:val="ad"/>
        <w:snapToGrid w:val="0"/>
        <w:spacing w:after="240" w:line="360" w:lineRule="auto"/>
        <w:jc w:val="center"/>
        <w:rPr>
          <w:rFonts w:ascii="宋体" w:hAnsi="宋体"/>
          <w:noProof/>
          <w:sz w:val="24"/>
        </w:rPr>
      </w:pPr>
      <w:r w:rsidRPr="00F97368">
        <w:rPr>
          <w:rFonts w:ascii="宋体" w:hAnsi="宋体"/>
          <w:color w:val="000000"/>
          <w:position w:val="-4"/>
          <w:sz w:val="24"/>
          <w:szCs w:val="30"/>
        </w:rPr>
        <w:lastRenderedPageBreak/>
        <w:t>目</w:t>
      </w:r>
      <w:r w:rsidRPr="00F97368">
        <w:rPr>
          <w:rFonts w:ascii="宋体" w:hAnsi="宋体"/>
          <w:color w:val="000000"/>
          <w:position w:val="-4"/>
          <w:sz w:val="24"/>
          <w:szCs w:val="30"/>
        </w:rPr>
        <w:tab/>
        <w:t>录</w:t>
      </w:r>
      <w:r w:rsidR="00F97368" w:rsidRPr="00F97368">
        <w:rPr>
          <w:rFonts w:ascii="宋体" w:hAnsi="宋体"/>
          <w:color w:val="000000"/>
          <w:position w:val="-4"/>
          <w:sz w:val="24"/>
          <w:szCs w:val="30"/>
        </w:rPr>
        <w:fldChar w:fldCharType="begin"/>
      </w:r>
      <w:r w:rsidR="00F97368" w:rsidRPr="00F97368">
        <w:rPr>
          <w:rFonts w:ascii="宋体" w:hAnsi="宋体"/>
          <w:color w:val="000000"/>
          <w:position w:val="-4"/>
          <w:sz w:val="24"/>
          <w:szCs w:val="30"/>
        </w:rPr>
        <w:instrText xml:space="preserve"> TOC \o "1-3" \f - \h \t "-1" </w:instrText>
      </w:r>
      <w:r w:rsidR="00F97368" w:rsidRPr="00F97368">
        <w:rPr>
          <w:rFonts w:ascii="宋体" w:hAnsi="宋体"/>
          <w:color w:val="000000"/>
          <w:position w:val="-4"/>
          <w:sz w:val="24"/>
          <w:szCs w:val="30"/>
        </w:rPr>
        <w:fldChar w:fldCharType="separate"/>
      </w:r>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49" w:history="1">
        <w:r w:rsidRPr="00F97368">
          <w:rPr>
            <w:rStyle w:val="aa"/>
            <w:rFonts w:ascii="宋体" w:hAnsi="宋体" w:hint="eastAsia"/>
            <w:noProof/>
            <w:kern w:val="0"/>
            <w:sz w:val="24"/>
          </w:rPr>
          <w:t>重要提示</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_Toc240548849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1</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50" w:history="1">
        <w:r w:rsidRPr="00F97368">
          <w:rPr>
            <w:rStyle w:val="aa"/>
            <w:rFonts w:ascii="宋体" w:hAnsi="宋体" w:hint="eastAsia"/>
            <w:noProof/>
            <w:sz w:val="24"/>
          </w:rPr>
          <w:t>一、绪言</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_Toc240548850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5</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51" w:history="1">
        <w:r w:rsidRPr="00F97368">
          <w:rPr>
            <w:rStyle w:val="aa"/>
            <w:rFonts w:ascii="宋体" w:hAnsi="宋体" w:hint="eastAsia"/>
            <w:noProof/>
            <w:sz w:val="24"/>
          </w:rPr>
          <w:t>二、释义</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_Toc240548851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6</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52" w:history="1">
        <w:r w:rsidRPr="00F97368">
          <w:rPr>
            <w:rStyle w:val="aa"/>
            <w:rFonts w:ascii="宋体" w:hAnsi="宋体" w:hint="eastAsia"/>
            <w:noProof/>
            <w:sz w:val="24"/>
          </w:rPr>
          <w:t>三、基金管理人</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_Toc240548852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11</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53" w:history="1">
        <w:r w:rsidRPr="00F97368">
          <w:rPr>
            <w:rStyle w:val="aa"/>
            <w:rFonts w:ascii="宋体" w:hAnsi="宋体" w:hint="eastAsia"/>
            <w:noProof/>
            <w:sz w:val="24"/>
          </w:rPr>
          <w:t>四、基金托管人</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_Toc240548853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18</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54" w:history="1">
        <w:r w:rsidRPr="00F97368">
          <w:rPr>
            <w:rStyle w:val="aa"/>
            <w:rFonts w:ascii="宋体" w:hAnsi="宋体" w:hint="eastAsia"/>
            <w:noProof/>
            <w:sz w:val="24"/>
          </w:rPr>
          <w:t>五、相关服务机构</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_Toc240548854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22</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55" w:history="1">
        <w:r w:rsidRPr="00F97368">
          <w:rPr>
            <w:rStyle w:val="aa"/>
            <w:rFonts w:ascii="宋体" w:hAnsi="宋体" w:hint="eastAsia"/>
            <w:noProof/>
            <w:sz w:val="24"/>
          </w:rPr>
          <w:t>六、基金的募集</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_Toc240548855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50</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56" w:history="1">
        <w:r w:rsidRPr="00F97368">
          <w:rPr>
            <w:rStyle w:val="aa"/>
            <w:rFonts w:ascii="宋体" w:hAnsi="宋体" w:hint="eastAsia"/>
            <w:noProof/>
            <w:sz w:val="24"/>
          </w:rPr>
          <w:t>七、基金合同的生效</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_Toc240548856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51</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57" w:history="1">
        <w:r w:rsidRPr="00F97368">
          <w:rPr>
            <w:rStyle w:val="aa"/>
            <w:rFonts w:ascii="宋体" w:hAnsi="宋体" w:hint="eastAsia"/>
            <w:noProof/>
            <w:sz w:val="24"/>
          </w:rPr>
          <w:t>八、基金份额的申购与赎回</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_Toc240548857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52</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58" w:history="1">
        <w:r w:rsidRPr="00F97368">
          <w:rPr>
            <w:rStyle w:val="aa"/>
            <w:rFonts w:ascii="宋体" w:hAnsi="宋体" w:hint="eastAsia"/>
            <w:noProof/>
            <w:sz w:val="24"/>
          </w:rPr>
          <w:t>九、基金的转换</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_Toc240548858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65</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59" w:history="1">
        <w:r w:rsidRPr="00F97368">
          <w:rPr>
            <w:rStyle w:val="aa"/>
            <w:rFonts w:ascii="宋体" w:hAnsi="宋体" w:hint="eastAsia"/>
            <w:noProof/>
            <w:sz w:val="24"/>
          </w:rPr>
          <w:t>十、基金的投资</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_Toc240548859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72</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60" w:history="1">
        <w:r w:rsidRPr="00F97368">
          <w:rPr>
            <w:rStyle w:val="aa"/>
            <w:rFonts w:ascii="宋体" w:hAnsi="宋体" w:hint="eastAsia"/>
            <w:noProof/>
            <w:sz w:val="24"/>
          </w:rPr>
          <w:t>十一、基金的业绩</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_Toc240548860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86</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61" w:history="1">
        <w:r w:rsidRPr="00F97368">
          <w:rPr>
            <w:rStyle w:val="aa"/>
            <w:rFonts w:ascii="宋体" w:hAnsi="宋体" w:hint="eastAsia"/>
            <w:noProof/>
            <w:sz w:val="24"/>
          </w:rPr>
          <w:t>十二、基金的财产</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_Toc240548861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89</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62" w:history="1">
        <w:r w:rsidRPr="00F97368">
          <w:rPr>
            <w:rStyle w:val="aa"/>
            <w:rFonts w:ascii="宋体" w:hAnsi="宋体" w:hint="eastAsia"/>
            <w:noProof/>
            <w:sz w:val="24"/>
          </w:rPr>
          <w:t>十三、基金资产的估值</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_Toc240548862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90</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63" w:history="1">
        <w:r w:rsidRPr="00F97368">
          <w:rPr>
            <w:rStyle w:val="aa"/>
            <w:rFonts w:ascii="宋体" w:hAnsi="宋体" w:hint="eastAsia"/>
            <w:noProof/>
            <w:sz w:val="24"/>
          </w:rPr>
          <w:t>十四、基金收益与分配</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_Toc240548863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97</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64" w:history="1">
        <w:r w:rsidRPr="00F97368">
          <w:rPr>
            <w:rStyle w:val="aa"/>
            <w:rFonts w:ascii="宋体" w:hAnsi="宋体" w:hint="eastAsia"/>
            <w:noProof/>
            <w:sz w:val="24"/>
          </w:rPr>
          <w:t>十五、基金的费用与税收</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_Toc240548864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99</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65" w:history="1">
        <w:r w:rsidRPr="00F97368">
          <w:rPr>
            <w:rStyle w:val="aa"/>
            <w:rFonts w:ascii="宋体" w:hAnsi="宋体" w:hint="eastAsia"/>
            <w:noProof/>
            <w:sz w:val="24"/>
          </w:rPr>
          <w:t>十六、基金的会计与审计</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_Toc240548865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102</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66" w:history="1">
        <w:r w:rsidRPr="00F97368">
          <w:rPr>
            <w:rStyle w:val="aa"/>
            <w:rFonts w:ascii="宋体" w:hAnsi="宋体" w:hint="eastAsia"/>
            <w:noProof/>
            <w:sz w:val="24"/>
          </w:rPr>
          <w:t>十七、基金的信息披露</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_Toc240548866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103</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67" w:history="1">
        <w:r w:rsidRPr="00F97368">
          <w:rPr>
            <w:rStyle w:val="aa"/>
            <w:rFonts w:ascii="宋体" w:hAnsi="宋体" w:hint="eastAsia"/>
            <w:noProof/>
            <w:sz w:val="24"/>
          </w:rPr>
          <w:t>十八、侧袋机制</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_Toc240548867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110</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68" w:history="1">
        <w:r w:rsidRPr="00F97368">
          <w:rPr>
            <w:rStyle w:val="aa"/>
            <w:rFonts w:ascii="宋体" w:hAnsi="宋体" w:hint="eastAsia"/>
            <w:noProof/>
            <w:sz w:val="24"/>
          </w:rPr>
          <w:t>十九、风险揭示</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_Toc240548868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113</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69" w:history="1">
        <w:r w:rsidRPr="00F97368">
          <w:rPr>
            <w:rStyle w:val="aa"/>
            <w:rFonts w:ascii="宋体" w:hAnsi="宋体" w:hint="eastAsia"/>
            <w:noProof/>
            <w:sz w:val="24"/>
          </w:rPr>
          <w:t>二十、基金合同的变更、终止与基金财产的清算</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_Toc240548869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124</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70" w:history="1">
        <w:r w:rsidRPr="00F97368">
          <w:rPr>
            <w:rStyle w:val="aa"/>
            <w:rFonts w:ascii="宋体" w:hAnsi="宋体" w:hint="eastAsia"/>
            <w:noProof/>
            <w:sz w:val="24"/>
          </w:rPr>
          <w:t>二十一、基金合同内容摘要</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_Toc240548870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126</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71" w:history="1">
        <w:r w:rsidRPr="00F97368">
          <w:rPr>
            <w:rStyle w:val="aa"/>
            <w:rFonts w:ascii="宋体" w:hAnsi="宋体" w:hint="eastAsia"/>
            <w:noProof/>
            <w:sz w:val="24"/>
          </w:rPr>
          <w:t>二十二、托管协议的内容摘要</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_Toc240548871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143</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72" w:history="1">
        <w:r w:rsidRPr="00F97368">
          <w:rPr>
            <w:rStyle w:val="aa"/>
            <w:rFonts w:ascii="宋体" w:hAnsi="宋体" w:hint="eastAsia"/>
            <w:noProof/>
            <w:sz w:val="24"/>
          </w:rPr>
          <w:t>二十三、对基金份额持有人的服务</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_Toc240548872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163</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73" w:history="1">
        <w:r w:rsidRPr="00F97368">
          <w:rPr>
            <w:rStyle w:val="aa"/>
            <w:rFonts w:ascii="宋体" w:hAnsi="宋体" w:hint="eastAsia"/>
            <w:noProof/>
            <w:sz w:val="24"/>
          </w:rPr>
          <w:t>二十四、其他应披露事项</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_Toc240548873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165</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74" w:history="1">
        <w:r w:rsidRPr="00F97368">
          <w:rPr>
            <w:rStyle w:val="aa"/>
            <w:rFonts w:ascii="宋体" w:hAnsi="宋体" w:hint="eastAsia"/>
            <w:noProof/>
            <w:sz w:val="24"/>
          </w:rPr>
          <w:t>二十五、招募说明书的存放及查阅方式</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_Toc240548874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167</w:t>
        </w:r>
        <w:r w:rsidRPr="00F97368">
          <w:rPr>
            <w:rFonts w:ascii="宋体" w:hAnsi="宋体"/>
            <w:noProof/>
            <w:sz w:val="24"/>
          </w:rPr>
          <w:fldChar w:fldCharType="end"/>
        </w:r>
      </w:hyperlink>
    </w:p>
    <w:p w:rsidR="00F97368" w:rsidRPr="00F97368" w:rsidRDefault="00F97368" w:rsidP="00F97368">
      <w:pPr>
        <w:pStyle w:val="10"/>
        <w:tabs>
          <w:tab w:val="right" w:leader="dot" w:pos="8550"/>
        </w:tabs>
        <w:spacing w:line="360" w:lineRule="auto"/>
        <w:rPr>
          <w:rFonts w:ascii="宋体" w:hAnsi="宋体" w:cstheme="minorBidi"/>
          <w:noProof/>
          <w:sz w:val="24"/>
        </w:rPr>
      </w:pPr>
      <w:hyperlink w:anchor="_Toc240548875" w:history="1">
        <w:r w:rsidRPr="00F97368">
          <w:rPr>
            <w:rStyle w:val="aa"/>
            <w:rFonts w:ascii="宋体" w:hAnsi="宋体" w:hint="eastAsia"/>
            <w:noProof/>
            <w:sz w:val="24"/>
          </w:rPr>
          <w:t>二十六、备查文件</w:t>
        </w:r>
        <w:r w:rsidRPr="00F97368">
          <w:rPr>
            <w:rFonts w:ascii="宋体" w:hAnsi="宋体"/>
            <w:noProof/>
            <w:sz w:val="24"/>
          </w:rPr>
          <w:tab/>
        </w:r>
        <w:r w:rsidRPr="00F97368">
          <w:rPr>
            <w:rFonts w:ascii="宋体" w:hAnsi="宋体"/>
            <w:noProof/>
            <w:sz w:val="24"/>
          </w:rPr>
          <w:fldChar w:fldCharType="begin"/>
        </w:r>
        <w:r w:rsidRPr="00F97368">
          <w:rPr>
            <w:rFonts w:ascii="宋体" w:hAnsi="宋体"/>
            <w:noProof/>
            <w:sz w:val="24"/>
          </w:rPr>
          <w:instrText xml:space="preserve"> PAGEREF _Toc240548875 \h </w:instrText>
        </w:r>
        <w:r w:rsidRPr="00F97368">
          <w:rPr>
            <w:rFonts w:ascii="宋体" w:hAnsi="宋体"/>
            <w:noProof/>
            <w:sz w:val="24"/>
          </w:rPr>
        </w:r>
        <w:r w:rsidRPr="00F97368">
          <w:rPr>
            <w:rFonts w:ascii="宋体" w:hAnsi="宋体"/>
            <w:noProof/>
            <w:sz w:val="24"/>
          </w:rPr>
          <w:fldChar w:fldCharType="separate"/>
        </w:r>
        <w:r w:rsidRPr="00F97368">
          <w:rPr>
            <w:rFonts w:ascii="宋体" w:hAnsi="宋体"/>
            <w:noProof/>
            <w:sz w:val="24"/>
          </w:rPr>
          <w:t>168</w:t>
        </w:r>
        <w:r w:rsidRPr="00F97368">
          <w:rPr>
            <w:rFonts w:ascii="宋体" w:hAnsi="宋体"/>
            <w:noProof/>
            <w:sz w:val="24"/>
          </w:rPr>
          <w:fldChar w:fldCharType="end"/>
        </w:r>
      </w:hyperlink>
    </w:p>
    <w:p w:rsidR="00A71A83" w:rsidRPr="00F97368" w:rsidRDefault="00F97368" w:rsidP="00F97368">
      <w:pPr>
        <w:pStyle w:val="ad"/>
        <w:snapToGrid w:val="0"/>
        <w:spacing w:after="240" w:line="360" w:lineRule="auto"/>
        <w:jc w:val="center"/>
        <w:rPr>
          <w:rFonts w:ascii="宋体" w:hAnsi="宋体"/>
          <w:color w:val="000000"/>
          <w:sz w:val="24"/>
        </w:rPr>
      </w:pPr>
      <w:r w:rsidRPr="00F97368">
        <w:rPr>
          <w:rFonts w:ascii="宋体" w:hAnsi="宋体"/>
          <w:color w:val="000000"/>
          <w:position w:val="-4"/>
          <w:sz w:val="24"/>
          <w:szCs w:val="30"/>
        </w:rPr>
        <w:fldChar w:fldCharType="end"/>
      </w:r>
      <w:bookmarkStart w:id="3" w:name="_GoBack"/>
      <w:bookmarkEnd w:id="3"/>
    </w:p>
    <w:p w:rsidR="00A71A83" w:rsidRDefault="00A71A83">
      <w:pPr>
        <w:autoSpaceDE w:val="0"/>
        <w:autoSpaceDN w:val="0"/>
        <w:adjustRightInd w:val="0"/>
        <w:snapToGrid w:val="0"/>
        <w:spacing w:line="360" w:lineRule="auto"/>
        <w:ind w:left="120" w:rightChars="6" w:right="13"/>
        <w:rPr>
          <w:rFonts w:ascii="宋体" w:hAnsi="宋体"/>
          <w:kern w:val="0"/>
          <w:szCs w:val="24"/>
        </w:rPr>
        <w:sectPr w:rsidR="00A71A83">
          <w:pgSz w:w="11920" w:h="16840"/>
          <w:pgMar w:top="1480" w:right="1680" w:bottom="280" w:left="1680" w:header="0" w:footer="1073" w:gutter="0"/>
          <w:cols w:space="720"/>
        </w:sectPr>
      </w:pPr>
    </w:p>
    <w:p w:rsidR="00A71A83" w:rsidRDefault="00E3014F">
      <w:pPr>
        <w:pStyle w:val="1"/>
        <w:snapToGrid w:val="0"/>
        <w:spacing w:beforeLines="0" w:before="240" w:after="240"/>
        <w:rPr>
          <w:rFonts w:ascii="宋体" w:hAnsi="宋体"/>
          <w:szCs w:val="30"/>
        </w:rPr>
      </w:pPr>
      <w:bookmarkStart w:id="4" w:name="_Toc240548850"/>
      <w:r>
        <w:rPr>
          <w:rFonts w:ascii="Times New Roman" w:hAnsi="Times New Roman"/>
          <w:sz w:val="30"/>
        </w:rPr>
        <w:lastRenderedPageBreak/>
        <w:t>一、绪言</w:t>
      </w:r>
      <w:bookmarkEnd w:id="4"/>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品质增长一年持有期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品质增长一年持有期混合型证券投资基金基金合同》（以下简称“基金合同”）编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5" w:name="_Toc240548851"/>
      <w:r>
        <w:rPr>
          <w:rFonts w:ascii="Times New Roman" w:hAnsi="Times New Roman"/>
          <w:sz w:val="30"/>
        </w:rPr>
        <w:lastRenderedPageBreak/>
        <w:t>二、释义</w:t>
      </w:r>
      <w:bookmarkEnd w:id="5"/>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1、基金或本基金：指交银施罗德品质增长一年持有期混合型证券投资基金</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3、基金托管人：指中信银行股份有限公司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4、基金合同：指《交银施罗德品质增长一年持有期混合型证券投资基金基金合同》及对基金合同的任何有效修订和补充</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5、托管协议：指基金管理人与基金托管人就本基金签订之《交银施罗德品质增长一年持有期混合型证券投资基金托管协议》及对该托管协议的任何有效修订和补充</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6、招募说明书或本招募说明书：指《交银施罗德品质增长一年持有期混合型证券投资基金招募说明书》及其更新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7、基金产品资料概要：指《交银施罗德品质增长一年持有期混合型证券投资基金基金产品资料概要》及其更新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8、基金份额发售公告：指《交银施罗德品质增长一年持有期混合型证券投资基金基金份额发售公告》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16、银行业监督管理机构：指中国人民银行和/或中国银行保险监督管理委员会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29、基金合同生效日：指基金募集达到法律法规规定及基金合同规定的条件，基金管理人向中国证监会办理基金备案手续完毕，并获得中国证监会书面确认的日期</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最短持有期限：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年度对日：指某一特定日期在后续日历年度中的对应日期，若该日历年度中不存在对应日期的，则该年度对日为该特定日期在后续日历年度中对应月度的最后一日。如该年度对日为非工作日的，则顺延至下一个工作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38、开放日：指为投资人办理基金份额申购、赎回或其他业务的工作日（若该工作日为非港股通交易日，则本基金可不开放）</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39、开放时间：指开放日基金接受申购、赎回或其他交易的时间段</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40、《业务规则》：指中国证券登记结算有限责任公司相关业务规则及其不时做出的修订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41、认购：指在基金募集期内，投资人根据基金合同和招募说明书的规定申请购买基金份额的行为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42、申购：指基金合同生效后，投资人根据基金合同和招募说明书的规定申请购买基金份额的行为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43、赎回：指基金合同生效后，基金份额持有人按基金合同和招募说明书规定</w:t>
      </w:r>
      <w:r>
        <w:rPr>
          <w:rFonts w:ascii="宋体" w:hAnsi="宋体"/>
          <w:sz w:val="24"/>
        </w:rPr>
        <w:lastRenderedPageBreak/>
        <w:t>的条件要求将基金份额兑换为现金的行为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44、基金转换：指基金份额持有人按照基金合同和基金管理人届时有效公告规定的条件，申请将其持有基金管理人管理的、某一基金的基金份额转换为基金管理人管理的其他基金基金份额的行为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45、转托管：指基金份额持有人在本基金的不同销售机构之间实施的变更所持基金份额销售机构的操作</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48、元：指人民币元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49、基金收益：指基金投资所得红利、股息、债券利息、买卖证券价差、银行存款利息、已实现的其他合法收入及因运用基金财产带来的成本和费用的节约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50、基金资产总值：指基金拥有的各类有价证券、股指期货合约、银行存款本息、基金应收款项及其他资产的价值总和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51、基金资产净值：指基金资产总值减去基金负债后的价值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52、基金份额净值：指计算日基金资产净值除以计算日基金份额总数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53、基金资产估值：指计算评估基金资产和负债的价值，以确定基金资产净值和基金份额净值的过程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54、港股通：指内地投资者委托内地证券公司，经由内地证券交易所在香港设立的证券交易服务公司，向香港联合交易所进行申报，买卖规定范围内的香港联合交易所上市的股票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55、销售服务费：指从基金财产中计提的，用于本基金市场推广、销售以及基金份额持有人服务的费用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56、A类基金份额：指在投资人认购/申购时收取认购/申购费用且不从本类别基金资产中计提销售服务费的基金份额</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57、C类基金份额：指在投资人认购/申购时不收取认购/申购费用，并从本类别基金资产中计提销售服务费的基金份额</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58、规定媒介：指符合中国证监会规定条件的用以进行信息披露的全国性报刊及《信息披露办法》规定的互联网网站（包括基金管理人网站、基金托管人网站、中国证监会基金电子披露网站）等媒介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63、不可抗力：指基金合同当事人不能预见、不能避免且不能克服的客观事件</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6" w:name="_Toc240548852"/>
      <w:r>
        <w:rPr>
          <w:rFonts w:ascii="Times New Roman" w:hAnsi="Times New Roman"/>
          <w:sz w:val="30"/>
        </w:rPr>
        <w:lastRenderedPageBreak/>
        <w:t>三、基金管理人</w:t>
      </w:r>
      <w:bookmarkEnd w:id="6"/>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韩威俊先生:基金经理。上海财经大学金融学硕士，21年证券投资行业从业经验。2005年至2008年担任申银万国证券研究所助理分析师，2008年至2009年担任北京鼎天资产管理有限公司董事助理，2009年至2010年担任申银万国证券研究所行业分析师，2010年至2013年担任信诚基金管理有限公司投资分析师。2013年加入交银施罗德基金管理有限公司，曾任行业分析师，现任权益部基金经理。曾任交银施罗德趋势优先混合型证券投资基金(2017年06月03日至2020年05月26日)的基金经理。现任交银施罗德策略回报灵活配置混合型证券投资基金(2016年01月20日至今)、交银施罗德股息优化混合型证券投资基金(2017年08月25日至今)、交银施罗德品质升级混合型证券投资基金(2018年02月08日至今)、交银施罗德消费新驱动股票型证券投资基金(2018年08月24日至今)、交银施罗德内需增长一年持有期混合型证券投资基金(2020年12月11日至今)、交银施罗德品质增长一年持有期混合型证券投资基金(2021年07月23日至今)、交银施罗德港股消费混合型证券投资基金（QDII）(2026年09月02日至今)的基金经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3、对所管理的不同基金财产分别管理、分别记账，进行证券投资；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1、依照有关法律法规和基金合同的规定，本着谨慎的原则为基金份额持有人谋取最大利益；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（2）合规风险及审计委员会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3、风险管理和内部风险控制的措施</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7" w:name="_Toc240548853"/>
      <w:r>
        <w:rPr>
          <w:rFonts w:ascii="Times New Roman" w:hAnsi="Times New Roman"/>
          <w:sz w:val="30"/>
        </w:rPr>
        <w:lastRenderedPageBreak/>
        <w:t>四、基金托管人</w:t>
      </w:r>
      <w:bookmarkEnd w:id="7"/>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w:t>
      </w:r>
      <w:r>
        <w:rPr>
          <w:rFonts w:ascii="宋体" w:hAnsi="宋体"/>
          <w:sz w:val="24"/>
        </w:rPr>
        <w:lastRenderedPageBreak/>
        <w:t>交易所和香港联合交易所A+H 股同步上市。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报告期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其中，中信国际金融控股有限公司子公司中信银行（国际）有限公司在香港、澳门、纽约、 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方合英先生，本行党委书记、董事长、执行董事，代为履行行长职责。方先生</w:t>
      </w:r>
      <w:r>
        <w:rPr>
          <w:rFonts w:ascii="宋体" w:hAnsi="宋体"/>
          <w:sz w:val="24"/>
        </w:rPr>
        <w:lastRenderedPageBreak/>
        <w:t>于2020年12月起任中国中信集团有限公司副总经理、中国中信股份有限公司副总经理及执行委员会成员、中国中信有限公司副总经理，2020年11月起任中国中信集团有限公司党委委员。方先生曾任本行苏州分行行长、杭州分行行长、本行金融市场业务总监、副行长、财务总监。此前，先后在浙江银行学校任教，浙江银行学校实验城市信用社信贷部任总经理助理等。方先生具有三十余年银行从业经验，毕业于湖南财经学院（现湖南大学），获北京大学高级管理人员工商管理硕士学位，正高级经济师。</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截至2026年一季度末，中信银行托管435只公开募集证券投资基金，以及基金公司、证券公司资产管理产品、信托产品、企业年金、股权基金、QDII等其他托管资产，托管总规模达到19.28万亿元人民币。</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w:t>
      </w:r>
      <w:r>
        <w:rPr>
          <w:rFonts w:ascii="宋体" w:hAnsi="宋体"/>
          <w:sz w:val="24"/>
        </w:rPr>
        <w:lastRenderedPageBreak/>
        <w:t>持续、稳健发展；加强稽核监察，建立高效的风险监控体系，及时有效地发现、分析、控制和避免风险，确保基金财产安全，维护基金份额持有人利益。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8" w:name="_Toc240548854"/>
      <w:r>
        <w:rPr>
          <w:rFonts w:ascii="Times New Roman" w:hAnsi="Times New Roman"/>
          <w:sz w:val="30"/>
        </w:rPr>
        <w:lastRenderedPageBreak/>
        <w:t>五、相关服务机构</w:t>
      </w:r>
      <w:bookmarkEnd w:id="8"/>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（3）名称：厦门银行股份有限公司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厦门银行股份有限公司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400-858-8888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www.xmbankonline.com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（4）名称：江苏银行股份有限公司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（5）名称：招商银行股份有限公司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（6）名称：中信银行股份有限公司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（7）名称：东莞农村商业银行股份有限公司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（8）名称：中国民生银行股份有限公司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（9）名称：宁波银行股份有限公司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电话：（021）63586210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（10）名称：东吴证券股份有限公司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住所：苏州工业园区星阳街5号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法定代表人：范力</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电话：0512-62938521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传真：0512-62938527</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联系人：陆晓</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网址：www.dwjq.com.cn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（11）名称：中国银河证券股份有限公司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（12）名称：中信证券股份有限公司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（13）名称：中国中金财富证券有限公司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w:t>
      </w:r>
      <w:r>
        <w:rPr>
          <w:rFonts w:ascii="宋体" w:hAnsi="宋体"/>
          <w:sz w:val="24"/>
        </w:rPr>
        <w:lastRenderedPageBreak/>
        <w:t>04层01.02.03.05.11.12.13.15.16.18.19.20.21.22.23单元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（14）名称：国联民生证券股份有限公司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（15）名称：山西证券股份有限公司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（16）名称：西部证券股份有限公司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网址：www.west95582.com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（17）名称：国投证券股份有限公司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（18）名称：东莞证券股份有限公司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（19）名称：财通证券股份有限公司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（20）名称：中信建投证券股份有限公司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法定代表人：刘成</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（21）名称：中原证券股份有限公司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（22）名称：东方财富证券股份有限公司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（23）名称：华泰证券股份有限公司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网址：www.htsc.com.cn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（24）名称：湘财证券股份有限公司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（25）名称：兴业证券股份有限公司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（26）名称：海通证券股份有限公司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（27）名称：华龙证券股份有限公司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法定代表人：李晓安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（28）名称：长城国瑞证券有限公司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（29）名称：大同证券有限责任公司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（30）名称：招商证券股份有限公司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联系人：黄婵君</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（31）名称：国泰海通证券股份有限公司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（32）名称：中信证券华南股份有限公司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（33）名称：第一创业证券股份有限公司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（34）名称：华西证券股份有限公司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（35）名称：国新证券股份有限公司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（36）名称：国金证券股份有限公司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（37）名称：长城证券有限责任公司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电话：（0755）83516289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（38）名称：申万宏源证券有限公司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（39）名称：国都证券股份有限公司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（40）名称：平安证券股份有限公司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（41）名称：中信证券（山东）有限责任公司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办公地址：青岛市市南区东海西路28号龙翔广场东座5层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（42）名称：申万宏源西部证券有限公司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（43）名称：华鑫证券有限责任公司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华鑫证券有限责任公司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4001099918，95323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www.cfsc.com.cn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（44）名称：中国国际金融股份有限公司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（45）名称：万联证券股份有限公司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办公地址：广东省广州市天河区珠江东路13号高德置地广场E座12层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（46）名称：南京证券股份有限公司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（47）名称：国信证券股份有限公司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（48）名称：深圳市新兰德证券投资咨询有限公司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联系人：刘宝文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（49）名称：大连网金基金销售有限公司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（50）名称：阳光人寿保险股份有限公司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（51）名称：京东肯特瑞基金销售有限公司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网址：kenterui.jd.com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（52）名称：和耕传承基金销售有限公司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（53）名称：腾安基金销售（深圳）有限公司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（54）名称：珠海盈米基金销售有限公司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（55）名称：北京度小满基金销售有限公司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注册地址：北京市海淀区西北旺东路10号院西区4号楼1层103室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（56）名称：南京苏宁基金销售有限公司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（57）名称：嘉实财富管理有限公司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（58）名称：北京汇成基金销售有限公司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电话：（010）56282140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（59）名称：上海利得基金销售有限公司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（60）名称：上海陆金所基金销售有限公司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（61）名称：上海挖财基金销售有限公司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联系人：毛善波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（62）名称：万家财富基金销售（天津）有限公司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（63）名称：上海万得基金销售有限公司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（64）名称：深圳市金斧子基金销售有限公司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（65）名称：北京雪球基金销售有限公司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（66）名称：北京新浪仓石基金销售有限公司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（67）名称：中证金牛（北京）基金销售有限公司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（68）名称：上海证达通基金销售有限公司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办公地址：上海市浦东新区金葵路118号3层B区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（69）名称：奕丰基金销售有限公司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（70）名称：上海天天基金销售有限公司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（71）名称：和讯信息科技有限公司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电话：（021）20835789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（72）名称：诺亚正行基金销售有限公司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（73）名称：上海好买基金销售有限公司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（74）名称：上海长量基金销售有限公司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网址：www.erichfund.com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（75）名称：深圳众禄基金销售股份有限公司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（76）名称：蚂蚁（杭州）基金销售有限公司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（77）名称：中信期货有限公司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（78）名称：上海基煜基金销售有限公司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（79）名称：浙江同花顺基金销售有限公司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（80）名称：宜信普泽（北京）基金销售有限公司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（81）名称：上海联泰基金销售有限公司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办公地址：上海市虹口区临潼路188号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（82）名称：泛华普益基金销售有限公司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（83）名称：北京展恒基金销售股份有限公司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（84）名称：北京创金启富基金销售有限公司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传真：010-63583991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（85）名称：济安财富（北京）基金销售有限公司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（86）名称：博时财富基金销售有限公司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（87）名称：深圳前海微众银行股份有限公司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客户服务电话：95384</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（88）名称：上海中欧财富基金销售有限公司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（89）名称：中国人寿保险股份有限公司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办公地址：上海市银城中路68号时代金融中心19楼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9" w:name="_Toc240548855"/>
      <w:r>
        <w:rPr>
          <w:rFonts w:ascii="Times New Roman" w:hAnsi="Times New Roman"/>
          <w:sz w:val="30"/>
        </w:rPr>
        <w:lastRenderedPageBreak/>
        <w:t>六、基金的募集</w:t>
      </w:r>
      <w:bookmarkEnd w:id="9"/>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本基金由基金管理人依照《基金法》、《运作办法》、《销售办法》、基金合同及其他有关规定，并经中国证监会2021年4月27日证监许可【2021】1519号文准予募集注册。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本基金于2021年7月19日至2021年7月20日进行发售，本基金设立募集期共募集5,938,742,608.15份基金份额，有效认购户数为52,726户。</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10" w:name="_Toc240548856"/>
      <w:r>
        <w:rPr>
          <w:rFonts w:ascii="Times New Roman" w:hAnsi="Times New Roman"/>
          <w:sz w:val="30"/>
        </w:rPr>
        <w:lastRenderedPageBreak/>
        <w:t>七、基金合同的生效</w:t>
      </w:r>
      <w:bookmarkEnd w:id="10"/>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根据有关规定，本基金满足基金合同生效条件，基金合同已于2021年7月23日正式生效。自基金合同生效之日起，本基金管理人正式开始管理本基金。</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11" w:name="_Toc240548857"/>
      <w:r>
        <w:rPr>
          <w:rFonts w:ascii="Times New Roman" w:hAnsi="Times New Roman"/>
          <w:sz w:val="30"/>
        </w:rPr>
        <w:lastRenderedPageBreak/>
        <w:t>八、基金份额的申购与赎回</w:t>
      </w:r>
      <w:bookmarkEnd w:id="11"/>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个人投资者可以通过基金管理人网上直销交易平台办理开户、本基金的申购、定期定额投资、赎回、转换等业务，具体交易细则请参阅基金管理人网站。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w:t>
      </w:r>
      <w:r>
        <w:rPr>
          <w:rFonts w:ascii="宋体" w:hAnsi="宋体"/>
          <w:sz w:val="24"/>
        </w:rPr>
        <w:lastRenderedPageBreak/>
        <w:t>本基金可不开放），但基金管理人根据法律法规、中国证监会的要求或基金合同的规定公告暂停申购、赎回时除外。</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本基金已于2021年11月4日起开放申购业务。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本基金已于2022年7月25日起开放赎回业务。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投资人在最短持有期限内提出的赎回或转换申请，视为无效申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w:t>
      </w:r>
      <w:r>
        <w:rPr>
          <w:rFonts w:ascii="宋体" w:hAnsi="宋体"/>
          <w:sz w:val="24"/>
        </w:rPr>
        <w:lastRenderedPageBreak/>
        <w:t>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w:t>
      </w:r>
      <w:r>
        <w:rPr>
          <w:rFonts w:ascii="宋体" w:hAnsi="宋体"/>
          <w:sz w:val="24"/>
        </w:rPr>
        <w:lastRenderedPageBreak/>
        <w:t>效。投资者赎回申请生效后，基金管理人将在T+7日（包括该日）内支付赎回款项。在发生巨额赎回或基金合同载明的其他暂停赎回或延缓支付赎回款项的情形时，款项的支付办法参照基金合同有关条款处理。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（1）投资人T日申购基金成功后，正常情况下，登记机构在T＋1日为投资人增加权益并办理登记手续。投资人应及时查询有关申请的确认情况。</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本基金A类基金份额的申购费用由申购A类基金份额的基金申购人承担，不列入基金财产，主要用于本基金的市场推广、销售、登记等各项费用。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和C类基金份额有效赎回份额乘以当日该类基金份额的基金份额净值并扣除相应的费用（如有），赎回金额单位为元。赎回金额计算结果按四舍五入方法，保留到小数点后2位，由此产生的收益或损失由基金财产承担。</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申购份额=（申购总金额-申购费用）/T日A类基金份额净值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例四：某投资者（非养老金客户）投资100,000元申购本基金A类基金份额，假设申购当日A类基金份额净值为1.0400元，申购费率为1.5%，则其可得到的申购份额为：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净申购金额=100,000/（1+1.5%）=98,522.17元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申购费用=100,000-98,522.17=1477.83元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申购份额=（100,000-1477.83）/1.0400=94,732.86份</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即：某投资者（非养老金客户）投资100,000元申购本基金A类基金份额，假设申购当日A类基金份额净值为1.0400元，则其可得到94,732.86份A类基金份额。</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例五：某养老金客户投资100,000元通过基金管理人的直销柜台申购本基金A类基金份额，假设申购当日A类基金份额净值为1.0400元，申购费率为0.6%，则其可得到的申购份额为：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即：该养老金客户投资100,000元通过基金管理人的直销柜台申购本基金A类基金份额，假设申购当日A类基金份额净值为1.0400元，则其可得到95,580.37份A类基金份额。</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赎回费用=赎回份额×T日该类基金份额净值×赎回费率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赎回金额=赎回份额×T日该类基金份额净值-赎回费用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例七：某投资者赎回持有的10,000份A类基金份额，持有期限为两年，对应的赎回费率为0，假设赎回当日A类基金份额净值是1.0160元，则其可得到的赎回金额为：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赎回金额=10,000×1.0160-0＝10,160.00元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即：投资者赎回本基金10,000份A类基金份额，持有期限为两年，对应的赎回费率为0，假设赎回当日A类基金份额净值是1.0160元，则其可得到的赎回金额为10,160.00元。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份额净值的计算，均保留到小数点后4位，小数点后第5位四舍五入，由此产生的收益或损失由基金财产承担。</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w:t>
      </w:r>
      <w:r>
        <w:rPr>
          <w:rFonts w:ascii="宋体" w:hAnsi="宋体"/>
          <w:sz w:val="24"/>
        </w:rPr>
        <w:lastRenderedPageBreak/>
        <w:t>采用估值技术仍导致公允价值存在重大不确定性时，经与基金托管人协商确认后，基金管理人应当暂停接受基金申购申请。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w:t>
      </w:r>
      <w:r w:rsidRPr="00BB248E">
        <w:rPr>
          <w:rFonts w:ascii="宋体" w:hAnsi="宋体" w:hint="eastAsia"/>
          <w:b/>
          <w:kern w:val="0"/>
          <w:sz w:val="24"/>
        </w:rPr>
        <w:lastRenderedPageBreak/>
        <w:t>述情形，按基金合同的相关条款处理。基金份额持有人在申请赎回时可事先选择将当日可能未获受理部分予以撤销。在暂停赎回的情况消除时，基金管理人应及时恢复赎回业务的办理并公告。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w:t>
      </w:r>
      <w:r>
        <w:rPr>
          <w:rFonts w:ascii="宋体" w:hAnsi="宋体"/>
          <w:sz w:val="24"/>
        </w:rPr>
        <w:lastRenderedPageBreak/>
        <w:t>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2、如发生暂停的时间为1日，基金管理人应于重新开放日，在规定媒介上刊登基金重新开放申购或赎回公告，并公布最近1个开放日各类基金份额的基金份额净值。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w:t>
      </w:r>
      <w:r>
        <w:rPr>
          <w:rFonts w:ascii="宋体" w:hAnsi="宋体"/>
          <w:sz w:val="24"/>
        </w:rPr>
        <w:lastRenderedPageBreak/>
        <w:t>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本基金2021年11月3日刊登公告自2021年11月4日起开通定期定额投资计划业务，具体开通销售机构名单和业务规则参见相关公告。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w:t>
      </w:r>
      <w:r>
        <w:rPr>
          <w:rFonts w:ascii="宋体" w:hAnsi="宋体"/>
          <w:sz w:val="24"/>
        </w:rPr>
        <w:lastRenderedPageBreak/>
        <w:t>告。</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12" w:name="_Toc240548858"/>
      <w:r>
        <w:rPr>
          <w:rFonts w:ascii="Times New Roman" w:hAnsi="Times New Roman"/>
          <w:sz w:val="30"/>
        </w:rPr>
        <w:lastRenderedPageBreak/>
        <w:t>九、基金的转换</w:t>
      </w:r>
      <w:bookmarkEnd w:id="12"/>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本基金2022年7月21日刊登公告自2022年7月25日起开放日常转换业务。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13" w:name="_Toc240548859"/>
      <w:r>
        <w:rPr>
          <w:rFonts w:ascii="Times New Roman" w:hAnsi="Times New Roman"/>
          <w:sz w:val="30"/>
        </w:rPr>
        <w:lastRenderedPageBreak/>
        <w:t>十、基金的投资</w:t>
      </w:r>
      <w:bookmarkEnd w:id="13"/>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在合理控制风险的前提下，充分发挥专业的研究与管理能力，力争实现基金资产的长期稳健增值。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投资于品质增长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利用经交银施罗德研究团队修正后的投资时钟分析框架，通过“自上而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（1）“品质增长”主题界定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伴随着中国经济的快速持续增长，居民可支配收入不断提升，生活水平日益提高，能够提供优质产品、服务或解决方案并满足人们品质化需求的企业，将蕴含巨大的潜力与商机。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品质增长”主题覆盖的上市公司主要从以下两个方面进行考量：首先，本基金重点研究公司的行业景气度、商业模式、竞争优势等，并从战略、过程管理等方面分析公司治理结构，综合选择企业经营质量和产品或服务质量全面持续提升、真正实现有品质增长的上市公司；其次，考虑公司的发展能否契合国家政策支持方向、满足居民生活品质需求，深度挖掘能够提供使居民幸福感提升的产品、服务或解决方案的优质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时，本基金将对有关公司的发展进行密切跟踪，随着公司的不断发展，相关上市公司的范围也会相应改变，本基金在履行适当程序后可调整上述界定标准。本基金由于上述原因调整界定范围应及时告知基金托管人，并在更新的招募说明书中进行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（2）个股投资策略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■经营效率指标：如净资产收益率（ROE）、资产收益率（ROA）、经营资产回报率（Return on operating assets）等；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■财务状况指标：如资产负债率（D/A）、流动比率等；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■研发投入指标：如研发投入与营业收入比率、科研人员数量及占比、专利数量及在同行业的占比等。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3）港股通标的股票投资策略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将遵循品质增长主题相关股票的投资策略，优先将基本面健康、业绩向上弹性较大、具有估值优势的港股纳入本基金的股票投资组合。</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4）存托凭证的投资策略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最后，本基金根据对个股价值的评估和市场机会的判断构建股票组合，其中投资于品质增长主题相关证券的比例不低于非现金基金资产的80%。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以期获取债券市场的长期稳定收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5、股指期货投资策略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（1）股票投资（含存托凭证）占基金资产的比例为60%-95%（其中投资于港股通标的股票的比例占股票资产的0%-50%），投资于品质增长主题相关证券的比例不低于非现金基金资产的80%；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（5）本基金投资于同一原始权益人的各类资产支持证券的比例，不得超过基金资产净值的10％；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w:t>
      </w:r>
      <w:r>
        <w:rPr>
          <w:rFonts w:ascii="宋体" w:hAnsi="宋体"/>
          <w:sz w:val="24"/>
        </w:rPr>
        <w:lastRenderedPageBreak/>
        <w:t>资产净值的10%；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（5）向其基金管理人、基金托管人出资；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本基金业绩比较基准：沪深300指数收益率×70%+中证港股通综合指数（人民币）收益率×20%+中债-国债总财富（1-3年）指数收益率×10%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A股股票、港股通标的股票、债券等资产，相应选取与之匹配的A股指数、港股指数与债券指数作为基准要素；同时基于基金投资股票资产（含存托凭证）占基金资产的比例为60%-95%（其中投资于港股通标的股票的比例占股票资产的0%-50%）等投资比例限制，以及预期的资产配置比例，本基金将股票资产与债券资产所对应的基准要素权重分别设置为90%与10%，其中将股票资产中的A股股票与港股通标的股票所对应的基准要素权重分别设置为70%与20%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精选在公司治理、财务及管理品质上符合基本品质要求、估值具有吸引力的优质公司，从而力争在控制风险的基础上追求超越业绩比较基准的投资回报。综合考虑基准指数与产品定位和投资风格的匹配度，同时兼顾考虑基准指数的表征性、认可度，本基金选取沪深300指数和中证港股通综合指数（人民币）分别作为A股股票和港股通标的股票部分的业绩比较基准要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沪深300指数由沪深市场中规模大、流动性好的最具代表性的300只证券组成，</w:t>
      </w:r>
      <w:r>
        <w:rPr>
          <w:rFonts w:ascii="宋体" w:hAnsi="宋体"/>
          <w:sz w:val="24"/>
        </w:rPr>
        <w:lastRenderedPageBreak/>
        <w:t>以反映沪深市场上市公司证券的整体表现。该指数样本对沪深市场的覆盖度高，具有良好的市场代表性，与市场整体表现具有较高的相关度，适合作为本基金A股股票部分的业绩比较基准要素。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中证港股通综合指数（人民币）选取符合港股通资格的上市公司证券作为样本，反映港股通范围内上市公司的整体表现，适合作为本基金港股通标的股票部分的业绩比较基准要素。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于基金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选取中债-国债总财富（1-3年）指数作为债券部分的业绩比较基准要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中债-国债总财富（1-3年）指数隶属于中债-国债总指数，该指数成份券由在境内公开发行且上市流通的记账式国债组成，成份券待偿期在1-3年（含1年），适合作为本基金债券部分的业绩比较基准要素。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沪深300指数由中证指数有限公司编制发布，指数代码为000300，指数具体信息详见中证指数有限公司网站，网址：www.csindex.com.cn。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中证港股通综合指数（人民币）由中证指数有限公司编制发布，指数代码为930933，指数具体信息详见中证指数有限公司网站，网址：www.csindex.com.cn。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中债-国债总财富（1-3年）指数由中债金融估值中心有限公司编制发布，指数代码为CBA00621，指数具体信息详见中国债券信息网，网址：www.chinabond.com.cn。</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本基金先分别计算业绩比较基准中沪深300指数、中证港股通综合指数（人民币）、中债-国债总财富（1-3年）指数的每日收益率，再按照预设权重比例计算当日组合要素基准的日收益率，并连乘每日收益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管理人对基金实际投资与业绩比较基准的偏离情况进行动态跟踪与监测评估，监测指标主要包括超额收益、信息比率、跟踪误差、股票配置偏离度、基准覆盖率等，以更好管理基金实际投资与业绩比较基准的偏离情况，从而力争在控制风险的基础上追求超越业绩比较基准的投资回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（2）其他对基金份额持有人利益产生重大实质性影响的情形。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本基金是一只混合型基金，其预期风险和预期收益高于债券型基金和货币市场基金，低于股票型基金。</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本基金可投资港股通标的股票，会面临港股通机制下因投资环境、投资标的、市场制度以及交易规则等差异带来的特有风险。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（九）基金的投资组合报告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本基金管理人的董事会及董事保证本报告所载资料不存在虚假记载、误导性陈述或重大遗漏，并对其内容的真实性、准确性和完整性承担个别及连带责任。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本基金托管人中信银行股份有限公司根据本基金合同规定，于2026年04月20日复核了本报告中的财务指标、净值表现和投资组合报告等内容，保证复核内容不存在虚假记载、误导性陈述或者重大遗漏。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本投资组合报告期为2026年01月01日至03月31日。所载财务数据未经审计师审计。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1,014,183,847.17</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92.67</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1,014,183,847.17</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92.67</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2</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77,619,138.11</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7.09</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2,545,570.51</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0.23</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1,094,348,555.79</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注：本基金本报告期末通过港股通机制投资香港股票的公允价值为402,892,214.59元，占基金资产净值比例为37.14%。</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578,159,981.56</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53.30</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1,845.66</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55,983.42</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33,063,669.94</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3.05</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10,152.00</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P</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611,291,632.58</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56.36</w:t>
            </w:r>
          </w:p>
        </w:tc>
      </w:tr>
    </w:tbl>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241,661,243.92</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22.28</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主要消费</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129,575,331.79</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11.95</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19,022,557.34</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1.75</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10,672,084.91</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0.98</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原材料</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1,960,996.63</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402,892,214.59</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37.14</w:t>
            </w:r>
          </w:p>
        </w:tc>
      </w:tr>
    </w:tbl>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600519</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贵州茅台</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70,114</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101,665,300.00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9.37</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000729</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燕京啤酒</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5,911,380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77,439,078.00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7.14</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002847</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盐津铺子</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1,264,376</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75,066,003.12</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6.92</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02097 HK</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蜜雪集团</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231,100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59,786,575.29</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5.51</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09633 HK</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农夫山泉</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1,363,000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56,466,383.08</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5.21</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01318 HK</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毛戈平</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847,200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56,401,857.10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5.20</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605499</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东鹏饮料</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273,167</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56,072,990.09</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5.17</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300888</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稳健医疗</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1,623,680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53,613,913.60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4.94</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09987 HK</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百胜中国</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142,850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48,610,273.65</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4.48</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600702</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舍得酒业</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1,047,437</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47,365,101.14</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4.37</w:t>
            </w:r>
          </w:p>
        </w:tc>
      </w:tr>
    </w:tbl>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353,437.29</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2,164,594.94</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4</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27,538.28</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right"/>
              <w:rPr>
                <w:rFonts w:ascii="宋体" w:hAnsi="宋体"/>
                <w:color w:val="000000"/>
                <w:kern w:val="0"/>
                <w:sz w:val="25"/>
                <w:szCs w:val="24"/>
              </w:rPr>
            </w:pPr>
            <w:r>
              <w:rPr>
                <w:rFonts w:ascii="Times New Roman" w:hAnsi="Times New Roman"/>
                <w:color w:val="000000"/>
                <w:kern w:val="0"/>
                <w:sz w:val="25"/>
                <w:szCs w:val="24"/>
              </w:rPr>
              <w:t>2,545,570.51</w:t>
            </w:r>
          </w:p>
        </w:tc>
      </w:tr>
    </w:tbl>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14" w:name="_Toc240548860"/>
      <w:r>
        <w:rPr>
          <w:rFonts w:ascii="Times New Roman" w:hAnsi="Times New Roman"/>
          <w:sz w:val="30"/>
        </w:rPr>
        <w:lastRenderedPageBreak/>
        <w:t>十一、基金的业绩</w:t>
      </w:r>
      <w:bookmarkEnd w:id="14"/>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（1）交银品质增长持有期混合A：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A71A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A71A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-7.16%</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1.32%</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-2.40%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-4.76%</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r>
      <w:tr w:rsidR="00A71A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-5.64%</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13.13%</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-18.77%</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r>
      <w:tr w:rsidR="00A71A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-11.83%</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1.75%</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13.36%</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-25.19%</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r>
      <w:tr w:rsidR="00A71A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-19.05%</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1.13%</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-6.70%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-12.35%</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rsidR="00A71A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-3.71%</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1.73%</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-14.07%</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10.36%</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r>
      <w:tr w:rsidR="00A71A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4.03%</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-2.80%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6.83%</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bl>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（2）交银品质增长持有期混合C：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A71A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A71A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-7.36%</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1.32%</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-2.40%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-4.96%</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r>
      <w:tr w:rsidR="00A71A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-6.37%</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13.13%</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-19.50%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r>
      <w:tr w:rsidR="00A71A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-12.54%</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1.75%</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13.36%</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-25.90%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r>
      <w:tr w:rsidR="00A71A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-19.69%</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1.13%</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-6.70%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-12.99%</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rsidR="00A71A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-4.48%</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1.73%</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-14.07%</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9.59%</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r>
      <w:tr w:rsidR="00A71A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3.66%</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-2.80%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6.46%</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bl>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注：本基金的业绩比较基准为沪深300指数收益率×65%+恒生指数收益率×5%+中证综合债券指数收益率×30%，每日进行再平衡过程。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A71A83" w:rsidRDefault="00E3014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交银品质增长一年持有期混合型证券投资基金</w:t>
      </w:r>
    </w:p>
    <w:p w:rsidR="00A71A83" w:rsidRDefault="00E3014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A71A83" w:rsidRDefault="00E3014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（2021年7月23日至2026年03月31日）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（1）交银品质增长持有期混合A</w:t>
      </w:r>
    </w:p>
    <w:p w:rsidR="00A71A83" w:rsidRDefault="00F9736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（2）交银品质增长持有期混合C</w:t>
      </w:r>
    </w:p>
    <w:p w:rsidR="00A71A83" w:rsidRDefault="00F9736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15" w:name="_Toc240548861"/>
      <w:r>
        <w:rPr>
          <w:rFonts w:ascii="Times New Roman" w:hAnsi="Times New Roman"/>
          <w:sz w:val="30"/>
        </w:rPr>
        <w:lastRenderedPageBreak/>
        <w:t>十二、基金的财产</w:t>
      </w:r>
      <w:bookmarkEnd w:id="15"/>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16" w:name="_Toc240548862"/>
      <w:r>
        <w:rPr>
          <w:rFonts w:ascii="Times New Roman" w:hAnsi="Times New Roman"/>
          <w:sz w:val="30"/>
        </w:rPr>
        <w:lastRenderedPageBreak/>
        <w:t>十三、基金资产的估值</w:t>
      </w:r>
      <w:bookmarkEnd w:id="16"/>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基金所拥有的股票、债券、资产支持证券、衍生工具和其他投资等持续以公允价值计量的金融资产及负债。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5、估值计算中涉及港币对人民币汇率的，将依据下列信息提供机构所提供的汇率为基准：当日中国人民银行公布的人民币与港币的中间价。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w:t>
      </w:r>
      <w:r>
        <w:rPr>
          <w:rFonts w:ascii="宋体" w:hAnsi="宋体"/>
          <w:sz w:val="24"/>
        </w:rPr>
        <w:lastRenderedPageBreak/>
        <w:t>基金资产净值除以当日该类基金份额的余额数量计算，精确到0.0001元，小数点后第5位四舍五入。基金管理人可以设立大额赎回情形下的净值精度应急调整机制，具体可参见相关公告。国家另有规定的，从其规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w:t>
      </w:r>
      <w:r>
        <w:rPr>
          <w:rFonts w:ascii="宋体" w:hAnsi="宋体"/>
          <w:sz w:val="24"/>
        </w:rPr>
        <w:lastRenderedPageBreak/>
        <w:t>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（3）当基金份额净值计算差错给基金和基金份额持有人造成损失需要进行赔偿时，基金管理人和基金托管人应根据实际情况界定双方承担的责任，经确认后按以下条款进行赔偿：</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（4）前述内容如法律法规或监管机关另有规定的，从其规定处理。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w:t>
      </w:r>
      <w:r>
        <w:rPr>
          <w:rFonts w:ascii="宋体" w:hAnsi="宋体"/>
          <w:sz w:val="24"/>
        </w:rPr>
        <w:lastRenderedPageBreak/>
        <w:t>对基金净值予以公布。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17" w:name="_Toc240548863"/>
      <w:r>
        <w:rPr>
          <w:rFonts w:ascii="Times New Roman" w:hAnsi="Times New Roman"/>
          <w:sz w:val="30"/>
        </w:rPr>
        <w:lastRenderedPageBreak/>
        <w:t>十四、基金收益与分配</w:t>
      </w:r>
      <w:bookmarkEnd w:id="17"/>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投资者红利再投资所得基金份额不受最短持有期限制；若投资者不选择，本基金默认的收益分配方式是现金分红；基金份额持有人可对其持有的A类基金份额和C类基金份额分别选择不同的收益分配方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（六）基金收益分配中发生的费用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18" w:name="_Toc240548864"/>
      <w:r>
        <w:rPr>
          <w:rFonts w:ascii="Times New Roman" w:hAnsi="Times New Roman"/>
          <w:sz w:val="30"/>
        </w:rPr>
        <w:lastRenderedPageBreak/>
        <w:t>十五、基金的费用与税收</w:t>
      </w:r>
      <w:bookmarkEnd w:id="18"/>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10、本基金从C类基金份额的基金财产中计提的销售服务费；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H＝E×1.2%÷当年天数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无误后于次月首日起3个工作日内从基金财产中一次性支付给基金管理人。若遇法定节假日、休息日或不可抗力致使无法按时支付的，顺延至最近可支付日支付。</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本基金的托管费按前一日基金资产净值的0.2%年费率计提。托管费的计算方法如下：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H＝E×0.2%÷当年天数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无误后于次月首日起3个工作日内从基金财产中一次性支付给基金托管人。若遇法定节假日、休息日或不可抗力致使无法按时支付的，顺延至最近可支付日支付。</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本基金A类基金份额不收取销售服务费，C类基金份额的销售服务费按前一日C类基金资产净值的0.8%年费率计提。计算方法如下：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H＝E×0.8%÷当年天数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逐日累计至每月月末，按月支付。由基金管理人与基金托管人核对一致后，由基金托管人按照与基金管理人协商一致的方式自动于次月首日起5个工作日内从基金财产中一次性支付给基金管理人，由基金管理人代付给销售机构，若遇法定节假日、休息日或不可抗力致使无法按时支付的，顺延至最近可支付日支付。</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（4）上述“（一）基金费用的种类”中第3－9项、第11项费用，根据有关法规及相应协议规定，按费用实际支出金额列入当期费用，由基金托管人从基金财产中支付。</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（三）不列入基金费用的项目</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19" w:name="_Toc240548865"/>
      <w:r>
        <w:rPr>
          <w:rFonts w:ascii="Times New Roman" w:hAnsi="Times New Roman"/>
          <w:sz w:val="30"/>
        </w:rPr>
        <w:lastRenderedPageBreak/>
        <w:t>十六、基金的会计与审计</w:t>
      </w:r>
      <w:bookmarkEnd w:id="19"/>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7、基金托管人每月与基金管理人就基金的会计核算、报表编制等进行核对确认。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20" w:name="_Toc240548866"/>
      <w:r>
        <w:rPr>
          <w:rFonts w:ascii="Times New Roman" w:hAnsi="Times New Roman"/>
          <w:sz w:val="30"/>
        </w:rPr>
        <w:lastRenderedPageBreak/>
        <w:t>十七、基金的信息披露</w:t>
      </w:r>
      <w:bookmarkEnd w:id="20"/>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公开披露的基金信息包括：</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《基金合同》生效后，在开始办理基金份额申购或者赎回前，基金管理人应当至少每周在规定网站分别披露一次A类基金份额和C类基金份额所对应的基金份额净值和基金份额累计净值。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7、临时报告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w:t>
      </w:r>
      <w:r>
        <w:rPr>
          <w:rFonts w:ascii="宋体" w:hAnsi="宋体"/>
          <w:sz w:val="24"/>
        </w:rPr>
        <w:lastRenderedPageBreak/>
        <w:t>方式和费率发生变更；</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（25）本基金连续30个工作日、40个工作日、45个工作日出现基金份额持有人数量不满200人或者基金资产净值低于5000万元情形的；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w:t>
      </w:r>
      <w:r>
        <w:rPr>
          <w:rFonts w:ascii="宋体" w:hAnsi="宋体"/>
          <w:sz w:val="24"/>
        </w:rPr>
        <w:lastRenderedPageBreak/>
        <w:t>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13、基金投资股指期货情况</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w:t>
      </w:r>
      <w:r>
        <w:rPr>
          <w:rFonts w:ascii="宋体" w:hAnsi="宋体"/>
          <w:sz w:val="24"/>
        </w:rPr>
        <w:lastRenderedPageBreak/>
        <w:t>保证相关报送信息的真实、准确、完整、及时。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21" w:name="_Toc240548867"/>
      <w:r>
        <w:rPr>
          <w:rFonts w:ascii="Times New Roman" w:hAnsi="Times New Roman"/>
          <w:sz w:val="30"/>
        </w:rPr>
        <w:lastRenderedPageBreak/>
        <w:t>十八、侧袋机制</w:t>
      </w:r>
      <w:bookmarkEnd w:id="21"/>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A71A83" w:rsidRDefault="00E3014F">
      <w:pPr>
        <w:pStyle w:val="1"/>
        <w:snapToGrid w:val="0"/>
        <w:spacing w:beforeLines="0" w:before="240" w:after="240"/>
        <w:rPr>
          <w:rFonts w:ascii="宋体" w:hAnsi="宋体"/>
          <w:szCs w:val="30"/>
        </w:rPr>
      </w:pPr>
      <w:bookmarkStart w:id="22" w:name="_Toc240548868"/>
      <w:r>
        <w:rPr>
          <w:rFonts w:ascii="Times New Roman" w:hAnsi="Times New Roman"/>
          <w:sz w:val="30"/>
        </w:rPr>
        <w:lastRenderedPageBreak/>
        <w:t>十九、风险揭示</w:t>
      </w:r>
      <w:bookmarkEnd w:id="22"/>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基金份额持有人持有的每份基金份额最短持有期限为一年，对于满足持有期限的投资人，在基金的所有开放日，基金管理人都有义务接受投资人的赎回。如果基金资产不能迅速转变成现金，或者变现为现金时使资金净值产生不利的影响，都会影响基金运作和收益水平。尤其是在发生巨额赎回时，如</w:t>
      </w:r>
      <w:r>
        <w:rPr>
          <w:rFonts w:ascii="宋体" w:hAnsi="宋体"/>
          <w:sz w:val="24"/>
        </w:rPr>
        <w:lastRenderedPageBreak/>
        <w:t>果基金资产变现能力差，可能会产生基金仓位调整的困难，导致流动性风险，可能影响基金份额净值。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自基金合同生效之日起不超过3个月开始办理申购业务，具体业务办理时间在申购开始公告中规定。基金管理人自基金合同生效之日起一年后的年度对日（含该日）开始办理赎回，具体业务办理时间在赎回开始公告中规定。对于每份基金份额，自其最短持有期限届满的下一工作日起（含该日），基金份额持有人方可就该基金份额提出赎回申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份额持有人多次认购或申购本基金导致持有多笔不同期限的本基金份额时，基金份额持有人在赎回时需特别关注申请赎回的基金份额数量，若申请赎回的基金份额超过了该基金份额持有人持续持有超过一年的基金份额数量，则基金份额持有人的赎回申请将全部被予以拒绝。基金份额持有人需承担赎回申请失败的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w:t>
      </w:r>
      <w:r>
        <w:rPr>
          <w:rFonts w:ascii="宋体" w:hAnsi="宋体"/>
          <w:sz w:val="24"/>
        </w:rPr>
        <w:lastRenderedPageBreak/>
        <w:t>正常赎回程序执行。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出现流动性风险，基金管理人经与基金托管人协商，在确保投资者得到公平对待的前提下，可实施备用的流动性风险管理工具，包括但不限于延期办理巨额赎回申请、暂停接受赎回申请、延缓支付赎回款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w:t>
      </w:r>
      <w:r>
        <w:rPr>
          <w:rFonts w:ascii="宋体" w:hAnsi="宋体"/>
          <w:sz w:val="24"/>
        </w:rPr>
        <w:lastRenderedPageBreak/>
        <w:t>比例时，可能由于基金经理的预判与市场的实际表现存在较大差异，出现资产配置不合理的风险，从而对基金收益造成不利影响。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4、基金合同提前终止风险。连续50个工作日出现基金份额持有人数量不满200人或者基金资产净值低于5000万元情形的，基金合同终止，不需召开基金份额持有人大会。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5、本基金可投资创业板股票，创业板个股上市后的前五个交易日不设价格涨跌幅限制，第六个交易日开始涨跌幅限制比例为20%。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w:t>
      </w:r>
      <w:r>
        <w:rPr>
          <w:rFonts w:ascii="宋体" w:hAnsi="宋体"/>
          <w:sz w:val="24"/>
        </w:rPr>
        <w:lastRenderedPageBreak/>
        <w:t>者系统出现故障等原因造成损失的风险。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（七）投资资产支持证券的特定风险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（八）投资流通受限证券的特定风险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（九）投资科创板股票的特定风险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（3）退市风险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（十）投资港股通标的股票的特定风险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w:t>
      </w:r>
      <w:r>
        <w:rPr>
          <w:rFonts w:ascii="宋体" w:hAnsi="宋体"/>
          <w:sz w:val="24"/>
        </w:rPr>
        <w:lastRenderedPageBreak/>
        <w:t>象、税务政策等方面都有一定的限制，而且此类限制可能会不断调整，这些限制因素的变化可能对本基金进入或退出当地市场造成障碍，从而对投资收益以及正常的申购赎回产生直接或间接的影响。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出现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w:t>
      </w:r>
      <w:r>
        <w:rPr>
          <w:rFonts w:ascii="宋体" w:hAnsi="宋体"/>
          <w:sz w:val="24"/>
        </w:rPr>
        <w:lastRenderedPageBreak/>
        <w:t>日的，以投票截止日的持有作为计算基准；投票数量超出持有数量的，按照比例分配持有基数。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 投资存托凭证的特定风险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（十二）本基金法律文件风险收益特征表述与销售机构基金风险评价可能不一致的风险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（十三）其他风险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2、因基金业务快速发展，在制度建设、人员配备、内控制度建立等方面的不完善产生的风险；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23" w:name="_Toc240548869"/>
      <w:r>
        <w:rPr>
          <w:rFonts w:ascii="Times New Roman" w:hAnsi="Times New Roman"/>
          <w:sz w:val="30"/>
        </w:rPr>
        <w:lastRenderedPageBreak/>
        <w:t>二十、基金合同的变更、终止与基金财产的清算</w:t>
      </w:r>
      <w:bookmarkEnd w:id="23"/>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24" w:name="_Toc240548870"/>
      <w:r>
        <w:rPr>
          <w:rFonts w:ascii="Times New Roman" w:hAnsi="Times New Roman"/>
          <w:sz w:val="30"/>
        </w:rPr>
        <w:lastRenderedPageBreak/>
        <w:t>二十一、基金合同内容摘要</w:t>
      </w:r>
      <w:bookmarkEnd w:id="24"/>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（4）根据相关市场规则，为基金开设资金账户、证券账户、期货结算账户等投资所需账户，为基金办理证券交易资金清算；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（6）按规定开设基金财产的资金账户、证券账户和期货结算账户等投资所需账户，按照《基金合同》的约定，根据基金管理人的投资指令，及时办理清算、交割事宜；</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w:t>
      </w:r>
      <w:r>
        <w:rPr>
          <w:rFonts w:ascii="宋体" w:hAnsi="宋体"/>
          <w:sz w:val="24"/>
        </w:rPr>
        <w:lastRenderedPageBreak/>
        <w:t>申购、赎回价格；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（12）保存基金份额持有人名册；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w:t>
      </w:r>
      <w:r>
        <w:rPr>
          <w:rFonts w:ascii="宋体" w:hAnsi="宋体"/>
          <w:sz w:val="24"/>
        </w:rPr>
        <w:lastRenderedPageBreak/>
        <w:t>《基金合同》当事人并不以在《基金合同》上书面签章或签字为必要条件。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（10）提供基金管理人和监管机构依法要求提供的信息，以及不时的更新和补充，并保证其真实性；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5）调整基金管理人、基金托管人的报酬标准或提高销售服务费率；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1）调低基金销售服务费；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w:t>
      </w:r>
      <w:r>
        <w:rPr>
          <w:rFonts w:ascii="宋体" w:hAnsi="宋体"/>
          <w:sz w:val="24"/>
        </w:rPr>
        <w:lastRenderedPageBreak/>
        <w:t>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w:t>
      </w:r>
      <w:r>
        <w:rPr>
          <w:rFonts w:ascii="宋体" w:hAnsi="宋体"/>
          <w:sz w:val="24"/>
        </w:rPr>
        <w:lastRenderedPageBreak/>
        <w:t>通知基金管理人和基金托管人到指定地点对表决意见的计票进行监督。基金管理人或基金托管人拒不派代表对表决意见的计票进行监督的，不影响表决意见的计票效力。</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w:t>
      </w:r>
      <w:r>
        <w:rPr>
          <w:rFonts w:ascii="宋体" w:hAnsi="宋体"/>
          <w:sz w:val="24"/>
        </w:rPr>
        <w:lastRenderedPageBreak/>
        <w:t>加收取表决意见的，不影响表决效力；</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w:t>
      </w:r>
      <w:r>
        <w:rPr>
          <w:rFonts w:ascii="宋体" w:hAnsi="宋体"/>
          <w:sz w:val="24"/>
        </w:rPr>
        <w:lastRenderedPageBreak/>
        <w:t>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w:t>
      </w:r>
      <w:r>
        <w:rPr>
          <w:rFonts w:ascii="宋体" w:hAnsi="宋体"/>
          <w:sz w:val="24"/>
        </w:rPr>
        <w:lastRenderedPageBreak/>
        <w:t>议、逐项表决。</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基金管理人、基金托管人和基金份额持有人应当执行生效的基金份额持有人大会的决议。生效的基金份额持有人大会决议对全体基金份额持有人、基金管理人、基金托管人均有约束力。</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十、本部分对基金份额持有人大会召开事由、召开条件、议事程序、表决条件等规定，凡是直接引用法律法规的部分，如将来法律法规修改导致相关内容被取消</w:t>
      </w:r>
      <w:r>
        <w:rPr>
          <w:rFonts w:ascii="宋体" w:hAnsi="宋体"/>
          <w:sz w:val="24"/>
        </w:rPr>
        <w:lastRenderedPageBreak/>
        <w:t>或变更的，基金管理人经与基金托管人协商一致并提前公告后，可直接对本部分内容进行修改和调整，无需召开基金份额持有人大会审议。</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2）对基金财产和债权债务进行清理和确认；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w:t>
      </w:r>
      <w:r>
        <w:rPr>
          <w:rFonts w:ascii="宋体" w:hAnsi="宋体"/>
          <w:sz w:val="24"/>
        </w:rPr>
        <w:lastRenderedPageBreak/>
        <w:t>定，仲裁费由败诉方承担。</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25" w:name="_Toc240548871"/>
      <w:r>
        <w:rPr>
          <w:rFonts w:ascii="Times New Roman" w:hAnsi="Times New Roman"/>
          <w:sz w:val="30"/>
        </w:rPr>
        <w:lastRenderedPageBreak/>
        <w:t>二十二、托管协议的内容摘要</w:t>
      </w:r>
      <w:bookmarkEnd w:id="25"/>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法定代表人：李庆萍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w:t>
      </w:r>
      <w:r>
        <w:rPr>
          <w:rFonts w:ascii="宋体" w:hAnsi="宋体"/>
          <w:sz w:val="24"/>
        </w:rPr>
        <w:lastRenderedPageBreak/>
        <w:t>售汇业务；代理开放式基金业务；办理黄金业务；黄金进出口；开展证券投资基金、企业年金基金、保险资金、合格境外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投资于品质增长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w:t>
      </w:r>
      <w:r>
        <w:rPr>
          <w:rFonts w:ascii="宋体" w:hAnsi="宋体"/>
          <w:sz w:val="24"/>
        </w:rPr>
        <w:lastRenderedPageBreak/>
        <w:t>标的股票的比例占股票资产的0%-50%），投资于品质增长主题相关证券的比例不低于非现金基金资产的80%；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a.本基金在任何交易日日终，持有的买入股指期货合约价值，不得超过基金资产净值的10%；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c.本基金在任何交易日日终，持有的卖出股指期货合约价值不得超过基金持有的股票总市值的20%；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法律法规对上述投资组合比例限制进行变更的，以变更后的规定为准。法律法规或监管部门取消上述限制，如适用于本基金，基金管理人在履行适当程序后，则本基金投资不再受相关限制。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（4）基金托管人依据有关法律法规的规定和基金合同的约定对于基金关联投资进行监督。</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w:t>
      </w:r>
      <w:r>
        <w:rPr>
          <w:rFonts w:ascii="宋体" w:hAnsi="宋体"/>
          <w:sz w:val="24"/>
        </w:rPr>
        <w:lastRenderedPageBreak/>
        <w:t>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投资流通受限证券，应遵守有关法律法规规定。流通受限证券包括由《上市公司证券发行管理办法》规范的在发行时明确一定期限锁定期的可交易证券，不包括由于发布重大消息或其他原因而临时停牌的证券、已发行未上市证券、回购交易中的质押券等流通受限证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（7）基金托管人根据有关法律法规的规定及基金合同的约定，对基金管理人选择存款银行进行监督。</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3）基金管理人与基金托管人在开展基金存款业务时，应严格遵守《基金法》、《运作办法》等有关法律法规，以及国家有关账户管理、利率管理、支付结算等的各项规定。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各类基金份额的基金资产净值计算、基金份额净值计算、应收资金到账、基金费用开支及收入确定、基金收益分配、相关信息披露、基金宣传推介材料中登载基金业绩表现数据等进行监督和核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基金托管人发现基金管理人的投资指令违反关法律法规规定或者违反基金合同约定的，应当拒绝执行，立即通知基金管理人。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w:t>
      </w:r>
      <w:r>
        <w:rPr>
          <w:rFonts w:ascii="宋体" w:hAnsi="宋体"/>
          <w:sz w:val="24"/>
        </w:rPr>
        <w:lastRenderedPageBreak/>
        <w:t>或采取拖延、欺诈等手段妨碍基金托管人进行有效监督，情节严重或经基金托管人提出警告仍不改正的，基金托管人应报告中国证监会。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遵守中华人民共和国反洗钱法律法规，不参与涉嫌洗钱、恐怖融资、扩散融资等违法犯罪活动；主动配合基金托管人客户身份识别与尽职调查，提供真实、准确、完整客户资料，遵守反洗钱与反恐怖融资相关管理规定。对具备合理理由怀疑涉嫌洗钱、恐怖融资的客户，基金托管人将按照中国人民银行反洗钱监管规定采取必要管控措施。</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安全保管基金财产、开设基金财产的资金账户和证券账户等投资所需账户、复核基金管理人计算的各类基金份额的基金资产净值和基金份额净值、根据基金管理人指令办理清算交收、相关信息披露和监督基金投资运作等行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（1）基金财产应独立于基金管理人、基金托管人的固有财产。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（3）基金托管人按照规定开设基金财产的资金账户和证券账户等投资所需账户。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基金募集期间募集认购款项应存于基金认购专用账户，该账户由基金管理人或基金管理人委托的登记机构开立并管理。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符合《中华人民共和国证券法》规定的会计师事务所进行验资，出具验资报告，出具的验资报告应由参加验资的2名以上（含2名）中国注册会计师签字有效。</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若基金募集期限届满，未能达到基金备案条件，由基金管理人按规定办理退款事宜，基金托管人应提供充分协助。</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（3）基金银行账户的开立和管理应符合有关法律法规以及银行业监督管理机构的有关规定。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基金托管人以基金托管人和本基金联名的方式在中国证券登记结算有限责任公司上海分公司/深圳分公司开设证券账户。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本基金进行交易；基金托管人负责以本基金的名义在中央国债登记结算有限责任公司开设银行间债券市场债券托管账户，并由基金托管人负责本基金的债券的后台匹配及资金的清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银行间市场清算所股份有限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8、与基金财产有关的重大合同的保管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本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不低于法律法规规定的最低期限。对于无法取得二份以上的正本的，基金管理人应向基金托管人提供加盖授权业务章的合同传真件，未经双方协商或未在合同约定范围内，合同原件不得转移，由基金管理人保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（五）基金资产净值计算和会计核算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各类基金份额的基金份额净值是指每个工作日闭市后，该类基金份额的基金资产净值除以当日该类基金份额的基金份额的数值。基金份额净值的计算保留到小数点后4位，小数点后第5位四舍五入。基金管理人可以设立大额赎回情形下的净值精度应急调整机制，具体可参见相关公告。国家另有规定的，从其规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估值日对各类基金份额的基金资产估值，但基金管理人根据法律法规或基金合同的规定暂停估值时除外。估值原则应符合基金合同及相关法律、法规的规定。各类基金份额的基金资产净值和基金份额净值由基金管理人负责计算，基金托管人复核。基金管理人应于每个估值日交易结束后计算当日的各类基金份额净值并以双方认可的方式发送给基金托管人。基金托管人对净值计算结果复核后以双方认可的方式发送给基金管理人，由基金管理人依据基金合同和相关法律法规的规定对基金净值予以公布。月末、年中和年末估值复核与基金会计账目的核对同时进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各类基金份额的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净值信息的计算结果对外予以</w:t>
      </w:r>
      <w:r>
        <w:rPr>
          <w:rFonts w:ascii="宋体" w:hAnsi="宋体"/>
          <w:sz w:val="24"/>
        </w:rPr>
        <w:lastRenderedPageBreak/>
        <w:t>公布。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基金所拥有的股票、债券、资产支持证券、衍生工具和其他投资等持续以公允价值计量的金融资产及负债。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（2）估值原则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（3）估值方法</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w:t>
      </w:r>
      <w:r>
        <w:rPr>
          <w:rFonts w:ascii="宋体" w:hAnsi="宋体"/>
          <w:sz w:val="24"/>
        </w:rPr>
        <w:lastRenderedPageBreak/>
        <w:t>易日后经济环境发生了重大变化或证券发行机构发生影响证券价格的重大事件的，可参考类似投资品种的现行市价及重大变化因素，调整最近交易市价，确定公允价格；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②交易所上市交易或挂牌转让的固定收益品种（另有规定的除外），选取估值日第三方估值机构提供的相应品种当日的估值净价进行估值；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④交易所上市实行全价交易的债券（可转债除外），选取第三方估值机构提供的估值全价减去估值全价中所含的债券（税后）应收利息得到的净价进行估值；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⑤交易所上市不存在活跃市场的有价证券，采用估值技术确定公允价值。交易所市场挂牌转让的资产支持证券，采用估值技术确定公允价值；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①送股、转增股、配股和公开增发的新股，按估值日在证券交易所挂牌的同一股票的估值方法估值；该日无交易的，以最近一日的市价（收盘价）估值；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②首次公开发行未上市的股票和债券，采用估值技术确定公允价值，在估值技术难以可靠计量公允价值的情况下，按成本估值；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w:t>
      </w:r>
      <w:r>
        <w:rPr>
          <w:rFonts w:ascii="宋体" w:hAnsi="宋体"/>
          <w:sz w:val="24"/>
        </w:rPr>
        <w:lastRenderedPageBreak/>
        <w:t>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5）估值计算中涉及港币对人民币汇率的，将依据下列信息提供机构所提供的汇率为基准：当日中国人民银行公布的人民币与港币的中间价。</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资产净值、基金份额净值已由基金托管人复核确认后公告的，由此造成的投资人或基金的损失，应根据法律法规的规定对投资人或基金支付赔偿金，就实际向投资人或基金支付的赔偿金额，基金管理人与基金托管人按照过错程度各自承担相应的责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由于一方当事人提供的信息错误，另一方当事人在采取了必要合理的措施后仍不能发现该错误，进而导致基金资产净值、基金份额净值计算错误造成投资人或基金的损失，以及由此造成以后交易日基金资产净值、基金份额净值计算顺延错误而引起的投资人或基金的损失，由提供错误信息的当事人一方负责赔偿。</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资产净值与基金托管人的计算结果不一致时，相关各方应本着勤勉尽责的态度重新计算核对，如果最后仍无法达成一致，应以基金管理人的计算结果为准对外公布，由此造成的损失由基金管理人承担赔偿责任，基金托管人不负赔偿责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基金管理人或基金托管人按估值方法的第（6）项进行估值的，所造成的误差不作为基金资产估值错误处理。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基金托管人之外的第三方造成基金资产的损失，并拒绝进行赔偿时，由基金管理人负责向估值错误责任方追偿。</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4、基金账册的建立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5、基金定期报告的编制和复核</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基金财务报表由基金管理人和基金托管人每月分别独立编制。月度报表的编制，应于每月终了后5个工作日内完成。</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基金管理人在季度结束之日起15个工作日内完成季度报告编制并公告；在上半年结束之日起两个月内完成中期报告编制并公告；在每年结束之日起三个月内完成年度报告编制并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核对无误后，基金托管人在基金管理人提供的报告上加盖业务印鉴或者出具加盖托管业务部门公章的复核意见书，相关各方各自留存一份。</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基金托管人在对月度报表、季度、中期报告或年度报告复核完毕后，需盖章确认或出具相应的复核确认书，以备有权机构对相关文件审核时提示。</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6、暂停估值的情形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基金管理人和基金托管人须分别妥善保管的基金份额持有人名册，基金份额持有人名册的内容必须包括基金份额持有人的名称和持有的基金份额。</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基金份额持有人名册由基金的登记机构根据基金管理人的指令编制和保管，基</w:t>
      </w:r>
      <w:r>
        <w:rPr>
          <w:rFonts w:ascii="宋体" w:hAnsi="宋体"/>
          <w:sz w:val="24"/>
        </w:rPr>
        <w:lastRenderedPageBreak/>
        <w:t>金管理人和基金托管人应按照目前相关规则分别保管基金份额持有人名册。保管方式可以采用电子或文档的形式。保管期限不低于法律法规规定的最低期限。</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不低于法律法规规定的最低期限。基金托管人不得将所保管的基金份额持有人名册用于基金托管业务以外的其他用途，并应遵守保密义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双方当事人均有约束力，除非仲裁裁决另有规定，仲裁费由败诉方承担。</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争议处理期间，双方当事人应恪守基金管理人和基金托管人职责，继续忠实、勤勉、尽责地履行基金合同和托管协议规定的义务，维护基金份额持有人的合法权益。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本协议受中国法律（不含港澳台地区法律）管辖。</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（八）基金托管协议的变更、终止与基金财产的清算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1、托管协议的变更与终止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w:t>
      </w:r>
      <w:r>
        <w:rPr>
          <w:rFonts w:ascii="宋体" w:hAnsi="宋体"/>
          <w:sz w:val="24"/>
        </w:rPr>
        <w:lastRenderedPageBreak/>
        <w:t>权；</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2、基金财产的清算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（1）基金财产的清算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①《基金合同》终止情形出现时，由基金财产清算小组统一接管基金；</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②对基金财产和债权债务进行清理和确认；</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③对基金财产进行估值和变现；</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④制作清算报告；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⑤聘请会计师事务所对清算报告进行外部审计，聘请律师事务所对清算报告出具法律意见书；</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⑥将清算报告报中国证监会备案并公告；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⑦对基金剩余财产进行分配。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（4）基金财产清算剩余资产的分配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（5）基金财产清算的公告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26" w:name="_Toc240548872"/>
      <w:r>
        <w:rPr>
          <w:rFonts w:ascii="Times New Roman" w:hAnsi="Times New Roman"/>
          <w:sz w:val="30"/>
        </w:rPr>
        <w:lastRenderedPageBreak/>
        <w:t>二十三、对基金份额持有人的服务</w:t>
      </w:r>
      <w:bookmarkEnd w:id="26"/>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基金份额的申购、赎回、定期定额投资、转换等业务。通过网上直销交易平台办理本基金申购和定期定额投资业务的个人投资者将享受申购费率的优惠。具体优惠费率请参见公司网站列示的网上直销交易平台申购、定期定额投资及转换费率表或相关公告。基金网上直销交易平台已开通的银行卡及各银行卡交易金额限额请参阅本基金管理人网站。</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本基金收益分配时，基金份额持有人持有的基金份额可选择现金红利或选择红利再投将现金红利自动转为相应类别的基金份额进行再投资，若投资人不选择，本</w:t>
      </w:r>
      <w:r>
        <w:rPr>
          <w:rFonts w:ascii="宋体" w:hAnsi="宋体"/>
          <w:sz w:val="24"/>
        </w:rPr>
        <w:lastRenderedPageBreak/>
        <w:t>基金默认的收益分配方式是现金分红。再投资红利按红利再投日（即除息日）除息后的基金份额净值自动转为相应类别的基金份额，并免收申购费用。</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27" w:name="_Toc240548873"/>
      <w:r>
        <w:rPr>
          <w:rFonts w:ascii="Times New Roman" w:hAnsi="Times New Roman"/>
          <w:sz w:val="30"/>
        </w:rPr>
        <w:lastRenderedPageBreak/>
        <w:t>二十四、其他应披露事项</w:t>
      </w:r>
      <w:bookmarkEnd w:id="27"/>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交银施罗德品质增长一年持有期混合型证券投资基金招募说明书更新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交银施罗德品质增长一年持有期混合型证券投资基金（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交银施罗德品质增长一年持有期混合型证券投资基金（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交银施罗德品质增长一年持有期混合型证券投资基金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交银施罗德品质增长一年持有期混合型证券投资基金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交银施罗德品质增长一年持有期混合型证券投资基金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交银施罗德品质增长一年持有期混合型证券投资基金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交银施罗德品质增长一年持有期混合型证券投资基金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A71A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交银施罗德品质增长一年持有期混合型证券投资基金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1A83" w:rsidRDefault="00E3014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28" w:name="_Toc240548874"/>
      <w:r>
        <w:rPr>
          <w:rFonts w:ascii="Times New Roman" w:hAnsi="Times New Roman"/>
          <w:sz w:val="30"/>
        </w:rPr>
        <w:lastRenderedPageBreak/>
        <w:t>二十五、招募说明书的存放及查阅方式</w:t>
      </w:r>
      <w:bookmarkEnd w:id="28"/>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E3014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1A83" w:rsidRDefault="00E3014F">
      <w:pPr>
        <w:pStyle w:val="1"/>
        <w:snapToGrid w:val="0"/>
        <w:spacing w:beforeLines="0" w:before="240" w:after="240"/>
        <w:rPr>
          <w:rFonts w:ascii="宋体" w:hAnsi="宋体"/>
          <w:szCs w:val="30"/>
        </w:rPr>
      </w:pPr>
      <w:bookmarkStart w:id="29" w:name="_Toc240548875"/>
      <w:r>
        <w:rPr>
          <w:rFonts w:ascii="Times New Roman" w:hAnsi="Times New Roman"/>
          <w:sz w:val="30"/>
        </w:rPr>
        <w:lastRenderedPageBreak/>
        <w:t>二十六、备查文件</w:t>
      </w:r>
      <w:bookmarkEnd w:id="29"/>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（一）中国证监会准予交银施罗德品质增长一年持有期混合型证券投资基金募集注册的文件</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（二）《交银施罗德品质增长一年持有期混合型证券投资基金基金合同》</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（三）《交银施罗德品质增长一年持有期混合型证券投资基金托管协议》</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A71A83" w:rsidRDefault="00E3014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（六）关于申请募集注册交银施罗德品质增长一年持有期混合型证券投资基金的法律意见书</w:t>
      </w:r>
    </w:p>
    <w:sectPr w:rsidR="00A71A83">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74F0" w:rsidRDefault="00E3014F">
      <w:r>
        <w:separator/>
      </w:r>
    </w:p>
  </w:endnote>
  <w:endnote w:type="continuationSeparator" w:id="0">
    <w:p w:rsidR="00FC74F0" w:rsidRDefault="00E30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A83" w:rsidRDefault="00A71A8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A83" w:rsidRDefault="00F9736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A71A83" w:rsidRDefault="00E3014F">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F97368">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A83" w:rsidRDefault="00A71A83">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A83" w:rsidRDefault="00F9736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A71A83" w:rsidRDefault="00E3014F">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F97368">
                  <w:rPr>
                    <w:rFonts w:ascii="Times New Roman" w:hAnsi="Times New Roman"/>
                    <w:noProof/>
                    <w:kern w:val="0"/>
                    <w:sz w:val="18"/>
                    <w:szCs w:val="18"/>
                  </w:rPr>
                  <w:t>168</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74F0" w:rsidRDefault="00E3014F">
      <w:r>
        <w:separator/>
      </w:r>
    </w:p>
  </w:footnote>
  <w:footnote w:type="continuationSeparator" w:id="0">
    <w:p w:rsidR="00FC74F0" w:rsidRDefault="00E301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A83" w:rsidRDefault="00A71A8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A83" w:rsidRDefault="00E3014F">
    <w:pPr>
      <w:pStyle w:val="a3"/>
      <w:jc w:val="right"/>
      <w:rPr>
        <w:rFonts w:ascii="宋体" w:hAnsi="宋体"/>
      </w:rPr>
    </w:pPr>
    <w:r>
      <w:rPr>
        <w:rFonts w:ascii="宋体" w:hAnsi="宋体" w:hint="eastAsia"/>
      </w:rPr>
      <w:t>交银施罗德品质增长一年持有期混合型证券投资基金招募说明书更新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A83" w:rsidRDefault="00A71A83">
    <w:pPr>
      <w:pStyle w:val="10"/>
      <w:jc w:val="right"/>
    </w:pPr>
  </w:p>
  <w:p w:rsidR="00A71A83" w:rsidRDefault="00A71A83">
    <w:pPr>
      <w:pStyle w:val="10"/>
      <w:jc w:val="right"/>
    </w:pPr>
  </w:p>
  <w:p w:rsidR="00A71A83" w:rsidRDefault="00A71A83">
    <w:pPr>
      <w:pStyle w:val="a3"/>
      <w:jc w:val="right"/>
    </w:pPr>
  </w:p>
  <w:p w:rsidR="00A71A83" w:rsidRDefault="00E3014F">
    <w:pPr>
      <w:pStyle w:val="a3"/>
      <w:jc w:val="right"/>
      <w:rPr>
        <w:rFonts w:ascii="宋体" w:hAnsi="宋体"/>
      </w:rPr>
    </w:pPr>
    <w:r>
      <w:rPr>
        <w:rFonts w:ascii="宋体" w:hAnsi="宋体" w:hint="eastAsia"/>
      </w:rPr>
      <w:t>交银施罗德品质增长一年持有期混合型证券投资基金招募说明书更新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A83" w:rsidRDefault="00A71A83">
    <w:pPr>
      <w:pStyle w:val="a3"/>
      <w:jc w:val="right"/>
    </w:pPr>
  </w:p>
  <w:p w:rsidR="00A71A83" w:rsidRDefault="00A71A83">
    <w:pPr>
      <w:pStyle w:val="a3"/>
      <w:jc w:val="right"/>
    </w:pPr>
  </w:p>
  <w:p w:rsidR="00A71A83" w:rsidRDefault="00A71A83">
    <w:pPr>
      <w:pStyle w:val="a3"/>
      <w:jc w:val="right"/>
    </w:pPr>
  </w:p>
  <w:p w:rsidR="00A71A83" w:rsidRDefault="00E3014F">
    <w:pPr>
      <w:pStyle w:val="a3"/>
      <w:jc w:val="right"/>
      <w:rPr>
        <w:rFonts w:ascii="宋体" w:hAnsi="宋体"/>
      </w:rPr>
    </w:pPr>
    <w:r>
      <w:rPr>
        <w:rFonts w:ascii="宋体" w:hAnsi="宋体" w:hint="eastAsia"/>
      </w:rPr>
      <w:t>交银施罗德品质增长一年持有期混合型证券投资基金招募说明书更新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1A8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014F"/>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368"/>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4F0"/>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DF30885E-6A27-4C48-B513-0CF94912A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169</Pages>
  <Words>17754</Words>
  <Characters>101203</Characters>
  <Application>Microsoft Office Word</Application>
  <DocSecurity>0</DocSecurity>
  <Lines>843</Lines>
  <Paragraphs>237</Paragraphs>
  <ScaleCrop>false</ScaleCrop>
  <Company>Microsoft</Company>
  <LinksUpToDate>false</LinksUpToDate>
  <CharactersWithSpaces>118720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2026-09-17T06:47:00Z</dcterms:created>
  <dcterms:modified xsi:type="dcterms:W3CDTF">2026-09-17T06:47:00Z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