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交银施罗德双轮动债券型证券投资基金（C类份额）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交银双轮动债券C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2013-04-18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债券型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黄莹洁</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2025-12-27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2008-02-15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唐赟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2015-08-04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2010-07-05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本基金在严格控制投资风险的基础上，通过积极主动的投资管理，把握债券市场轮动带来的机会，力争实现基金资产长期稳健的增值。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债、央行票据、地方政府债、金融债、企业债、短期融资券、中期票据、公司债、分离交易可转债、资产支持证券、债券回购、银行存款等固定收益类资产以及法律法规或中国证监会允许基金投资的其他金融工具(但须符合中国证监会相关规定)。本基金不直接在二级市场买入股票、权证等权益类资产，也不参与一级市场新股申购和新股增发。因投资于分离交易可转债而产生的权证，在其可交易之日起的30个交易日内卖出。同时本基金不参与可转换债券投资(分离交易可转债除外)。</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基金的投资组合比例为：固定收益类资产的比例不低于基金资产净值的80%；现金或到期日在一年以内的政府债券的比例合计不低于基金资产净值的5%，其中现金不包括结算备付金、存出保证金、应收申购款等。</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将规范化的基本面研究、严谨的信用分析与积极主动的投资风格相结合，在分析和判断宏观经济运行状况和金融市场运行趋势的基础上，判断不同类别债券在经济周期的不同阶段的相对投资价值，动态调整大类金融资产比例，自上而下决定类属资产配置和债券组合久期、期限结构。同时，通过对信用债发债主体所处行业的景气轮动判断，并结合内部信用评级系统，综合考察信用债券的信用评级，在严谨深入的分析基础上，综合考量各类债券的流动性、供求关系和收益率水平等，自下而上地精选个券。</w:t>
            </w:r>
          </w:p>
          <w:p>
            <w:pPr>
              <w:ind w:firstLine="420"/>
              <w:jc w:val="left"/>
              <w:rPr>
                <w:rFonts w:ascii="仿宋_GB2312" w:eastAsia="仿宋_GB2312"/>
                <w:szCs w:val="21"/>
              </w:rPr>
            </w:pPr>
            <w:r>
              <w:rPr>
                <w:rFonts w:hint="eastAsia" w:ascii="仿宋_GB2312" w:eastAsia="仿宋_GB2312"/>
                <w:szCs w:val="21"/>
              </w:rPr>
              <w:t>1、大类资产配置；2、债券投资策略。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中债-综合全价（1-3年）指数收益率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债券型基金，属于证券投资基金中中等风险的品种，其长期平均的预期收益和预期风险高于货币市场基金，低于混合型基金和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详见《交银施罗德双轮动债券型证券投资基金招募说明书》“基金的投资”。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37"/>
        <w:gridCol w:w="2826"/>
        <w:gridCol w:w="1750"/>
        <w:gridCol w:w="1995"/>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0.30%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0.40%</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60000.00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（1）政策风险、（2）经济周期风险、（3）利率风险、（4）信用风险、（5）购买力风险、（6）债券收益率曲线变动风险、（7）再投资风险、（8）经营风险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4、交易对手违约风险</w:t>
      </w:r>
    </w:p>
    <w:p>
      <w:pPr>
        <w:ind w:firstLine="420"/>
        <w:jc w:val="left"/>
        <w:rPr>
          <w:rFonts w:ascii="仿宋_GB2312" w:eastAsia="仿宋_GB2312"/>
          <w:szCs w:val="21"/>
        </w:rPr>
      </w:pPr>
      <w:r>
        <w:rPr>
          <w:rFonts w:hint="eastAsia" w:ascii="仿宋_GB2312" w:eastAsia="仿宋_GB2312"/>
          <w:szCs w:val="21"/>
        </w:rPr>
        <w:t>5、投资本基金特有的风险</w:t>
      </w:r>
    </w:p>
    <w:p>
      <w:pPr>
        <w:ind w:firstLine="420"/>
        <w:jc w:val="left"/>
        <w:rPr>
          <w:rFonts w:ascii="仿宋_GB2312" w:eastAsia="仿宋_GB2312"/>
          <w:szCs w:val="21"/>
        </w:rPr>
      </w:pPr>
      <w:r>
        <w:rPr>
          <w:rFonts w:hint="eastAsia" w:ascii="仿宋_GB2312" w:eastAsia="仿宋_GB2312"/>
          <w:szCs w:val="21"/>
        </w:rPr>
        <w:t>（1）本基金为债券型基金，固定收益类资产的比例不低于基金资产净值的80%，因投资固定收益类资产而面临的固定收益类资产市场的系统性风险和个券风险；</w:t>
      </w:r>
    </w:p>
    <w:p>
      <w:pPr>
        <w:ind w:firstLine="420"/>
        <w:jc w:val="left"/>
        <w:rPr>
          <w:rFonts w:ascii="仿宋_GB2312" w:eastAsia="仿宋_GB2312"/>
          <w:szCs w:val="21"/>
        </w:rPr>
      </w:pPr>
      <w:r>
        <w:rPr>
          <w:rFonts w:hint="eastAsia" w:ascii="仿宋_GB2312" w:eastAsia="仿宋_GB2312"/>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7、其他风险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●《交银施罗德双轮动债券型证券投资基金基金合同》、</w:t>
      </w:r>
    </w:p>
    <w:p>
      <w:pPr>
        <w:ind w:firstLine="420"/>
        <w:jc w:val="left"/>
        <w:rPr>
          <w:rFonts w:ascii="仿宋_GB2312" w:eastAsia="仿宋_GB2312"/>
          <w:szCs w:val="21"/>
        </w:rPr>
      </w:pPr>
      <w:r>
        <w:rPr>
          <w:rFonts w:hint="eastAsia" w:ascii="仿宋_GB2312" w:eastAsia="仿宋_GB2312"/>
          <w:szCs w:val="21"/>
        </w:rPr>
        <w:t>《交银施罗德双轮动债券型证券投资基金托管协议》、</w:t>
      </w:r>
    </w:p>
    <w:p>
      <w:pPr>
        <w:ind w:firstLine="420"/>
        <w:jc w:val="left"/>
        <w:rPr>
          <w:rFonts w:ascii="仿宋_GB2312" w:eastAsia="仿宋_GB2312"/>
          <w:szCs w:val="21"/>
        </w:rPr>
      </w:pPr>
      <w:r>
        <w:rPr>
          <w:rFonts w:hint="eastAsia" w:ascii="仿宋_GB2312" w:eastAsia="仿宋_GB2312"/>
          <w:szCs w:val="21"/>
        </w:rPr>
        <w:t>《交银施罗德双轮动债券型证券投资基金招募说明书》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0E1197"/>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2F1647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550</Words>
  <Characters>3137</Characters>
  <Lines>26</Lines>
  <Paragraphs>7</Paragraphs>
  <TotalTime>6</TotalTime>
  <ScaleCrop>false</ScaleCrop>
  <LinksUpToDate>false</LinksUpToDate>
  <CharactersWithSpaces>3680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2026-09-17T08:16:47Z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C69102B25BDF45F4977B1DCCB78DAA0D</vt:lpwstr>
  </property>
</Properties>
</file>