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33CF8">
      <w:pPr>
        <w:rPr>
          <w:sz w:val="32"/>
        </w:rPr>
      </w:pPr>
    </w:p>
    <w:p w:rsidR="00C92FC0" w:rsidRPr="00EB07BC" w:rsidRDefault="00933CF8">
      <w:pPr>
        <w:rPr>
          <w:sz w:val="32"/>
        </w:rPr>
      </w:pPr>
    </w:p>
    <w:p w:rsidR="00C92FC0" w:rsidRPr="00EB07BC" w:rsidRDefault="00933CF8">
      <w:pPr>
        <w:rPr>
          <w:sz w:val="32"/>
        </w:rPr>
      </w:pPr>
    </w:p>
    <w:p w:rsidR="008808F6" w:rsidRDefault="008808F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808F6" w:rsidRDefault="008808F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808F6" w:rsidRDefault="008808F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808F6" w:rsidRDefault="002D28AD">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交银施罗德丰盈收益债券型证券投资基金</w:t>
      </w:r>
    </w:p>
    <w:p w:rsidR="008808F6" w:rsidRDefault="002D28AD">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8808F6" w:rsidRDefault="008808F6">
      <w:pPr>
        <w:snapToGrid w:val="0"/>
        <w:spacing w:line="360" w:lineRule="auto"/>
        <w:jc w:val="center"/>
        <w:rPr>
          <w:rFonts w:ascii="宋体" w:hAnsi="宋体"/>
          <w:b/>
          <w:sz w:val="30"/>
          <w:szCs w:val="30"/>
        </w:rPr>
      </w:pPr>
    </w:p>
    <w:p w:rsidR="008808F6" w:rsidRDefault="008808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808F6" w:rsidRDefault="008808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808F6" w:rsidRDefault="008808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808F6" w:rsidRDefault="008808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808F6" w:rsidRDefault="008808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808F6" w:rsidRDefault="008808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808F6" w:rsidRDefault="002D28A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8808F6" w:rsidRDefault="002D28A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8808F6" w:rsidRDefault="008808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808F6" w:rsidRDefault="008808F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808F6" w:rsidRDefault="002D28AD">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8808F6" w:rsidRDefault="008808F6">
      <w:pPr>
        <w:autoSpaceDE w:val="0"/>
        <w:autoSpaceDN w:val="0"/>
        <w:adjustRightInd w:val="0"/>
        <w:snapToGrid w:val="0"/>
        <w:spacing w:line="360" w:lineRule="auto"/>
        <w:ind w:left="1347" w:rightChars="6" w:right="13"/>
        <w:rPr>
          <w:rFonts w:ascii="宋体" w:hAnsi="宋体"/>
          <w:kern w:val="0"/>
          <w:sz w:val="32"/>
          <w:szCs w:val="32"/>
        </w:rPr>
        <w:sectPr w:rsidR="008808F6">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8808F6" w:rsidRDefault="002D28AD">
      <w:pPr>
        <w:pStyle w:val="1"/>
        <w:snapToGrid w:val="0"/>
        <w:spacing w:beforeLines="0" w:before="240" w:after="240"/>
        <w:rPr>
          <w:rFonts w:ascii="宋体" w:hAnsi="宋体"/>
          <w:kern w:val="0"/>
        </w:rPr>
      </w:pPr>
      <w:bookmarkStart w:id="0" w:name="_Toc324920538"/>
      <w:bookmarkStart w:id="1" w:name="_Toc496884613"/>
      <w:bookmarkStart w:id="2" w:name="_Toc240548799"/>
      <w:r>
        <w:rPr>
          <w:rFonts w:ascii="Times New Roman" w:hAnsi="Times New Roman"/>
          <w:kern w:val="0"/>
        </w:rPr>
        <w:lastRenderedPageBreak/>
        <w:t>重要提示</w:t>
      </w:r>
      <w:bookmarkEnd w:id="0"/>
      <w:bookmarkEnd w:id="1"/>
      <w:bookmarkEnd w:id="2"/>
    </w:p>
    <w:p w:rsidR="008808F6" w:rsidRDefault="002D28A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交银施罗德丰盈收益债券型证券投资基金（以下简称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2014</w:t>
      </w:r>
      <w:r>
        <w:rPr>
          <w:rFonts w:ascii="Times New Roman" w:hAnsi="Times New Roman"/>
          <w:kern w:val="0"/>
          <w:sz w:val="24"/>
        </w:rPr>
        <w:t>】</w:t>
      </w:r>
      <w:r>
        <w:rPr>
          <w:rFonts w:ascii="Times New Roman" w:hAnsi="Times New Roman"/>
          <w:kern w:val="0"/>
          <w:sz w:val="24"/>
        </w:rPr>
        <w:t>721</w:t>
      </w:r>
      <w:r>
        <w:rPr>
          <w:rFonts w:ascii="Times New Roman" w:hAnsi="Times New Roman"/>
          <w:kern w:val="0"/>
          <w:sz w:val="24"/>
        </w:rPr>
        <w:t>号文准予募集注册。本基金基金合同于</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日正式生效。</w:t>
      </w:r>
    </w:p>
    <w:p w:rsidR="008808F6" w:rsidRDefault="002D28A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rsidR="008808F6" w:rsidRDefault="002D28A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8808F6" w:rsidRDefault="002D28A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本基金在基金合同生效之日起三年</w:t>
      </w:r>
      <w:r>
        <w:rPr>
          <w:rFonts w:ascii="Times New Roman" w:hAnsi="Times New Roman"/>
          <w:kern w:val="0"/>
          <w:sz w:val="24"/>
        </w:rPr>
        <w:t>(</w:t>
      </w:r>
      <w:r>
        <w:rPr>
          <w:rFonts w:ascii="Times New Roman" w:hAnsi="Times New Roman"/>
          <w:kern w:val="0"/>
          <w:sz w:val="24"/>
        </w:rPr>
        <w:t>含三年</w:t>
      </w:r>
      <w:r>
        <w:rPr>
          <w:rFonts w:ascii="Times New Roman" w:hAnsi="Times New Roman"/>
          <w:kern w:val="0"/>
          <w:sz w:val="24"/>
        </w:rPr>
        <w:t>)</w:t>
      </w:r>
      <w:r>
        <w:rPr>
          <w:rFonts w:ascii="Times New Roman" w:hAnsi="Times New Roman"/>
          <w:kern w:val="0"/>
          <w:sz w:val="24"/>
        </w:rPr>
        <w:t>的期间内采取封闭式运作，按照基金合同的约定提前转换基金运作方式的情形除外。封闭期内，基金投资者不能申购、赎回本基金基金份额。本基金转入开放期后基金投资者方可申购、赎回本基金基金份额。</w:t>
      </w:r>
    </w:p>
    <w:p w:rsidR="008808F6" w:rsidRDefault="002D28A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本基金特有的其他风险等等。本基金是一只债券型基金，其风险与预期收益高于货币市场基金，低于混合型基金和股票型基金，属于证券投资基金中中等风险的品种。</w:t>
      </w:r>
    </w:p>
    <w:p w:rsidR="008808F6" w:rsidRDefault="002D28A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8808F6" w:rsidRDefault="002D28A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8808F6" w:rsidRDefault="008808F6">
      <w:pPr>
        <w:autoSpaceDE w:val="0"/>
        <w:autoSpaceDN w:val="0"/>
        <w:adjustRightInd w:val="0"/>
        <w:snapToGrid w:val="0"/>
        <w:spacing w:before="51" w:line="360" w:lineRule="auto"/>
        <w:ind w:left="120" w:rightChars="6" w:right="13" w:firstLine="480"/>
        <w:rPr>
          <w:rFonts w:ascii="宋体" w:hAnsi="宋体"/>
          <w:kern w:val="0"/>
          <w:szCs w:val="24"/>
        </w:rPr>
        <w:sectPr w:rsidR="008808F6">
          <w:headerReference w:type="default" r:id="rId14"/>
          <w:pgSz w:w="11920" w:h="16840"/>
          <w:pgMar w:top="1440" w:right="1680" w:bottom="280" w:left="1680" w:header="0" w:footer="1073" w:gutter="0"/>
          <w:pgNumType w:start="1"/>
          <w:cols w:space="720"/>
        </w:sectPr>
      </w:pPr>
    </w:p>
    <w:p w:rsidR="00933CF8" w:rsidRPr="00933CF8" w:rsidRDefault="002D28AD" w:rsidP="00933CF8">
      <w:pPr>
        <w:pStyle w:val="ad"/>
        <w:snapToGrid w:val="0"/>
        <w:spacing w:after="240" w:line="360" w:lineRule="auto"/>
        <w:jc w:val="center"/>
        <w:rPr>
          <w:rFonts w:ascii="宋体" w:hAnsi="宋体"/>
          <w:noProof/>
          <w:sz w:val="24"/>
        </w:rPr>
      </w:pPr>
      <w:r w:rsidRPr="00933CF8">
        <w:rPr>
          <w:rFonts w:ascii="宋体" w:hAnsi="宋体"/>
          <w:color w:val="000000"/>
          <w:position w:val="-4"/>
          <w:sz w:val="24"/>
          <w:szCs w:val="30"/>
        </w:rPr>
        <w:lastRenderedPageBreak/>
        <w:t>目</w:t>
      </w:r>
      <w:r w:rsidRPr="00933CF8">
        <w:rPr>
          <w:rFonts w:ascii="宋体" w:hAnsi="宋体"/>
          <w:color w:val="000000"/>
          <w:position w:val="-4"/>
          <w:sz w:val="24"/>
          <w:szCs w:val="30"/>
        </w:rPr>
        <w:tab/>
        <w:t>录</w:t>
      </w:r>
      <w:r w:rsidR="00933CF8" w:rsidRPr="00933CF8">
        <w:rPr>
          <w:rFonts w:ascii="宋体" w:hAnsi="宋体"/>
          <w:color w:val="000000"/>
          <w:position w:val="-4"/>
          <w:sz w:val="24"/>
          <w:szCs w:val="30"/>
        </w:rPr>
        <w:fldChar w:fldCharType="begin"/>
      </w:r>
      <w:r w:rsidR="00933CF8" w:rsidRPr="00933CF8">
        <w:rPr>
          <w:rFonts w:ascii="宋体" w:hAnsi="宋体"/>
          <w:color w:val="000000"/>
          <w:position w:val="-4"/>
          <w:sz w:val="24"/>
          <w:szCs w:val="30"/>
        </w:rPr>
        <w:instrText xml:space="preserve"> TOC \o "1-3" \f - \h \t "-1" </w:instrText>
      </w:r>
      <w:r w:rsidR="00933CF8" w:rsidRPr="00933CF8">
        <w:rPr>
          <w:rFonts w:ascii="宋体" w:hAnsi="宋体"/>
          <w:color w:val="000000"/>
          <w:position w:val="-4"/>
          <w:sz w:val="24"/>
          <w:szCs w:val="30"/>
        </w:rPr>
        <w:fldChar w:fldCharType="separate"/>
      </w:r>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799" w:history="1">
        <w:r w:rsidRPr="00933CF8">
          <w:rPr>
            <w:rStyle w:val="aa"/>
            <w:rFonts w:ascii="宋体" w:hAnsi="宋体" w:hint="eastAsia"/>
            <w:noProof/>
            <w:kern w:val="0"/>
            <w:sz w:val="24"/>
          </w:rPr>
          <w:t>重要提示</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_Toc240548799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0" w:history="1">
        <w:r w:rsidRPr="00933CF8">
          <w:rPr>
            <w:rStyle w:val="aa"/>
            <w:rFonts w:ascii="宋体" w:hAnsi="宋体" w:hint="eastAsia"/>
            <w:noProof/>
            <w:sz w:val="24"/>
          </w:rPr>
          <w:t>一、绪言</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_Toc240548800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4</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1" w:history="1">
        <w:r w:rsidRPr="00933CF8">
          <w:rPr>
            <w:rStyle w:val="aa"/>
            <w:rFonts w:ascii="宋体" w:hAnsi="宋体" w:hint="eastAsia"/>
            <w:noProof/>
            <w:sz w:val="24"/>
          </w:rPr>
          <w:t>二、释义</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_Toc240548801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5</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2" w:history="1">
        <w:r w:rsidRPr="00933CF8">
          <w:rPr>
            <w:rStyle w:val="aa"/>
            <w:rFonts w:ascii="宋体" w:hAnsi="宋体" w:hint="eastAsia"/>
            <w:noProof/>
            <w:sz w:val="24"/>
          </w:rPr>
          <w:t>三、基金管理人</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_Toc240548802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10</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3" w:history="1">
        <w:r w:rsidRPr="00933CF8">
          <w:rPr>
            <w:rStyle w:val="aa"/>
            <w:rFonts w:ascii="宋体" w:hAnsi="宋体" w:hint="eastAsia"/>
            <w:noProof/>
            <w:sz w:val="24"/>
          </w:rPr>
          <w:t>四、基金托管人</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_Toc240548803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17</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4" w:history="1">
        <w:r w:rsidRPr="00933CF8">
          <w:rPr>
            <w:rStyle w:val="aa"/>
            <w:rFonts w:ascii="宋体" w:hAnsi="宋体" w:hint="eastAsia"/>
            <w:noProof/>
            <w:sz w:val="24"/>
          </w:rPr>
          <w:t>五、相关服务机构</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_Toc240548804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21</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5" w:history="1">
        <w:r w:rsidRPr="00933CF8">
          <w:rPr>
            <w:rStyle w:val="aa"/>
            <w:rFonts w:ascii="宋体" w:hAnsi="宋体" w:hint="eastAsia"/>
            <w:noProof/>
            <w:sz w:val="24"/>
          </w:rPr>
          <w:t>六、基金的历史沿革</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_Toc240548805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45</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6" w:history="1">
        <w:r w:rsidRPr="00933CF8">
          <w:rPr>
            <w:rStyle w:val="aa"/>
            <w:rFonts w:ascii="宋体" w:hAnsi="宋体" w:hint="eastAsia"/>
            <w:noProof/>
            <w:sz w:val="24"/>
          </w:rPr>
          <w:t>七、基金合同的生效</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_Toc240548806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46</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7" w:history="1">
        <w:r w:rsidRPr="00933CF8">
          <w:rPr>
            <w:rStyle w:val="aa"/>
            <w:rFonts w:ascii="宋体" w:hAnsi="宋体" w:hint="eastAsia"/>
            <w:noProof/>
            <w:sz w:val="24"/>
          </w:rPr>
          <w:t>八、基金份额的申购与赎回</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_Toc240548807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47</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8" w:history="1">
        <w:r w:rsidRPr="00933CF8">
          <w:rPr>
            <w:rStyle w:val="aa"/>
            <w:rFonts w:ascii="宋体" w:hAnsi="宋体" w:hint="eastAsia"/>
            <w:noProof/>
            <w:sz w:val="24"/>
          </w:rPr>
          <w:t>九、基金的转换</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_Toc240548808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61</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09" w:history="1">
        <w:r w:rsidRPr="00933CF8">
          <w:rPr>
            <w:rStyle w:val="aa"/>
            <w:rFonts w:ascii="宋体" w:hAnsi="宋体" w:hint="eastAsia"/>
            <w:noProof/>
            <w:sz w:val="24"/>
          </w:rPr>
          <w:t>十、基金的投资</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_Toc240548809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68</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0" w:history="1">
        <w:r w:rsidRPr="00933CF8">
          <w:rPr>
            <w:rStyle w:val="aa"/>
            <w:rFonts w:ascii="宋体" w:hAnsi="宋体" w:hint="eastAsia"/>
            <w:noProof/>
            <w:sz w:val="24"/>
          </w:rPr>
          <w:t>十一、基金的业绩</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_Toc240548810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80</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1" w:history="1">
        <w:r w:rsidRPr="00933CF8">
          <w:rPr>
            <w:rStyle w:val="aa"/>
            <w:rFonts w:ascii="宋体" w:hAnsi="宋体" w:hint="eastAsia"/>
            <w:noProof/>
            <w:sz w:val="24"/>
          </w:rPr>
          <w:t>十二、基金的财产</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_Toc240548811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83</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2" w:history="1">
        <w:r w:rsidRPr="00933CF8">
          <w:rPr>
            <w:rStyle w:val="aa"/>
            <w:rFonts w:ascii="宋体" w:hAnsi="宋体" w:hint="eastAsia"/>
            <w:noProof/>
            <w:sz w:val="24"/>
          </w:rPr>
          <w:t>十三、基金资产的估值</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_Toc240548812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84</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3" w:history="1">
        <w:r w:rsidRPr="00933CF8">
          <w:rPr>
            <w:rStyle w:val="aa"/>
            <w:rFonts w:ascii="宋体" w:hAnsi="宋体" w:hint="eastAsia"/>
            <w:noProof/>
            <w:sz w:val="24"/>
          </w:rPr>
          <w:t>十四、基金收益与分配</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_Toc240548813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88</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4" w:history="1">
        <w:r w:rsidRPr="00933CF8">
          <w:rPr>
            <w:rStyle w:val="aa"/>
            <w:rFonts w:ascii="宋体" w:hAnsi="宋体" w:hint="eastAsia"/>
            <w:noProof/>
            <w:sz w:val="24"/>
          </w:rPr>
          <w:t>十五、基金的费用与税收</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_Toc240548814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90</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5" w:history="1">
        <w:r w:rsidRPr="00933CF8">
          <w:rPr>
            <w:rStyle w:val="aa"/>
            <w:rFonts w:ascii="宋体" w:hAnsi="宋体" w:hint="eastAsia"/>
            <w:noProof/>
            <w:sz w:val="24"/>
          </w:rPr>
          <w:t>十六、基金的会计与审计</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_Toc240548815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93</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6" w:history="1">
        <w:r w:rsidRPr="00933CF8">
          <w:rPr>
            <w:rStyle w:val="aa"/>
            <w:rFonts w:ascii="宋体" w:hAnsi="宋体" w:hint="eastAsia"/>
            <w:noProof/>
            <w:sz w:val="24"/>
          </w:rPr>
          <w:t>十七、基金的信息披露</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_Toc240548816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94</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7" w:history="1">
        <w:r w:rsidRPr="00933CF8">
          <w:rPr>
            <w:rStyle w:val="aa"/>
            <w:rFonts w:ascii="宋体" w:hAnsi="宋体" w:hint="eastAsia"/>
            <w:noProof/>
            <w:sz w:val="24"/>
          </w:rPr>
          <w:t>十八、侧袋机制</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_Toc240548817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100</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8" w:history="1">
        <w:r w:rsidRPr="00933CF8">
          <w:rPr>
            <w:rStyle w:val="aa"/>
            <w:rFonts w:ascii="宋体" w:hAnsi="宋体" w:hint="eastAsia"/>
            <w:noProof/>
            <w:sz w:val="24"/>
          </w:rPr>
          <w:t>十九、风险揭示</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_Toc240548818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103</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19" w:history="1">
        <w:r w:rsidRPr="00933CF8">
          <w:rPr>
            <w:rStyle w:val="aa"/>
            <w:rFonts w:ascii="宋体" w:hAnsi="宋体" w:hint="eastAsia"/>
            <w:noProof/>
            <w:sz w:val="24"/>
          </w:rPr>
          <w:t>二十、基金合同的变更、终止与基金财产的清算</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_Toc240548819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109</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20" w:history="1">
        <w:r w:rsidRPr="00933CF8">
          <w:rPr>
            <w:rStyle w:val="aa"/>
            <w:rFonts w:ascii="宋体" w:hAnsi="宋体" w:hint="eastAsia"/>
            <w:noProof/>
            <w:sz w:val="24"/>
          </w:rPr>
          <w:t>二十一、基金合同内容摘要</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_Toc240548820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111</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21" w:history="1">
        <w:r w:rsidRPr="00933CF8">
          <w:rPr>
            <w:rStyle w:val="aa"/>
            <w:rFonts w:ascii="宋体" w:hAnsi="宋体" w:hint="eastAsia"/>
            <w:noProof/>
            <w:sz w:val="24"/>
          </w:rPr>
          <w:t>二十二、托管协议的内容摘要</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_Toc240548821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126</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22" w:history="1">
        <w:r w:rsidRPr="00933CF8">
          <w:rPr>
            <w:rStyle w:val="aa"/>
            <w:rFonts w:ascii="宋体" w:hAnsi="宋体" w:hint="eastAsia"/>
            <w:noProof/>
            <w:sz w:val="24"/>
          </w:rPr>
          <w:t>二十三、对基金份额持有人的服务</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_Toc240548822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139</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23" w:history="1">
        <w:r w:rsidRPr="00933CF8">
          <w:rPr>
            <w:rStyle w:val="aa"/>
            <w:rFonts w:ascii="宋体" w:hAnsi="宋体" w:hint="eastAsia"/>
            <w:noProof/>
            <w:sz w:val="24"/>
          </w:rPr>
          <w:t>二十四、其他应披露事项</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_Toc240548823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141</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24" w:history="1">
        <w:r w:rsidRPr="00933CF8">
          <w:rPr>
            <w:rStyle w:val="aa"/>
            <w:rFonts w:ascii="宋体" w:hAnsi="宋体" w:hint="eastAsia"/>
            <w:noProof/>
            <w:sz w:val="24"/>
          </w:rPr>
          <w:t>二十五、招募说明书的存放及查阅方式</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_Toc240548824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143</w:t>
        </w:r>
        <w:r w:rsidRPr="00933CF8">
          <w:rPr>
            <w:rFonts w:ascii="宋体" w:hAnsi="宋体"/>
            <w:noProof/>
            <w:sz w:val="24"/>
          </w:rPr>
          <w:fldChar w:fldCharType="end"/>
        </w:r>
      </w:hyperlink>
    </w:p>
    <w:p w:rsidR="00933CF8" w:rsidRPr="00933CF8" w:rsidRDefault="00933CF8" w:rsidP="00933CF8">
      <w:pPr>
        <w:pStyle w:val="10"/>
        <w:tabs>
          <w:tab w:val="right" w:leader="dot" w:pos="8550"/>
        </w:tabs>
        <w:spacing w:line="360" w:lineRule="auto"/>
        <w:rPr>
          <w:rFonts w:ascii="宋体" w:hAnsi="宋体" w:cstheme="minorBidi"/>
          <w:noProof/>
          <w:sz w:val="24"/>
        </w:rPr>
      </w:pPr>
      <w:hyperlink w:anchor="_Toc240548825" w:history="1">
        <w:r w:rsidRPr="00933CF8">
          <w:rPr>
            <w:rStyle w:val="aa"/>
            <w:rFonts w:ascii="宋体" w:hAnsi="宋体" w:hint="eastAsia"/>
            <w:noProof/>
            <w:sz w:val="24"/>
          </w:rPr>
          <w:t>二十六、备查文件</w:t>
        </w:r>
        <w:r w:rsidRPr="00933CF8">
          <w:rPr>
            <w:rFonts w:ascii="宋体" w:hAnsi="宋体"/>
            <w:noProof/>
            <w:sz w:val="24"/>
          </w:rPr>
          <w:tab/>
        </w:r>
        <w:r w:rsidRPr="00933CF8">
          <w:rPr>
            <w:rFonts w:ascii="宋体" w:hAnsi="宋体"/>
            <w:noProof/>
            <w:sz w:val="24"/>
          </w:rPr>
          <w:fldChar w:fldCharType="begin"/>
        </w:r>
        <w:r w:rsidRPr="00933CF8">
          <w:rPr>
            <w:rFonts w:ascii="宋体" w:hAnsi="宋体"/>
            <w:noProof/>
            <w:sz w:val="24"/>
          </w:rPr>
          <w:instrText xml:space="preserve"> PAGEREF _Toc240548825 \h </w:instrText>
        </w:r>
        <w:r w:rsidRPr="00933CF8">
          <w:rPr>
            <w:rFonts w:ascii="宋体" w:hAnsi="宋体"/>
            <w:noProof/>
            <w:sz w:val="24"/>
          </w:rPr>
        </w:r>
        <w:r w:rsidRPr="00933CF8">
          <w:rPr>
            <w:rFonts w:ascii="宋体" w:hAnsi="宋体"/>
            <w:noProof/>
            <w:sz w:val="24"/>
          </w:rPr>
          <w:fldChar w:fldCharType="separate"/>
        </w:r>
        <w:r w:rsidRPr="00933CF8">
          <w:rPr>
            <w:rFonts w:ascii="宋体" w:hAnsi="宋体"/>
            <w:noProof/>
            <w:sz w:val="24"/>
          </w:rPr>
          <w:t>144</w:t>
        </w:r>
        <w:r w:rsidRPr="00933CF8">
          <w:rPr>
            <w:rFonts w:ascii="宋体" w:hAnsi="宋体"/>
            <w:noProof/>
            <w:sz w:val="24"/>
          </w:rPr>
          <w:fldChar w:fldCharType="end"/>
        </w:r>
      </w:hyperlink>
    </w:p>
    <w:p w:rsidR="008808F6" w:rsidRPr="00933CF8" w:rsidRDefault="00933CF8" w:rsidP="00933CF8">
      <w:pPr>
        <w:pStyle w:val="ad"/>
        <w:snapToGrid w:val="0"/>
        <w:spacing w:after="240" w:line="360" w:lineRule="auto"/>
        <w:jc w:val="center"/>
        <w:rPr>
          <w:rFonts w:ascii="宋体" w:hAnsi="宋体"/>
          <w:color w:val="000000"/>
          <w:sz w:val="24"/>
        </w:rPr>
      </w:pPr>
      <w:r w:rsidRPr="00933CF8">
        <w:rPr>
          <w:rFonts w:ascii="宋体" w:hAnsi="宋体"/>
          <w:color w:val="000000"/>
          <w:position w:val="-4"/>
          <w:sz w:val="24"/>
          <w:szCs w:val="30"/>
        </w:rPr>
        <w:fldChar w:fldCharType="end"/>
      </w:r>
      <w:bookmarkStart w:id="3" w:name="_GoBack"/>
      <w:bookmarkEnd w:id="3"/>
    </w:p>
    <w:p w:rsidR="008808F6" w:rsidRDefault="008808F6">
      <w:pPr>
        <w:autoSpaceDE w:val="0"/>
        <w:autoSpaceDN w:val="0"/>
        <w:adjustRightInd w:val="0"/>
        <w:snapToGrid w:val="0"/>
        <w:spacing w:line="360" w:lineRule="auto"/>
        <w:ind w:left="120" w:rightChars="6" w:right="13"/>
        <w:rPr>
          <w:rFonts w:ascii="宋体" w:hAnsi="宋体"/>
          <w:kern w:val="0"/>
          <w:szCs w:val="24"/>
        </w:rPr>
        <w:sectPr w:rsidR="008808F6">
          <w:pgSz w:w="11920" w:h="16840"/>
          <w:pgMar w:top="1480" w:right="1680" w:bottom="280" w:left="1680" w:header="0" w:footer="1073" w:gutter="0"/>
          <w:cols w:space="720"/>
        </w:sectPr>
      </w:pPr>
    </w:p>
    <w:p w:rsidR="008808F6" w:rsidRDefault="002D28AD">
      <w:pPr>
        <w:pStyle w:val="1"/>
        <w:snapToGrid w:val="0"/>
        <w:spacing w:beforeLines="0" w:before="240" w:after="240"/>
        <w:rPr>
          <w:rFonts w:ascii="宋体" w:hAnsi="宋体"/>
          <w:szCs w:val="30"/>
        </w:rPr>
      </w:pPr>
      <w:bookmarkStart w:id="4" w:name="_Toc240548800"/>
      <w:r>
        <w:rPr>
          <w:rFonts w:ascii="Times New Roman" w:hAnsi="Times New Roman"/>
          <w:sz w:val="30"/>
        </w:rPr>
        <w:lastRenderedPageBreak/>
        <w:t>一、绪言</w:t>
      </w:r>
      <w:bookmarkEnd w:id="4"/>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丰盈收益债券型证券投资基金招募说明书》（以下简称“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丰盈收益债券型证券投资基金基金合同》（以下简称“基金合同”）编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5" w:name="_Toc240548801"/>
      <w:r>
        <w:rPr>
          <w:rFonts w:ascii="Times New Roman" w:hAnsi="Times New Roman"/>
          <w:sz w:val="30"/>
        </w:rPr>
        <w:lastRenderedPageBreak/>
        <w:t>二、释义</w:t>
      </w:r>
      <w:bookmarkEnd w:id="5"/>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1、基金或本基金：指交银施罗德丰盈收益债券型证券投资基金</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4、基金合同或《基金合同》：指《交银施罗德丰盈收益债券型证券投资基金基金合同》及对基金合同的任何有效修订和补充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5、托管协议：指基金管理人与基金托管人就本基金签订之《交银施罗德丰盈收益债券型证券投资基金托管协议》及对该托管协议的任何有效修订和补充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6、招募说明书、本招募说明书或《招募说明书》：指《交银施罗德丰盈收益债券型证券投资基金招募说明书》及其更新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7、基金份额发售公告：指《交银施罗德丰盈收益债券型证券投资基金基金份额发售公告》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8、基金产品资料概要：指《交银施罗德丰盈收益债券型证券投资基金基金产品资料概要》及其更新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13、《运作办法》：指中国证监会2014年7月7日颁布、同年8月8日实施的《公开募集证券投资基金运作管理办法》及颁布机关对其不时做出的修订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封闭期：指基金合同生效之日起三年(含三年)的期间内，本基金采取封闭式运作的存续期间，按照基金合同的约定提前转换基金运作方式的除外。在基金合同中如无特别指明即为自基金合同生效之日起至三个公历年后对应日止，若三年后对应日为非工作日的，相应顺延。期间基金份额保持不变，基金份额持有人不得申请申购或赎回本基金</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37、开放日：指本基金封闭期结束后转为开放式运作期间，为投资人办理基金份额申购、赎回或其他业务的工作日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43、销售服务费：指从基金资产中计提的，用于本基金市场推广、销售以及基金份额持有人服务的费用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份额类别：指本基金根据认购/申购费用、赎回费用、销售服务费收取方式的不同，将基金份额分为不同的类别。在投资人认购/申购时收取前端认购/申购费用、赎回时收取赎回费用的，称为A类基金份额，在投资人申购时不收取申购费用、赎回时收取后端申购费用和赎回费用的，称为B类基金份额，在投资人申购时不收取申购费用、赎回时收取赎回费用，且从本类别基金资产中计提销售服务费的，称为C类基金份额；本基金募集期内仅开通A类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51、基金资产总值：指基金拥有的各类有价证券、银行存款本息、基金应收申购款及其他资产的价值总和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w:t>
      </w:r>
      <w:r>
        <w:rPr>
          <w:rFonts w:ascii="宋体" w:hAnsi="宋体"/>
          <w:sz w:val="24"/>
        </w:rPr>
        <w:lastRenderedPageBreak/>
        <w:t>定期存款（含协议约定有条件提前支取的银行存款）、资产支持证券、因发行人债务违约无法进行转让或交易的债券等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56、指定媒介：指中中国证监会指定的用以进行信息披露的全国性报刊及指定互联网网站（包括基金管理人网站、基金托管人网站、中国证监会基金电子披露网站）等媒介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6" w:name="_Toc240548802"/>
      <w:r>
        <w:rPr>
          <w:rFonts w:ascii="Times New Roman" w:hAnsi="Times New Roman"/>
          <w:sz w:val="30"/>
        </w:rPr>
        <w:lastRenderedPageBreak/>
        <w:t>三、基金管理人</w:t>
      </w:r>
      <w:bookmarkEnd w:id="6"/>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丹妮女士:基金经理。复旦大学工商管理硕士、中山大学理学学士。11年证券投资行业从业经验。2015年至2016年任五矿证券有限责任公司交易员。2016年加入交银施罗德基金管理有限公司，曾任中央交易室交易员、固定收益部研究员、基金经理助理，现任固定收益部基金经理。现任交银施罗德稳益短债债券型证券投资基金(2025年02月20日至今)、交银施罗德丰盈收益债券型证券投资基金(2025年02月20日至今)、交银施罗德天益宝货币市场基金(2025年02月20日至今)、交银施罗德丰享收益债券型证券投资基金(2025年02月20日至今)的基金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赵凌琦女士(2014年08月11日至2015年08月28日)；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连端清先生(2015年08月04日至2024年12月03日)；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于海颖女士(2016年12月29日至2020年08月21日)；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姜承操女士(2024年01月10日至2025年05月30日)；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黄莹洁女士(2024年12月04日至2025年12月27日)。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3、对所管理的不同基金财产分别管理、分别记账，进行证券投资；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2、不利用职务之便为自己、受雇人或任何第三者谋取利益；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7" w:name="_Toc240548803"/>
      <w:r>
        <w:rPr>
          <w:rFonts w:ascii="Times New Roman" w:hAnsi="Times New Roman"/>
          <w:sz w:val="30"/>
        </w:rPr>
        <w:lastRenderedPageBreak/>
        <w:t>四、基金托管人</w:t>
      </w:r>
      <w:bookmarkEnd w:id="7"/>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注册资本：556.4516亿元人民币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吕天贵，本行党委副书记、行长、首席合规官。曾任本行信用卡中心党委委员、总裁助理、副总裁、党委书记、总裁，总行零售银行部总经理、私人银行部总</w:t>
      </w:r>
      <w:r>
        <w:rPr>
          <w:rFonts w:ascii="宋体" w:hAnsi="宋体"/>
          <w:sz w:val="24"/>
        </w:rPr>
        <w:lastRenderedPageBreak/>
        <w:t>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w:t>
      </w:r>
      <w:r>
        <w:rPr>
          <w:rFonts w:ascii="宋体" w:hAnsi="宋体"/>
          <w:sz w:val="24"/>
        </w:rPr>
        <w:lastRenderedPageBreak/>
        <w:t>险控制和风险防范工作；托管部内设内控合规岗，专门负责托管部内部风险控制，对基金托管业务的各个工作环节和业务流程进行独立、客观、公正的稽核监察。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8" w:name="_Toc240548804"/>
      <w:r>
        <w:rPr>
          <w:rFonts w:ascii="Times New Roman" w:hAnsi="Times New Roman"/>
          <w:sz w:val="30"/>
        </w:rPr>
        <w:lastRenderedPageBreak/>
        <w:t>五、相关服务机构</w:t>
      </w:r>
      <w:bookmarkEnd w:id="8"/>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个人投资者可以通过基金管理人网上直销交易平台办理开户、本基金A类基金份额和C类基金份额的申购、赎回及定期定额投资、转换等业务，具体交易细则请参阅基金管理人网站。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（4）名称：兴业银行股份有限公司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（5）名称：平安银行股份有限公司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传真：0755-82080406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（6）名称：光大证券股份有限公司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（7）名称：华龙证券股份有限公司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（8）名称：长城国瑞证券有限公司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网址：www.gwgsc.com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（9）名称：西南证券股份有限公司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（10）名称：信达证券股份有限公司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（11）名称：国金证券股份有限公司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（12）名称：长城证券有限责任公司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法定代表人：黄耀华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（13）名称：中国国际金融股份有限公司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（14）名称：中泰证券股份有限公司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（15）名称：申万宏源证券有限公司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网址：www.sywg.com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（16）名称：中国中金财富证券有限公司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（17）名称：申万宏源西部证券有限公司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（18）名称：华西证券股份有限公司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（19）名称：中信建投证券股份有限公司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办公地址：北京市朝阳门内大街188号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（20）名称：招商证券股份有限公司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（21）名称：中航证券有限公司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（22）名称：华宝证券股份有限公司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（23）名称：华泰证券股份有限公司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（24）名称：中信证券（山东）有限责任公司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（25）名称：中信证券华南股份有限公司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（26）名称：中信证券股份有限公司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（27）名称：北京广源达信基金销售有限公司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（28）名称：大连网金基金销售有限公司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（29）名称：阳光人寿保险股份有限公司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传真：（010）85632773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（30）名称：玄元保险代理有限公司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（31）名称：上海大智慧基金销售有限公司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（32）名称：珠海盈米基金销售有限公司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（33）名称：上海华夏财富投资管理有限公司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（34）名称：北京度小满基金销售有限公司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（35）名称：南京苏宁基金销售有限公司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（36）名称：嘉实财富管理有限公司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办公地址及其联系方式：北京市朝阳区建国门外大街21号北京国际俱乐部C座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（37）名称：北京汇成基金销售有限公司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（38）名称：上海利得基金销售有限公司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（39）名称：北京虹点基金销售有限公司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联系人：姜颖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（40）名称：上海挖财基金销售有限公司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（41）名称：万家财富基金销售（天津）有限公司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（42）名称：上海万得基金销售有限公司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www.520fund.com.cn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（43）名称：格上富信投资顾问有限公司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（44）名称：深圳市金斧子基金销售有限公司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（45）名称：北京雪球基金销售有限公司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（46）名称：北京新浪仓石基金销售有限公司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w:t>
      </w:r>
      <w:r>
        <w:rPr>
          <w:rFonts w:ascii="宋体" w:hAnsi="宋体"/>
          <w:sz w:val="24"/>
        </w:rPr>
        <w:lastRenderedPageBreak/>
        <w:t>新浪总部科研楼5层518室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（47）名称：上海证达通基金销售有限公司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（48）名称：北京创金启富基金销售有限公司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（49）名称：奕丰基金销售有限公司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法定代表人：TEO WEE HOWE</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（50）名称：上海天天基金销售有限公司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（51）名称：和讯信息科技有限公司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（52）名称：诺亚正行基金销售有限公司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（53）名称：上海好买基金销售有限公司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（54）名称：上海长量基金销售有限公司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（55）名称：深圳众禄基金销售股份有限公司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（56）名称：天相投资顾问有限公司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住所：北京市西城区金融街19号富凯大厦B座701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（57）名称：上海基煜基金销售有限公司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（58）名称：浙江同花顺基金销售有限公司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（59）名称：宜信普泽（北京）基金销售有限公司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法定代表人：汤蕾</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（60）名称：上海联泰基金销售有限公司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（61）名称：泛华普益基金销售有限公司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（62）名称：北京展恒基金销售股份有限公司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（63）名称：深圳市新兰德证券投资咨询有限公司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（64）名称：和耕传承基金销售有限公司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（65）名称：济安财富（北京）基金销售有限公司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网址：www.jianfortune.com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（66）名称：博时财富基金销售有限公司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（67）名称：腾安基金销售（深圳）有限公司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（68）名称：上海中欧财富基金销售有限公司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（69）名称：上海攀赢基金销售有限公司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网址：www.weonefunds.com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（70）名称：中信期货有限公司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（71）名称：蚂蚁（杭州）基金销售有限公司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（72）名称：京东肯特瑞基金销售有限公司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（73）名称：上海陆金所基金销售有限公司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名称：容诚会计师事务所（特殊普通合伙）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9" w:name="_Toc240548805"/>
      <w:r>
        <w:rPr>
          <w:rFonts w:ascii="Times New Roman" w:hAnsi="Times New Roman"/>
          <w:sz w:val="30"/>
        </w:rPr>
        <w:lastRenderedPageBreak/>
        <w:t>六、基金的历史沿革</w:t>
      </w:r>
      <w:bookmarkEnd w:id="9"/>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本基金由基金管理人依照《基金法》、《运作办法》、《销售办法》、基金合同及其他有关规定，并经中国证监会2014年7月22日证监许可[2014] 721号文准予募集注册。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本基金为契约型债券型基金。本基金在基金合同生效之日起三年（含三年）的期间内封闭式运作（按照基金合同的约定提前转换基金运作方式的除外），封闭期结束后转为开放式运作。基金存续期间为不定期。</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本基金自2014年8月5日至2014年8月6日进行发售。本基金设立募集期共募集510,658,140.93份基金份额，有效认购户数为2,464户。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2018年8月13日至2018年9月12日交银施罗德丰盈收益债券型证券投资基金以通讯方式召开基金份额持有人大会，大会于2018年9月13日审议通过了《关于修改交银施罗德丰盈收益债券型证券投资基金基金合同有关事项的议案》，内容包括修改交银施罗德丰盈收益债券型证券投资基金管理费率、托管费率、A类基金份额的申购费率与赎回费率、收益分配原则、增加自动清盘条款等事项，并对《基金合同》进行修订。</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0" w:name="_Toc240548806"/>
      <w:r>
        <w:rPr>
          <w:rFonts w:ascii="Times New Roman" w:hAnsi="Times New Roman"/>
          <w:sz w:val="30"/>
        </w:rPr>
        <w:lastRenderedPageBreak/>
        <w:t>七、基金合同的生效</w:t>
      </w:r>
      <w:bookmarkEnd w:id="10"/>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根据有关规定，本基金满足基金合同生效条件，基金合同已于2014年8月11日正式生效。自基金合同生效之日起，本基金管理人正式开始管理本基金。</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前终止基金合同，不需召开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1" w:name="_Toc240548807"/>
      <w:r>
        <w:rPr>
          <w:rFonts w:ascii="Times New Roman" w:hAnsi="Times New Roman"/>
          <w:sz w:val="30"/>
        </w:rPr>
        <w:lastRenderedPageBreak/>
        <w:t>八、基金份额的申购与赎回</w:t>
      </w:r>
      <w:bookmarkEnd w:id="11"/>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（一）申购和赎回的期间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基金合同生效之日起三年(含三年)的期间内，采取封闭式运作（按照基金合同的约定提前转换基金运作方式的除外）。封闭期内，基金投资者不能申购、赎回本基金基金份额。基金封闭期结束，本基金转为开放式运作，基金投资者方可申购、赎回本基金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（二）申购和赎回的场所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及定期定额投资业务，具体交易细则请参阅基金管理人网站。网上直销交易平台网址：www.fund001.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投资者可通过上述销售机构办理基金申购、赎回业务的营业场所或按上述销售机构提供的其他方式进行申购或赎回。本基金管理人可根据情况变更或增减基金场外代销机构，并在管理人网站公示。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（三）申购和赎回的开放日及时间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本基金在基金合同生效之日起三年 (含三年)的期间内采取封闭式运作（按照基金合同的约定提前转换基金运作方式的除外）。封闭期内，基金投资者不能申购、赎回本基金基金份额。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基金封闭期结束，本基金转为开放式运作后，基金投资者方可申购、赎回本基金基金份额。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本基金已于2017年8月14日起开放A类基金份额和C类基金份额的申购、赎回业务。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或者赎回或者转换。投资人在基金合同约定之外的日期和时间提出申购、赎回或转换申请且登记机构确认接受的，其基金份额申购、赎回价格为下一开放日基金份额申购、赎回的价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（四）申购与赎回的原则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（五）申购和赎回的数额限定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（六）申购和赎回的程序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投资人申购基金份额时，必须全额交付申购款项，若申购资金在规定时间内未全额到账则申购不成立。投资人全额交付申购款项，申购成立；登记机构确认基金份额时，申购生效。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（七）基金的申购费和赎回费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本基金基金份额分为A类、B类和C类基金份额。投资人申购A类基金份额在申购</w:t>
      </w:r>
      <w:r>
        <w:rPr>
          <w:rFonts w:ascii="宋体" w:hAnsi="宋体"/>
          <w:sz w:val="24"/>
        </w:rPr>
        <w:lastRenderedPageBreak/>
        <w:t>时支付申购费用，申购B类基金份额在赎回时才支付相应的申购费用，申购C类基金份额不支付申购费用，而是从该类别基金资产中计提销售服务费。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持有A/B类基金份额的投资人因红利自动再投资而产生的A/B类基金份额，不收取相应的申购费用。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的赎回费用由基金份额赎回人承担，赎回费总额的25%应归基金财产，其余用于支付登记费和其他必要的手续费。其中，对持续持有期少于7日的投资者收取不低于1.5%的赎回费并全额计入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808F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808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808F6" w:rsidRDefault="008808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808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808F6" w:rsidRDefault="008808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8808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808F6" w:rsidRDefault="008808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808F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808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808F6" w:rsidRDefault="008808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808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808F6" w:rsidRDefault="008808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8808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808F6" w:rsidRDefault="008808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8808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808F6" w:rsidRDefault="008808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808F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808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808F6" w:rsidRDefault="008808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808F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808F6" w:rsidRDefault="008808F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w:t>
      </w:r>
      <w:r>
        <w:rPr>
          <w:rFonts w:ascii="宋体" w:hAnsi="宋体"/>
          <w:sz w:val="24"/>
        </w:rPr>
        <w:lastRenderedPageBreak/>
        <w:t>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（八）申购和赎回的数额和价格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933CF8">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25pt;height:39.75pt">
            <v:imagedata r:id="rId15" o:title="1521256610242020828"/>
          </v:shape>
        </w:pic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例一：某投资者（非养老金客户）投资100,000元申购本基金的A类基金份额，假设申购当日A/B类基金份额净值为1.0400元，申购费率为0.3%，如果该投资者是场外申购，则其可得到的申购份额为：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净申购金额=100,000/（1+0.3%）=99,700.90元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申购费用=100,000-99,700.90=299.10元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申购份额=（100,000-299.10）/1.0400=95,866.25份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即：某投资者（非养老金客户）投资100,000元申购本基金，假设申购当日A/B类基金份额净值为1.0400元，如果其选择申购A类基金份额，则其可得到95,866.25份基金份额。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例二：某养老金客户投资100,000元通过基金管理人的直销柜台申购本基金的A类基金份额，假设申购当日A/B类基金份额净值为1.0400元，申购费率为0.12%，则其可得到的申购份额为：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净申购金额=100,000/（1+0.12%）=99,880.14元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申购费用=100,000-99,880.14=119.86元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申购份额=（100,000-119.86）/1.0400=96,038.60份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即：该养老金客户投资100,000元通过基金管理人的直销柜台申购本基金的A类基金份额，假设申购当日A/B类基金份额净值为1.0400元，则其可得到96,038.60份A类基金份额。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933CF8">
        <w:rPr>
          <w:rFonts w:ascii="宋体" w:hAnsi="宋体"/>
          <w:kern w:val="0"/>
          <w:sz w:val="24"/>
        </w:rPr>
        <w:pict>
          <v:shape id="_x0000_i1026" type="#_x0000_t75" style="width:161.25pt;height:39.75pt">
            <v:imagedata r:id="rId16" o:title="1521256610242020828"/>
          </v:shape>
        </w:pic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例三：某投资者投资100,000元申购本基金的B类基金份额，假设申购当日A/B类基金份额净值为1.0400元，则其可得到的申购份额为：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例四：某投资者投资100,000元申购本基金的C类基金份额，假设申购当日C类</w:t>
      </w:r>
      <w:r>
        <w:rPr>
          <w:rFonts w:ascii="宋体" w:hAnsi="宋体"/>
          <w:sz w:val="24"/>
        </w:rPr>
        <w:lastRenderedPageBreak/>
        <w:t>基金份额净值为1.0400元，则其可得到的申购份额为：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例五：某投资者赎回100,000份A类基金份额，对应的赎回费率为0.1%，假设赎回当日A/B类基金份额净值是1.0160元，则其可得到的赎回金额为：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即：投资者赎回100,000份A类基金份额，对应的赎回费率为0.1%，假设赎回当日A/B类基金份额净值是1.0160元，则其可得到的赎回金额为101,498.40元。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如果投资者赎回B类基金份额，则赎回金额的计算方法如下：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赎回金额＝赎回总额－后端申购费用－赎回费用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例六：某投资者赎回100,000份B类基金份额，对应的后端申购费率是1.0%，赎回费率为0.1%，假设赎回当日A/B类基金份额净值是1.0160元，申购时的A/B类基金份额净值为1.0100元，则其可得到的赎回金额为：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100,000份B类基金份额，对应的赎回费率为0.1%，假设赎回当日A/B类基金份额净值是1.0160元，投资者对应的后端申购费率是1.0%，申购时的A/B类基金份额净值为1.0100元，则其可得到的赎回金额为100,488.40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例七：某投资者赎回100,000份C类基金份额，对应的赎回费率为0，假设赎回当日C类基金份额净值是1.2500 元，则其可得到的赎回金额为：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赎回金额=100,000×1.2500-0=125,000.00 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即：投资者赎回100,000份C类基金份额，对应的赎回费率为0，假设赎回当日C类基金份额净值是1.2500元，则其可得到的赎回金额为125,000.00元。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B类基金份额和C类基金份额的基金份额净值的计算，保留到小数点后4位，小数点后第5位四舍五入，由此误差产生的收益或损失由基金财产承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（九）拒绝或暂停申购的情形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w:t>
      </w:r>
      <w:r>
        <w:rPr>
          <w:rFonts w:ascii="宋体" w:hAnsi="宋体"/>
          <w:sz w:val="24"/>
        </w:rPr>
        <w:lastRenderedPageBreak/>
        <w:t>持有人利益时。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（十）暂停赎回或延缓支付赎回款项的情形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w:t>
      </w:r>
      <w:r>
        <w:rPr>
          <w:rFonts w:ascii="宋体" w:hAnsi="宋体"/>
          <w:sz w:val="24"/>
        </w:rPr>
        <w:lastRenderedPageBreak/>
        <w:t>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（十一）巨额赎回的情形及处理方式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w:t>
      </w:r>
      <w:r>
        <w:rPr>
          <w:rFonts w:ascii="宋体" w:hAnsi="宋体"/>
          <w:sz w:val="24"/>
        </w:rPr>
        <w:lastRenderedPageBreak/>
        <w:t>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（十二）暂停申购或赎回的公告和重新开放申购或赎回的公告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本基金2017年8月10日刊登公告自2017年8月14日起开通定期定额投资计划业务，具体开通销售机构名单和业务规则参见相关公告。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（十七）基金上市交易和场内申购赎回业务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如相关法律法规允许基金管理人办理基金份额的质押业务或其他基金业务，基金管理人可制定相应的业务规则并开展相关业务，并依照《信息披露办法》的有关规定进行公告。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（十九）实施侧袋机制期间本基金的申购与赎回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2" w:name="_Toc240548808"/>
      <w:r>
        <w:rPr>
          <w:rFonts w:ascii="Times New Roman" w:hAnsi="Times New Roman"/>
          <w:sz w:val="30"/>
        </w:rPr>
        <w:lastRenderedPageBreak/>
        <w:t>九、基金的转换</w:t>
      </w:r>
      <w:bookmarkEnd w:id="12"/>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6月22日刊登公告自2020年6月24日起开放日常转换业务。办理基金间转换的时间为上海证券交易所、深圳证券交易所交易日。若出现新的证券交易市场或交易所交易时间更改或其它原因，基金管理人将视情况进行相应的调整并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3" w:name="_Toc240548809"/>
      <w:r>
        <w:rPr>
          <w:rFonts w:ascii="Times New Roman" w:hAnsi="Times New Roman"/>
          <w:sz w:val="30"/>
        </w:rPr>
        <w:lastRenderedPageBreak/>
        <w:t>十、基金的投资</w:t>
      </w:r>
      <w:bookmarkEnd w:id="13"/>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追求在有效控制风险的前提下，力争为基金资产获得稳健的投资收益和超额回报。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基金的投资组合比例为投资于债券资产的比例不低于基金资产的80%，但在封闭期结束转开放的前后三个月内，基金投资不受上述债券资产投资比例限制。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本基金在开放期内，现金或到期日在一年以内的政府债券的比例合计不低于基金资产净值的5%，其中现金不包括结算备付金、存出保证金、应收申购款等。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（三）封闭期内的投资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充分利用封闭式运作优势，以买入持有和杠杆套息等为基本投资策略，获取稳定收益；同时，本基金将严格控制信用风险，在严谨深入的信用分析基础上，综合考量信用债券的信用评级，以及各类债券的流动性、供求关系和收益率水平等，自下而上精选个券。本基金采用的主要策略包括：</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（1）债券的类属配置策略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（2）买入持有策略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在精选个券基础上，本基金主要通过买入与封闭期适度匹配的债券，并持有到期，或者是持有回售期与封闭期适度匹配的债券，获得本金和票息收入。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（3）杠杆套息策略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控制组合整体风险的基础上，综合考虑债券持有期内的票息收入和融资成本之间的息差，通过实施正回购融入资金并投资于中高等级信用债券等可投资标的，实现杠杆放大获取债券持有期内债券票息和融资成本之间的息差收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（4）信用债券投资策略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严控信用风险，通过宏观经济运行、发行主体的发展前景和偿债能力、国家信用支撑等多重因素的综合考量对信用债券进行信用评级，并在信用评级的基础上，建立信用债券池；然后基于既定的投资期限、信用利差精选个券进行投资。具体而言，本基金信用债券的投资遵循以下流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三年期银行定期存款税后收益率。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本基金封闭三年，力求在封闭期内为基金资产实现稳健的当期收益，因此三年期银行定期存款税后收益率是较为合适的业绩比较基准。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停止计算编制或更改名称，或者今后法律法规发生变化，又或者市场推出更具权威、且更能够表征本基金风险收益特征的基准，则本基金管理人可与本基金托管人协商一致后，调整或变更本基金的业绩比较基准并及时公告，而无需召开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（四）转为开放式运作后的投资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（5）信用债券投资策略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本基金业绩比较基准：中债-综合全价（1-3年）指数收益率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1）基于基金投资范围以及预期投资的主要资产类别，本基金主要投资于债券资产，相应选取与之匹配的债券指数作为基准要素。同时基于基金投资于债券资产</w:t>
      </w:r>
      <w:r>
        <w:rPr>
          <w:rFonts w:ascii="宋体" w:hAnsi="宋体"/>
          <w:sz w:val="24"/>
        </w:rPr>
        <w:lastRenderedPageBreak/>
        <w:t>的比例不低于基金资产的80%等投资比例限制，以及预期的资产配置比例，本基金将债券资产所对应的基准要素权重设置为100%。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1-3年）指数作为债券部分的业绩比较基准要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中债-综合全价（1-3年）指数成份券包含除资产支持证券、美元债券、可转债以外的在境内公开发行且上市流通的债券，成份券待偿期限在1-3年（含1年），适合作为本基金债券部分的业绩比较基准要素。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中债-综合全价（1-3年）指数由中债金融估值中心有限公司编制发布，指数代码为CBA00223，指数具体信息详见中国债券信息网，网址：www.chinabond.com.cn。</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久期偏离等，以更好管理基金实际投资与业绩比较基准的偏离情况，从而力争在控制风险的基础上追求超越业绩比较基准的投资回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（5）未来可能变更业绩比较基准的情况和程序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（1）本基金投资于债券资产的比例不低于基金资产的80%，但在封闭期结束转开放的前后三个月内，基金投资不受上述债券资产投资比例限制；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（2）本基金在开放期内，保持不低于基金资产净值5%的现金或者到期日在一年以内的政府债券，其中现金不包括结算备付金、存出保证金、应收申购款等；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（5）本基金在封闭期内，基金总资产不超过基金净资产的200%；在开放期内，基金总资产不超过基金净资产的140%；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w:t>
      </w:r>
      <w:r>
        <w:rPr>
          <w:rFonts w:ascii="宋体" w:hAnsi="宋体"/>
          <w:sz w:val="24"/>
        </w:rPr>
        <w:lastRenderedPageBreak/>
        <w:t>金资产净值的10%；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转为开放式运作后，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（13）法律法规及中国证监会规定的和《基金合同》约定的其他投资限制。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11）、（12）项外，因证券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的投资的监督与检查自基金合同生效之日起开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（1）承销证券；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（七）基金的融资融券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（八）基金管理人代表基金行使债权人权利的处理原则及方法</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（九）侧袋机制的实施和投资运作安排</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w:t>
      </w:r>
      <w:r>
        <w:rPr>
          <w:rFonts w:ascii="宋体" w:hAnsi="宋体"/>
          <w:sz w:val="24"/>
        </w:rPr>
        <w:lastRenderedPageBreak/>
        <w:t>比较基准、风险收益特征等约定仅适用于主袋账户。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（十）基金投资组合报告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4,843,042,497.51</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98.94</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4,843,042,497.51</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98.94</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11,899,244.98</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40,035,183.35</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4,894,976,925.84</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3、期末按公允价值占基金资产净值比例大小排序的股票投资明细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2,500,923,869.60</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54.58</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271,700,315.07</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5.93</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234,553,563.83</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5.12</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2,107,565,064.08</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46.00</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4,843,042,497.51</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105.70</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2128028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r>
              <w:rPr>
                <w:rFonts w:ascii="Times New Roman" w:hAnsi="Times New Roman"/>
                <w:color w:val="000000"/>
                <w:kern w:val="0"/>
                <w:sz w:val="25"/>
                <w:szCs w:val="24"/>
              </w:rPr>
              <w:t>邮储银行二级</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205,652,558.90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4.49</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250306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进出</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1,700,000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171,648,534.25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3.75</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212380010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华夏银行债</w:t>
            </w:r>
            <w:r>
              <w:rPr>
                <w:rFonts w:ascii="Times New Roman" w:hAnsi="Times New Roman"/>
                <w:color w:val="000000"/>
                <w:kern w:val="0"/>
                <w:sz w:val="25"/>
                <w:szCs w:val="24"/>
              </w:rPr>
              <w:t>03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1,300,000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132,697,197.26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2.90</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2422053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国银金租债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1,100,000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111,909,780.82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2.44</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102582236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青岛海控</w:t>
            </w:r>
            <w:r>
              <w:rPr>
                <w:rFonts w:ascii="Times New Roman" w:hAnsi="Times New Roman"/>
                <w:color w:val="000000"/>
                <w:kern w:val="0"/>
                <w:sz w:val="25"/>
                <w:szCs w:val="24"/>
              </w:rPr>
              <w:t>MTN003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102,189,243.84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2.23</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2026年03月27日,央行湖南省分行公示湘银罚决字[2026]1号行政处罚决定书,给予湖南银行股份有限公司254.7万元人民币的行政处罚。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2026年03月05日,国家外汇管理局北京市分局公示京汇罚[2026]14号行政处罚决定书,给予中国进出口银行罚没共计221.24万元人民币的行政处罚。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2025年12月05日,国家金融监督管理总局安徽监管局公示行政处罚决定书,给予徽商银行股份有限公司150万元人民币的行政处罚。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2025年12月05日,国家金融监督管理总局安徽监管局公示行政处罚决定书,给予徽商银行股份有限公司665万元人民币的行政处罚。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2025年11月28日,央行公示银罚决字[2025]75号行政处罚决定书,给予华夏银行股份有限公司罚没共计1380.9568万元人民币的行政处罚。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2025年10月24日,国家金融监督管理总局安徽监管局公示行政处罚决定书,给予徽商银行股份有限公司240万元人民币的行政处罚。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2025年09月30日,国家金融监督管理总局公示行政处罚决定书,给予中国邮政储蓄银行股份有限公司罚没共计2791.67万元人民币的行政处罚。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2025年09月29日,央行安徽省分行公示皖银罚决字[2025]19号行政处罚决定书,给予徽商银行股份有限公司20万元人民币的行政处罚。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2025年09月12日,国家金融监督管理总局公示行政处罚决定书,给予中国进</w:t>
      </w:r>
      <w:r>
        <w:rPr>
          <w:rFonts w:ascii="宋体" w:hAnsi="宋体"/>
          <w:sz w:val="24"/>
        </w:rPr>
        <w:lastRenderedPageBreak/>
        <w:t>出口银行130万元人民币的行政处罚。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2025年09月05日,国家金融监督管理总局公示行政处罚决定书,给予华夏银行股份有限公司8725万元人民币的行政处罚。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2025年06月27日,国家金融监督管理总局公示行政处罚决定书,给予中国进出口银行1810万元人民币的行政处罚。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37,416.92</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39,997,705.43</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61.00</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right"/>
              <w:rPr>
                <w:rFonts w:ascii="宋体" w:hAnsi="宋体"/>
                <w:color w:val="000000"/>
                <w:kern w:val="0"/>
                <w:sz w:val="25"/>
                <w:szCs w:val="24"/>
              </w:rPr>
            </w:pPr>
            <w:r>
              <w:rPr>
                <w:rFonts w:ascii="Times New Roman" w:hAnsi="Times New Roman"/>
                <w:color w:val="000000"/>
                <w:kern w:val="0"/>
                <w:sz w:val="25"/>
                <w:szCs w:val="24"/>
              </w:rPr>
              <w:t>40,035,183.35</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4" w:name="_Toc240548810"/>
      <w:r>
        <w:rPr>
          <w:rFonts w:ascii="Times New Roman" w:hAnsi="Times New Roman"/>
          <w:sz w:val="30"/>
        </w:rPr>
        <w:lastRenderedPageBreak/>
        <w:t>十一、基金的业绩</w:t>
      </w:r>
      <w:bookmarkEnd w:id="14"/>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交银丰盈收益债券A：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3.88%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3.44%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1.56%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3.87%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2.12%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2.18%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1.79%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3.42%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2.80%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13.25%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9.84%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注：本基金自2017年8月14日起转为开放式运作，本基金的业绩比较基准由“三年期银行定期存款税后收益率”变更为“中债综合全价指数”.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交银丰盈收益债券C：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2.30%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3.72%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1.62%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7.86%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8808F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年度（自</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14</w:t>
            </w:r>
            <w:r>
              <w:rPr>
                <w:rFonts w:ascii="Times New Roman" w:hAnsi="Times New Roman"/>
                <w:color w:val="000000"/>
                <w:kern w:val="0"/>
                <w:sz w:val="25"/>
                <w:szCs w:val="24"/>
              </w:rPr>
              <w:t>日至</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3.10%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4.44%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bl>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注：本基金自2017年8月14日起转为开放式运作，本基金的业绩比较基准由“三年期银行定期存款税后收益率”变更为“中债综合全价指数”。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8808F6" w:rsidRDefault="002D28A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交银施罗德丰盈收益债券型证券投资基金</w:t>
      </w:r>
    </w:p>
    <w:p w:rsidR="008808F6" w:rsidRDefault="002D28A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8808F6" w:rsidRDefault="002D28A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（2014年8月11日至2026年03月31日）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（1）交银丰盈收益债券A</w:t>
      </w:r>
    </w:p>
    <w:p w:rsidR="008808F6" w:rsidRDefault="00933CF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（2）交银丰盈收益债券C</w:t>
      </w:r>
    </w:p>
    <w:p w:rsidR="008808F6" w:rsidRDefault="00933CF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2、本基金自2017年8月14日起，开始销售C类份额，投资者提交的申购申请于2017年8月15日被确认并将有效份额登记在册。</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5" w:name="_Toc240548811"/>
      <w:r>
        <w:rPr>
          <w:rFonts w:ascii="Times New Roman" w:hAnsi="Times New Roman"/>
          <w:sz w:val="30"/>
        </w:rPr>
        <w:lastRenderedPageBreak/>
        <w:t>十二、基金的财产</w:t>
      </w:r>
      <w:bookmarkEnd w:id="15"/>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6" w:name="_Toc240548812"/>
      <w:r>
        <w:rPr>
          <w:rFonts w:ascii="Times New Roman" w:hAnsi="Times New Roman"/>
          <w:sz w:val="30"/>
        </w:rPr>
        <w:lastRenderedPageBreak/>
        <w:t>十三、基金资产的估值</w:t>
      </w:r>
      <w:bookmarkEnd w:id="16"/>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基金所拥有的债券和银行存款本息、应收款项、其它投资等资产及负债。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（3）交易所上市不存在活跃市场的有价证券，采用估值技术确定公允价值。交易所上市的资产支持证券，采用估值技术确定公允价值，在估值技术难以可靠计量公允价值的情况下，按成本估值。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首次公开发行未上市的债券，采用估值技术确定公允价值，在估值技术难以可靠计量公允价值的情况下，按成本估值。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6、相关法律法规以及监管部门有强制规定的，从其规定。如有新增事项，按法律法规以及监管部门最新规定估值。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如基金管理人或基金托管人发现基金估值违反基金合同订明的估值方法、程序及相关法律法规的规定或者未能充分维护基金份额持有人利益时，应立即通知对方，共同查明原因，双方协商解决。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w:t>
      </w:r>
      <w:r>
        <w:rPr>
          <w:rFonts w:ascii="宋体" w:hAnsi="宋体"/>
          <w:sz w:val="24"/>
        </w:rPr>
        <w:lastRenderedPageBreak/>
        <w:t>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w:t>
      </w:r>
      <w:r>
        <w:rPr>
          <w:rFonts w:ascii="宋体" w:hAnsi="宋体"/>
          <w:sz w:val="24"/>
        </w:rPr>
        <w:lastRenderedPageBreak/>
        <w:t>并报中国证监会备案；错误偏差达到基金份额净值的0.5%时，基金管理人应当公告。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1、基金管理人、基金托管人按估值方法的第5项进行估值时，所造成的误差不作为基金资产估值错误处理。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7" w:name="_Toc240548813"/>
      <w:r>
        <w:rPr>
          <w:rFonts w:ascii="Times New Roman" w:hAnsi="Times New Roman"/>
          <w:sz w:val="30"/>
        </w:rPr>
        <w:lastRenderedPageBreak/>
        <w:t>十四、基金收益与分配</w:t>
      </w:r>
      <w:bookmarkEnd w:id="17"/>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1、本基金在封闭期内，收益分配应遵循下列原则：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2次，每份基金份额每次分配比例不得低于收益分配基准日每份基金份额可供分配利润的90%，若《基金合同》生效不满3个月可不进行收益分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（2）本基金收益分配方式为现金分红；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（4）本基金封闭期内仅设A类基金份额，每一基金份额享有同等分配权；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2、本基金转为开放式运作后，收益分配应遵循下列原则：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（1）本基金转为开放式运作后，增开B类和C类基金份额；由于本基金A类和B类基金份额不收取销售服务费，C类基金份额收取销售服务费，各基金份额类别对应的可供分配利润将有所不同；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（2）若《基金合同》生效不满3个月可不进行收益分配；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A类、B类以及C类基金份额分别选择不同的收益分配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（4）基金收益分配后基金份额净值不能低于面值，即基金收益分配基准日的基金份额净值减去每单位基金份额收益分配金额后不能低于面值；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（6）法律法规或监管机关另有规定的，从其规定。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8" w:name="_Toc240548814"/>
      <w:r>
        <w:rPr>
          <w:rFonts w:ascii="Times New Roman" w:hAnsi="Times New Roman"/>
          <w:sz w:val="30"/>
        </w:rPr>
        <w:lastRenderedPageBreak/>
        <w:t>十五、基金的费用与税收</w:t>
      </w:r>
      <w:bookmarkEnd w:id="18"/>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本基金A类和B类基金份额不收取销售服务费，C类基金份额的销售服务费按前一日C类基金资产净值的0.4%年费率计提。计算方法如下：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与基金托管人核对一致后，由基金托管人复核后于次月首日起第3个工作日从基金财产中一次性支付给基金管理人，由基金管理人代付给销售机构，若遇法定节假日、休息日或不可抗力致使无法按时支付的，支付日期顺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3、上述“（一）基金费用的种类”中第3－8项、第10项费用，根据有关法规及相应协议规定，按费用实际支出金额列入当期费用，由基金托管人从基金财产中支付。</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2、基金管理人和基金托管人处理与基金运作无关的事项发生的费用；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在符合法律法规及本基金基金合同规定、并且对基金份额持有人利益无实质不利影响的前提下，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19" w:name="_Toc240548815"/>
      <w:r>
        <w:rPr>
          <w:rFonts w:ascii="Times New Roman" w:hAnsi="Times New Roman"/>
          <w:sz w:val="30"/>
        </w:rPr>
        <w:lastRenderedPageBreak/>
        <w:t>十六、基金的会计与审计</w:t>
      </w:r>
      <w:bookmarkEnd w:id="19"/>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20" w:name="_Toc240548816"/>
      <w:r>
        <w:rPr>
          <w:rFonts w:ascii="Times New Roman" w:hAnsi="Times New Roman"/>
          <w:sz w:val="30"/>
        </w:rPr>
        <w:lastRenderedPageBreak/>
        <w:t>十七、基金的信息披露</w:t>
      </w:r>
      <w:bookmarkEnd w:id="20"/>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次日，通过指定网站、销售机构网站或者营业网点披露开放日的A/B类基金份额和C类基金份额所对应的基金份额净值和基金份额累计净值。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基金管理人应当在不晚于半年度和年度最后一日的次日，在指定网站披露半年度和年度最后一日的A/B类基金份额和C类基金份额所对应的基金份额净值和基金份额累计净值。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A类、B类、C类基金份额的申购、赎回费率，并保证投资者能够在基金销售机构网站或营业网点查阅或者复制前述信息资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（21）转为开放式运作后发生涉及基金申购、赎回事项调整或潜在影响投资者赎回等重大事项时；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21" w:name="_Toc240548817"/>
      <w:r>
        <w:rPr>
          <w:rFonts w:ascii="Times New Roman" w:hAnsi="Times New Roman"/>
          <w:sz w:val="30"/>
        </w:rPr>
        <w:lastRenderedPageBreak/>
        <w:t>十八、侧袋机制</w:t>
      </w:r>
      <w:bookmarkEnd w:id="21"/>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8808F6" w:rsidRDefault="002D28AD">
      <w:pPr>
        <w:pStyle w:val="1"/>
        <w:snapToGrid w:val="0"/>
        <w:spacing w:beforeLines="0" w:before="240" w:after="240"/>
        <w:rPr>
          <w:rFonts w:ascii="宋体" w:hAnsi="宋体"/>
          <w:szCs w:val="30"/>
        </w:rPr>
      </w:pPr>
      <w:bookmarkStart w:id="22" w:name="_Toc240548818"/>
      <w:r>
        <w:rPr>
          <w:rFonts w:ascii="Times New Roman" w:hAnsi="Times New Roman"/>
          <w:sz w:val="30"/>
        </w:rPr>
        <w:lastRenderedPageBreak/>
        <w:t>十九、风险揭示</w:t>
      </w:r>
      <w:bookmarkEnd w:id="22"/>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化。如果基金所投资的上市公司经营不善，其股票价格可能下跌，或者能够用于分配的利润减少，使基金投资收益下降。虽然基金可以通过投资多样化来分散这种非系统风险，但不能完全规避。</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指基金资产不能迅速转变成现金，或者不能应付开放期可能出现的投资者大额赎回的风险。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在本基金转为开放式运作后，在交易过程中，可能会发生巨额赎回的情形。巨额赎回可能会产生基金仓位调整的困难，导致流动性风险，甚至影响基金份额净值。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2017年8月14日起开放A类基金份额和C类基金份额的申购、赎回业务。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w:t>
      </w:r>
      <w:r>
        <w:rPr>
          <w:rFonts w:ascii="宋体" w:hAnsi="宋体"/>
          <w:sz w:val="24"/>
        </w:rPr>
        <w:lastRenderedPageBreak/>
        <w:t>范型交易场所，主要投资对象为具有良好流动性的金融工具，同时本基金基于分散投资的原则在个券方面未有高集中度的特征，综合评估在正常市场环境下本基金的流动性风险适中。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w:t>
      </w:r>
      <w:r>
        <w:rPr>
          <w:rFonts w:ascii="宋体" w:hAnsi="宋体"/>
          <w:sz w:val="24"/>
        </w:rPr>
        <w:lastRenderedPageBreak/>
        <w:t>但不得超过20个工作日，并应当在指定媒介上进行公告。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1、本基金为债券型基金，投资于债券资产的比例不低于基金资产的80%，因投资固定收益类资产而面临的固定收益类资产市场的系统性风险和个券风险；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有的流动性风险。本基金为封闭三年运作，之后转为开放式运作（按照基金合同约定提前转换基金运作方式的情形除外）。本基金在封闭期内不办理申购赎回业务，也不上市交易，从而可能无法满足投资者的短期流动性需求。</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23" w:name="_Toc240548819"/>
      <w:r>
        <w:rPr>
          <w:rFonts w:ascii="Times New Roman" w:hAnsi="Times New Roman"/>
          <w:sz w:val="30"/>
        </w:rPr>
        <w:lastRenderedPageBreak/>
        <w:t>二十、基金合同的变更、终止与基金财产的清算</w:t>
      </w:r>
      <w:bookmarkEnd w:id="23"/>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24" w:name="_Toc240548820"/>
      <w:r>
        <w:rPr>
          <w:rFonts w:ascii="Times New Roman" w:hAnsi="Times New Roman"/>
          <w:sz w:val="30"/>
        </w:rPr>
        <w:lastRenderedPageBreak/>
        <w:t>二十一、基金合同内容摘要</w:t>
      </w:r>
      <w:bookmarkEnd w:id="24"/>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16）在符合有关法律、法规的前提下，制定和调整有关基金认购、申购、赎回、转换和非交易过户等的业务规则；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w:t>
      </w:r>
      <w:r>
        <w:rPr>
          <w:rFonts w:ascii="宋体" w:hAnsi="宋体"/>
          <w:sz w:val="24"/>
        </w:rPr>
        <w:lastRenderedPageBreak/>
        <w:t>理人有未执行《基金合同》规定的行为，还应当说明基金托管人是否采取了适当的措施；</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2）参与分配清算后的剩余基金财产；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3）依法并按照基金合同和招募说明书的规定申请赎回其持有的基金份额；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1、召开事由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1）终止《基金合同》，法律法规、基金合同和中国证监会另有规定的除外；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4）转换基金运作方式，本基金基金合同生效满三年直接转为开放式运作方式以及法律法规和中国证监会另有规定的除外；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7）本基金与其他基金的合并，法律法规和中国证监会另有规定的除外；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8）变更基金投资目标、范围或策略，但在本基金基金合同生效满三年直接转为开放式运作后依据基金合同变更投资策略以及法律法规和中国证监会另有规定的除外；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9）变更基金份额持有人大会程序，法律法规和中国证监会另有规定的除外；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3）在符合法律法规及本基金基金合同规定、并且对基金份额持有人利益无实质不利影响的前提下，调整本基金的申购费率、调低赎回费率、变更或增加收费方式；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4）因相应的法律法规发生变动而应当对《基金合同》进行修改；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5）对《基金合同》的修改对基金份额持有人利益无实质性不利影响或修改不涉及《基金合同》当事人权利义务关系发生变化；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6）在符合法律法规及本基金基金合同规定、并且对基金份额持有人利益无实质不利影响的前提下，基金推出新业务或服务；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7）在符合法律法规及本基金基金合同规定、并且对基金份额持有人利益无实质不利影响的前提下，调整本基金份额类别的设置；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（1）除法律法规规定或《基金合同》另有约定外，本基金基金份额持有人大会不设日常机构，基金份额持有人大会由基金管理人召集；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w:t>
      </w:r>
      <w:r>
        <w:rPr>
          <w:rFonts w:ascii="宋体" w:hAnsi="宋体"/>
          <w:sz w:val="24"/>
        </w:rPr>
        <w:lastRenderedPageBreak/>
        <w:t>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w:t>
      </w:r>
      <w:r>
        <w:rPr>
          <w:rFonts w:ascii="宋体" w:hAnsi="宋体"/>
          <w:sz w:val="24"/>
        </w:rPr>
        <w:lastRenderedPageBreak/>
        <w:t>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w:t>
      </w:r>
      <w:r>
        <w:rPr>
          <w:rFonts w:ascii="宋体" w:hAnsi="宋体"/>
          <w:sz w:val="24"/>
        </w:rPr>
        <w:lastRenderedPageBreak/>
        <w:t>（含三分之一）基金份额的持有人直接出具书面意见或授权他人代表出具书面意见；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会议程序比照现场开会和通讯方式开会的程序进行。基金份额持有人可以采用书面、网络、电话、短信或其他方式进行表决，具体方式由会议召集人确定并在会议通知中列明。</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和中国证监会另有规定的除外）、法律法规及《基金合同》规定的其他事项以及会议召集人认为需提交基金份额持有人大会讨论的其他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w:t>
      </w:r>
      <w:r>
        <w:rPr>
          <w:rFonts w:ascii="宋体" w:hAnsi="宋体"/>
          <w:sz w:val="24"/>
        </w:rPr>
        <w:lastRenderedPageBreak/>
        <w:t>人大会，不影响基金份额持有人大会作出的决议的效力。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本基金基金合同生效满三年直接转为开放式运作除外）、更换基金管理人或者基金托管人、终止《基金合同》、本基金与其他基金合并（法律法规和中国证监会另有规定的除外）以特别决议通过方为有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w:t>
      </w:r>
      <w:r>
        <w:rPr>
          <w:rFonts w:ascii="宋体" w:hAnsi="宋体"/>
          <w:sz w:val="24"/>
        </w:rPr>
        <w:lastRenderedPageBreak/>
        <w:t>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8、实施侧袋机制期间基金份额持有人大会的特殊约定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w:t>
      </w:r>
      <w:r>
        <w:rPr>
          <w:rFonts w:ascii="宋体" w:hAnsi="宋体"/>
          <w:sz w:val="24"/>
        </w:rPr>
        <w:lastRenderedPageBreak/>
        <w:t>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9、生效与公告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w:t>
      </w:r>
      <w:r>
        <w:rPr>
          <w:rFonts w:ascii="宋体" w:hAnsi="宋体"/>
          <w:sz w:val="24"/>
        </w:rPr>
        <w:lastRenderedPageBreak/>
        <w:t>报中国证监会备案。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由败诉方承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（五）基金合同存放和投资者取得基金合同的方式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25" w:name="_Toc240548821"/>
      <w:r>
        <w:rPr>
          <w:rFonts w:ascii="Times New Roman" w:hAnsi="Times New Roman"/>
          <w:sz w:val="30"/>
        </w:rPr>
        <w:lastRenderedPageBreak/>
        <w:t>二十二、托管协议的内容摘要</w:t>
      </w:r>
      <w:bookmarkEnd w:id="25"/>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（二）基金托管人对基金管理人的业务监督、核查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本基金各类资产的投资比例范围为：投资于债券资产的比例不低于基金资产的80%，但在封闭期结束转开放的前后三个月内，基金投资不受上述债券资产投资比例限制。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本基金在开放期内，现金或到期日在一年以内的政府债券的比例合计不低于基金资产净值的5%，其中现金不包括结算备付金、存出保证金、应收申购款等。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法律法规或监管机构以后允许基金投资的其他品种，基金管理人在履行适当程序后，可以将其纳入投资范围。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1）本基金投资于债券资产的比例不低于基金资产的80%，但在封闭期结束转开放的前后三个月内，基金投资不受上述债券资产投资比例限制；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2）本基金在开放期内，保持不低于基金资产净值5%的现金或者到期日在一年以内的政府债券，其中现金不包括结算备付金、存出保证金、应收申购款等；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5）本基金在封闭期内，基金总资产不超过基金净资产的200%；在开放期内，</w:t>
      </w:r>
      <w:r>
        <w:rPr>
          <w:rFonts w:ascii="宋体" w:hAnsi="宋体"/>
          <w:sz w:val="24"/>
        </w:rPr>
        <w:lastRenderedPageBreak/>
        <w:t>基金总资产不超过基金净资产的140%；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转为开放式运作后，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13）法律法规及中国证监会规定的和《基金合同》约定的其他投资限制。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11）、12）项外，法律法规对上述投资组合比例限制进行变更的，以变更后的规定为准。法律法规或监管部门取消上述限制，如适用于本基金，基金管理人在履行适当程序后，本基金投资不再受相关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基金规模变动、股权分置改革中支付对价等基金管理人之外的因素致使基金投资比例不符合上述规定投资比例的，基金管理人应当在10个交易日内进行调整，以达到规定的投资比例限制要求，但中国证监会规定的特殊情形除外。法律法规另有规定的，从其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投资的监督与检查自基金合同生效之日起开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w:t>
      </w:r>
      <w:r>
        <w:rPr>
          <w:rFonts w:ascii="宋体" w:hAnsi="宋体"/>
          <w:sz w:val="24"/>
        </w:rPr>
        <w:lastRenderedPageBreak/>
        <w:t>禁止行为进行监督：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7）法律法规和中国证监会规定禁止的其他活动。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1）基金托管人依据有关法律法规的规定和基金合同的约定对于基金管理人参与银行间债券市场交易时面临的交易对手资信风险进行监督。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w:t>
      </w:r>
      <w:r>
        <w:rPr>
          <w:rFonts w:ascii="宋体" w:hAnsi="宋体"/>
          <w:sz w:val="24"/>
        </w:rPr>
        <w:lastRenderedPageBreak/>
        <w:t>拟执行投资指令前将上述信息书面发至基金托管人。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 督促基金管理人改正。如果基金管理人违规事项未能在限期内纠正的，基金托管人应报告中国证监会。如果基金托管人未能切实履行监督职责，导致基金出现风险，基金托管人应承担连带责任。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w:t>
      </w:r>
      <w:r>
        <w:rPr>
          <w:rFonts w:ascii="宋体" w:hAnsi="宋体"/>
          <w:sz w:val="24"/>
        </w:rPr>
        <w:lastRenderedPageBreak/>
        <w:t>应据以对基金投资银行存款的交易对手是否符合有关规定进行监督。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w:t>
      </w:r>
      <w:r>
        <w:rPr>
          <w:rFonts w:ascii="宋体" w:hAnsi="宋体"/>
          <w:sz w:val="24"/>
        </w:rPr>
        <w:lastRenderedPageBreak/>
        <w:t>约定的，应当拒绝执行，立即通知基金管理人。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户、复核基金管理人计算的基金资产净值和基金份额净值、根据基金管理人指令办理清算交收、相关信息披露和监督基金投资运作等行为。</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w:t>
      </w:r>
      <w:r>
        <w:rPr>
          <w:rFonts w:ascii="宋体" w:hAnsi="宋体"/>
          <w:sz w:val="24"/>
        </w:rPr>
        <w:lastRenderedPageBreak/>
        <w:t>改正。</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w:t>
      </w:r>
      <w:r>
        <w:rPr>
          <w:rFonts w:ascii="宋体" w:hAnsi="宋体"/>
          <w:sz w:val="24"/>
        </w:rPr>
        <w:lastRenderedPageBreak/>
        <w:t>基金管理人合法合规的指令办理资金收付。本基金的银行预留印鉴由基金托管人刻制、保管和使用。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w:t>
      </w:r>
      <w:r>
        <w:rPr>
          <w:rFonts w:ascii="宋体" w:hAnsi="宋体"/>
          <w:sz w:val="24"/>
        </w:rPr>
        <w:lastRenderedPageBreak/>
        <w:t>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指每个工作日闭市后，基金份额的基金资产净值除以当日基金份额的数值。基金份额净值的计算保留到小数点后4位，小数点后第5位四舍五入，由此产生的误差计入基金财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w:t>
      </w:r>
      <w:r>
        <w:rPr>
          <w:rFonts w:ascii="宋体" w:hAnsi="宋体"/>
          <w:sz w:val="24"/>
        </w:rPr>
        <w:lastRenderedPageBreak/>
        <w:t>一致的意见，按照基金管理人对基金资产净值的计算结果对外予以公布。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为北京，仲裁裁决是终局性的并对相关各方均有约束力，仲裁费用、律师费由败诉方承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26" w:name="_Toc240548822"/>
      <w:r>
        <w:rPr>
          <w:rFonts w:ascii="Times New Roman" w:hAnsi="Times New Roman"/>
          <w:sz w:val="30"/>
        </w:rPr>
        <w:lastRenderedPageBreak/>
        <w:t>二十三、对基金份额持有人的服务</w:t>
      </w:r>
      <w:bookmarkEnd w:id="26"/>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（一）网上直销服务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本基金基金份额的申购、赎回、定期定额投资、转换等业务。通过网上直销交易平台办理本基金A类基金份额申购和定期定额投资业务的个人投资者将享受前端申购费率的优惠，其他费率标准不变。具体优惠费率请参见公司网站列示的网上直销申购、定期定额投资费率表或相关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（二）信息咨询、查询服务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（三）基金红利再投资</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基金份额可选择现金红利或选择红利再投将现金红利自动转为基金份额进行再投资，若投资人不选择，本基金默认的收益分配方式是现金分红；基金份额持有人可对其持有的A类、B类以及C类基金份额分别选择不同的收益分配方式。再投资红利按红利再投日（即除息日）除息后的基金份额净值自动转为基金份额，并免收申购费用。</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（四）定期定额投资计划</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本基金已开通定期定额投资计划，具体实施方法请参见相关公告。</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（五）如本招募说明书存在任何您/贵机构无法理解的内容，请通过上述方式联系基金管理人。请确保投资前，您/贵机构已经全面理解了本招募说明书。</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27" w:name="_Toc240548823"/>
      <w:r>
        <w:rPr>
          <w:rFonts w:ascii="Times New Roman" w:hAnsi="Times New Roman"/>
          <w:sz w:val="30"/>
        </w:rPr>
        <w:lastRenderedPageBreak/>
        <w:t>二十四、其他应披露事项</w:t>
      </w:r>
      <w:bookmarkEnd w:id="27"/>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交银施罗德基金管理有限公司关于交银施罗德丰盈收益债券型证券投资基金暂停非直销销售机构大额申购（转换转入、定期定额投资）业务的公告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交银施罗德基金管理有限公司关于交银施罗德丰盈收益债券型证券投资基金基金经理变更公告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交银施罗德丰盈收益债券型证券投资基金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8808F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808F6" w:rsidRDefault="002D2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28" w:name="_Toc240548824"/>
      <w:r>
        <w:rPr>
          <w:rFonts w:ascii="Times New Roman" w:hAnsi="Times New Roman"/>
          <w:sz w:val="30"/>
        </w:rPr>
        <w:lastRenderedPageBreak/>
        <w:t>二十五、招募说明书的存放及查阅方式</w:t>
      </w:r>
      <w:bookmarkEnd w:id="28"/>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2D28A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808F6" w:rsidRDefault="002D28AD">
      <w:pPr>
        <w:pStyle w:val="1"/>
        <w:snapToGrid w:val="0"/>
        <w:spacing w:beforeLines="0" w:before="240" w:after="240"/>
        <w:rPr>
          <w:rFonts w:ascii="宋体" w:hAnsi="宋体"/>
          <w:szCs w:val="30"/>
        </w:rPr>
      </w:pPr>
      <w:bookmarkStart w:id="29" w:name="_Toc240548825"/>
      <w:r>
        <w:rPr>
          <w:rFonts w:ascii="Times New Roman" w:hAnsi="Times New Roman"/>
          <w:sz w:val="30"/>
        </w:rPr>
        <w:lastRenderedPageBreak/>
        <w:t>二十六、备查文件</w:t>
      </w:r>
      <w:bookmarkEnd w:id="29"/>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（一）中国证监会准予交银施罗德丰盈收益债券型证券投资基金募集注册的文件</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（二）《交银施罗德丰盈收益债券型证券投资基金基金合同》</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（三）《交银施罗德丰盈收益债券型证券投资基金托管协议》</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8808F6" w:rsidRDefault="002D28A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（六）关于申请募集注册交银施罗德丰盈收益债券型证券投资基金的法律意见书</w:t>
      </w:r>
    </w:p>
    <w:sectPr w:rsidR="008808F6">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187" w:rsidRDefault="002D28AD">
      <w:r>
        <w:separator/>
      </w:r>
    </w:p>
  </w:endnote>
  <w:endnote w:type="continuationSeparator" w:id="0">
    <w:p w:rsidR="00222187" w:rsidRDefault="002D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8F6" w:rsidRDefault="008808F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8F6" w:rsidRDefault="00933CF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8808F6" w:rsidRDefault="002D28A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33CF8">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8F6" w:rsidRDefault="008808F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8F6" w:rsidRDefault="00933CF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8808F6" w:rsidRDefault="002D28A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33CF8">
                  <w:rPr>
                    <w:rFonts w:ascii="Times New Roman" w:hAnsi="Times New Roman"/>
                    <w:noProof/>
                    <w:kern w:val="0"/>
                    <w:sz w:val="18"/>
                    <w:szCs w:val="18"/>
                  </w:rPr>
                  <w:t>144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187" w:rsidRDefault="002D28AD">
      <w:r>
        <w:separator/>
      </w:r>
    </w:p>
  </w:footnote>
  <w:footnote w:type="continuationSeparator" w:id="0">
    <w:p w:rsidR="00222187" w:rsidRDefault="002D28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8F6" w:rsidRDefault="008808F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8F6" w:rsidRDefault="002D28AD">
    <w:pPr>
      <w:pStyle w:val="a3"/>
      <w:jc w:val="right"/>
      <w:rPr>
        <w:rFonts w:ascii="宋体" w:hAnsi="宋体"/>
      </w:rPr>
    </w:pPr>
    <w:r>
      <w:rPr>
        <w:rFonts w:ascii="宋体" w:hAnsi="宋体" w:hint="eastAsia"/>
      </w:rPr>
      <w:t>交银施罗德丰盈收益债券型证券投资基金招募说明书更新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8F6" w:rsidRDefault="008808F6">
    <w:pPr>
      <w:pStyle w:val="10"/>
      <w:jc w:val="right"/>
    </w:pPr>
  </w:p>
  <w:p w:rsidR="008808F6" w:rsidRDefault="008808F6">
    <w:pPr>
      <w:pStyle w:val="10"/>
      <w:jc w:val="right"/>
    </w:pPr>
  </w:p>
  <w:p w:rsidR="008808F6" w:rsidRDefault="008808F6">
    <w:pPr>
      <w:pStyle w:val="a3"/>
      <w:jc w:val="right"/>
    </w:pPr>
  </w:p>
  <w:p w:rsidR="008808F6" w:rsidRDefault="002D28AD">
    <w:pPr>
      <w:pStyle w:val="a3"/>
      <w:jc w:val="right"/>
      <w:rPr>
        <w:rFonts w:ascii="宋体" w:hAnsi="宋体"/>
      </w:rPr>
    </w:pPr>
    <w:r>
      <w:rPr>
        <w:rFonts w:ascii="宋体" w:hAnsi="宋体" w:hint="eastAsia"/>
      </w:rPr>
      <w:t>交银施罗德丰盈收益债券型证券投资基金招募说明书更新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8F6" w:rsidRDefault="008808F6">
    <w:pPr>
      <w:pStyle w:val="a3"/>
      <w:jc w:val="right"/>
    </w:pPr>
  </w:p>
  <w:p w:rsidR="008808F6" w:rsidRDefault="008808F6">
    <w:pPr>
      <w:pStyle w:val="a3"/>
      <w:jc w:val="right"/>
    </w:pPr>
  </w:p>
  <w:p w:rsidR="008808F6" w:rsidRDefault="008808F6">
    <w:pPr>
      <w:pStyle w:val="a3"/>
      <w:jc w:val="right"/>
    </w:pPr>
  </w:p>
  <w:p w:rsidR="008808F6" w:rsidRDefault="002D28AD">
    <w:pPr>
      <w:pStyle w:val="a3"/>
      <w:jc w:val="right"/>
      <w:rPr>
        <w:rFonts w:ascii="宋体" w:hAnsi="宋体"/>
      </w:rPr>
    </w:pPr>
    <w:r>
      <w:rPr>
        <w:rFonts w:ascii="宋体" w:hAnsi="宋体" w:hint="eastAsia"/>
      </w:rPr>
      <w:t>交银施罗德丰盈收益债券型证券投资基金招募说明书更新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2187"/>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28AD"/>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08F6"/>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3CF8"/>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26864390-38B0-4116-B279-7DCB5CE5C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145</Pages>
  <Words>15303</Words>
  <Characters>87233</Characters>
  <Application>Microsoft Office Word</Application>
  <DocSecurity>0</DocSecurity>
  <Lines>726</Lines>
  <Paragraphs>204</Paragraphs>
  <ScaleCrop>false</ScaleCrop>
  <Company>Microsoft</Company>
  <LinksUpToDate>false</LinksUpToDate>
  <CharactersWithSpaces>102332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