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交银施罗德数据产业灵活配置混合型证券投资基金（C类份额）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交银数据产业灵活配置混合C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014549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2016-08-16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2024-06-18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本基金重点关注数据产业链的上中下游企业，在控制风险并保持基金资产良好的流动性的前提下，力争实现基金资产的长期稳定增值。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本基金投资数据产业链上中下游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本基金所定义的数据产业的主题范畴是指产生并存储着海量的数据资源的上游资源型公司；依托在数据处理技术上具有卡位优势的中游技术型公司，以及通过对开放数据的交叉关联运用对数据资源实现大数据价值挖掘后的下游平台型公司。</w:t>
            </w:r>
          </w:p>
          <w:p>
            <w:pPr>
              <w:ind w:firstLine="420"/>
              <w:jc w:val="left"/>
              <w:rPr>
                <w:rFonts w:ascii="仿宋_GB2312" w:eastAsia="仿宋_GB2312"/>
                <w:szCs w:val="21"/>
              </w:rPr>
            </w:pPr>
            <w:r>
              <w:rPr>
                <w:rFonts w:hint="eastAsia" w:ascii="仿宋_GB2312" w:eastAsia="仿宋_GB2312"/>
                <w:szCs w:val="21"/>
              </w:rPr>
              <w:t>1、资产配置；2、行业配置；3、股票投资；4、债券投资；5、权证投资；6、资产支持证券投资；7、股指期货投资。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中证全指信息技术指数收益率×85%+中债-国债总财富（1-3年）指数收益率×15%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详见《交银施罗德数据产业灵活配置混合型证券投资基金招募说明书》“基金的投资”。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2、本基金自2021年12月17日起，开始销售C类份额，基金份额类别首次确认当年净值增长率按实际存续期计算。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本基金投资数据产业链上中下游有关证券的比例不低于非现金资产的80%，因此本基金的股票投资与本基金界定的符合“数据产业”主题范畴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通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●《交银施罗德数据产业灵活配置混合型证券投资基金基金合同》、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《交银施罗德数据产业灵活配置混合型证券投资基金托管协议》、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《交银施罗德数据产业灵活配置混合型证券投资基金招募说明书》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474C"/>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59F45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751</Words>
  <Characters>4285</Characters>
  <Lines>35</Lines>
  <Paragraphs>10</Paragraphs>
  <TotalTime>0</TotalTime>
  <ScaleCrop>false</ScaleCrop>
  <LinksUpToDate>false</LinksUpToDate>
  <CharactersWithSpaces>5026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2026-09-17T02:43:00Z</dcterms:created>
  <dc:creator>Cc</dc:creator>
  <cp:lastModifiedBy>haotingting</cp:lastModifiedBy>
  <dcterms:modified xsi:type="dcterms:W3CDTF">2026-09-17T08:09:30Z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BBEEF9FB20F24286B0846B42B8AEA82F</vt:lpwstr>
  </property>
</Properties>
</file>