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交银施罗德180天持有期债券型证券投资基金（A类份额）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交银180天持有期债券A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023582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每个开放日开放申购，每份基金份额最短持有期限为180天，在最短持有期限内不可赎回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转换债券（含可分离交易可转换债券）、可交换公司债券、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不直接投资于股票等权益类资产，但可参与可转换债券（含可分离交易可转换债券）、可交换公司债券的投资。因所持可转换债券转股、可交换公司债券换股所形成的股票，本基金将在其可交易之日起的10个交易日内卖出。</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投资于可转换债券（含可分离交易可转换债券）、可交换公司债券的比例合计不超过基金资产的20%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债券投资策略：（1）久期调整策略；（2）债券的类属配置策略；（3）期限结构配置策略；（4）回购策略；（5）信用债券（含资产支持证券）投资策略；（6）可转换债券（含可分离交易可转换债券）与可交换公司债券投资策略；2、国债期货投资策略；3、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中债-综合全价（1-3年）指数收益率×95%+活期存款基准利率×5%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详见《交银施罗德180天持有期债券型证券投资基金招募说明书》“基金的投资”。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2、本基金合同于2025年7月18日生效，合同生效当年净值增长率按实际存续期计算。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180天，最短持有期限届满后，本基金不收取赎回费。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本基金每份基金份额的最短持有期限为180天，在最短持有期限内该份基金份额不可赎回，自最短持有期限届满日起（含该日）可赎回。即：自基金合同生效日（对认购份额而言）、基金份额申购确认日（对申购份额而言）起的第180天起（含当日，如为非工作日则顺延至下一工作日），投资者方可提出赎回申请。对于基金份额持有人而言，存在投资本基金后180天内无法赎回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●《交银施罗德180天持有期债券型证券投资基金基金合同》、</w:t>
      </w:r>
    </w:p>
    <w:p>
      <w:pPr>
        <w:ind w:firstLine="420"/>
        <w:jc w:val="left"/>
        <w:rPr>
          <w:rFonts w:ascii="仿宋_GB2312" w:eastAsia="仿宋_GB2312"/>
          <w:szCs w:val="21"/>
        </w:rPr>
      </w:pPr>
      <w:r>
        <w:rPr>
          <w:rFonts w:hint="eastAsia" w:ascii="仿宋_GB2312" w:eastAsia="仿宋_GB2312"/>
          <w:szCs w:val="21"/>
        </w:rPr>
        <w:t>《交银施罗德180天持有期债券型证券投资基金托管协议》、</w:t>
      </w:r>
    </w:p>
    <w:p>
      <w:pPr>
        <w:ind w:firstLine="420"/>
        <w:jc w:val="left"/>
        <w:rPr>
          <w:rFonts w:ascii="仿宋_GB2312" w:eastAsia="仿宋_GB2312"/>
          <w:szCs w:val="21"/>
        </w:rPr>
      </w:pPr>
      <w:r>
        <w:rPr>
          <w:rFonts w:hint="eastAsia" w:ascii="仿宋_GB2312" w:eastAsia="仿宋_GB2312"/>
          <w:szCs w:val="21"/>
        </w:rPr>
        <w:t>《交银施罗德180天持有期债券型证券投资基金招募说明书》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6691E"/>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58F1A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728</Words>
  <Characters>4156</Characters>
  <Lines>34</Lines>
  <Paragraphs>9</Paragraphs>
  <TotalTime>0</TotalTime>
  <ScaleCrop>false</ScaleCrop>
  <LinksUpToDate>false</LinksUpToDate>
  <CharactersWithSpaces>4875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2026-09-17T06:56:03Z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5A4C3F55863640AA9BC5B5E9B06245AC</vt:lpwstr>
  </property>
</Properties>
</file>