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550F41">
      <w:pPr>
        <w:rPr>
          <w:sz w:val="32"/>
        </w:rPr>
      </w:pPr>
    </w:p>
    <w:p w:rsidR="00C92FC0" w:rsidRPr="00EB07BC" w:rsidRDefault="00550F41">
      <w:pPr>
        <w:rPr>
          <w:sz w:val="32"/>
        </w:rPr>
      </w:pPr>
    </w:p>
    <w:p w:rsidR="00C92FC0" w:rsidRPr="00EB07BC" w:rsidRDefault="00550F41">
      <w:pPr>
        <w:rPr>
          <w:sz w:val="32"/>
        </w:rPr>
      </w:pPr>
    </w:p>
    <w:p w:rsidR="0077110E" w:rsidRDefault="0077110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7110E" w:rsidRDefault="0077110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7110E" w:rsidRDefault="0077110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7110E" w:rsidRDefault="005F31AF">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交银施罗德稳安</w:t>
      </w:r>
      <w:r>
        <w:rPr>
          <w:rFonts w:ascii="Times New Roman" w:hAnsi="Times New Roman"/>
          <w:b/>
          <w:spacing w:val="2"/>
          <w:w w:val="99"/>
          <w:kern w:val="0"/>
          <w:position w:val="-4"/>
          <w:sz w:val="44"/>
          <w:szCs w:val="44"/>
        </w:rPr>
        <w:t>60</w:t>
      </w:r>
      <w:r>
        <w:rPr>
          <w:rFonts w:ascii="Times New Roman" w:hAnsi="Times New Roman"/>
          <w:b/>
          <w:spacing w:val="2"/>
          <w:w w:val="99"/>
          <w:kern w:val="0"/>
          <w:position w:val="-4"/>
          <w:sz w:val="44"/>
          <w:szCs w:val="44"/>
        </w:rPr>
        <w:t>天滚动持有债券型证券投资基金</w:t>
      </w:r>
    </w:p>
    <w:p w:rsidR="0077110E" w:rsidRDefault="005F31AF">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77110E" w:rsidRDefault="0077110E">
      <w:pPr>
        <w:snapToGrid w:val="0"/>
        <w:spacing w:line="360" w:lineRule="auto"/>
        <w:jc w:val="center"/>
        <w:rPr>
          <w:rFonts w:ascii="宋体" w:hAnsi="宋体"/>
          <w:b/>
          <w:sz w:val="30"/>
          <w:szCs w:val="30"/>
        </w:rPr>
      </w:pPr>
    </w:p>
    <w:p w:rsidR="0077110E" w:rsidRDefault="007711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7110E" w:rsidRDefault="007711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7110E" w:rsidRDefault="007711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7110E" w:rsidRDefault="007711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7110E" w:rsidRDefault="007711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7110E" w:rsidRDefault="007711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7110E" w:rsidRDefault="005F31A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77110E" w:rsidRDefault="005F31A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77110E" w:rsidRDefault="007711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7110E" w:rsidRDefault="007711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7110E" w:rsidRDefault="005F31AF">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77110E" w:rsidRDefault="0077110E">
      <w:pPr>
        <w:autoSpaceDE w:val="0"/>
        <w:autoSpaceDN w:val="0"/>
        <w:adjustRightInd w:val="0"/>
        <w:snapToGrid w:val="0"/>
        <w:spacing w:line="360" w:lineRule="auto"/>
        <w:ind w:left="1347" w:rightChars="6" w:right="13"/>
        <w:rPr>
          <w:rFonts w:ascii="宋体" w:hAnsi="宋体"/>
          <w:kern w:val="0"/>
          <w:sz w:val="32"/>
          <w:szCs w:val="32"/>
        </w:rPr>
        <w:sectPr w:rsidR="0077110E">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77110E" w:rsidRDefault="005F31AF">
      <w:pPr>
        <w:pStyle w:val="1"/>
        <w:snapToGrid w:val="0"/>
        <w:spacing w:beforeLines="0" w:before="240" w:after="240"/>
        <w:rPr>
          <w:rFonts w:ascii="宋体" w:hAnsi="宋体"/>
          <w:kern w:val="0"/>
        </w:rPr>
      </w:pPr>
      <w:bookmarkStart w:id="0" w:name="_Toc324920538"/>
      <w:bookmarkStart w:id="1" w:name="_Toc496884613"/>
      <w:bookmarkStart w:id="2" w:name="_Toc240548772"/>
      <w:r>
        <w:rPr>
          <w:rFonts w:ascii="Times New Roman" w:hAnsi="Times New Roman"/>
          <w:kern w:val="0"/>
        </w:rPr>
        <w:lastRenderedPageBreak/>
        <w:t>重要提示</w:t>
      </w:r>
      <w:bookmarkEnd w:id="0"/>
      <w:bookmarkEnd w:id="1"/>
      <w:bookmarkEnd w:id="2"/>
    </w:p>
    <w:p w:rsidR="0077110E" w:rsidRDefault="005F31A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交银施罗德稳安</w:t>
      </w:r>
      <w:r>
        <w:rPr>
          <w:rFonts w:ascii="Times New Roman" w:hAnsi="Times New Roman"/>
          <w:kern w:val="0"/>
          <w:sz w:val="24"/>
        </w:rPr>
        <w:t>60</w:t>
      </w:r>
      <w:r>
        <w:rPr>
          <w:rFonts w:ascii="Times New Roman" w:hAnsi="Times New Roman"/>
          <w:kern w:val="0"/>
          <w:sz w:val="24"/>
        </w:rPr>
        <w:t>天滚动持有债券型证券投资基金（以下简称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2022</w:t>
      </w:r>
      <w:r>
        <w:rPr>
          <w:rFonts w:ascii="Times New Roman" w:hAnsi="Times New Roman"/>
          <w:kern w:val="0"/>
          <w:sz w:val="24"/>
        </w:rPr>
        <w:t>】</w:t>
      </w:r>
      <w:r>
        <w:rPr>
          <w:rFonts w:ascii="Times New Roman" w:hAnsi="Times New Roman"/>
          <w:kern w:val="0"/>
          <w:sz w:val="24"/>
        </w:rPr>
        <w:t>2832</w:t>
      </w:r>
      <w:r>
        <w:rPr>
          <w:rFonts w:ascii="Times New Roman" w:hAnsi="Times New Roman"/>
          <w:kern w:val="0"/>
          <w:sz w:val="24"/>
        </w:rPr>
        <w:t>号文准予募集注册。本基金基金合同于</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9</w:t>
      </w:r>
      <w:r>
        <w:rPr>
          <w:rFonts w:ascii="Times New Roman" w:hAnsi="Times New Roman"/>
          <w:kern w:val="0"/>
          <w:sz w:val="24"/>
        </w:rPr>
        <w:t>日正式生效。</w:t>
      </w:r>
    </w:p>
    <w:p w:rsidR="0077110E" w:rsidRDefault="005F31A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77110E" w:rsidRDefault="005F31A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77110E" w:rsidRDefault="005F31A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交易对手违约风险；本基金的特有风险；投资国债期货的特定风险；投资资产支持证券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万元情形时基金合同终止的风险；投资本基金的其他风险等等。</w:t>
      </w:r>
    </w:p>
    <w:p w:rsidR="0077110E" w:rsidRDefault="005F31A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本基金对每份基金份额设置</w:t>
      </w:r>
      <w:r>
        <w:rPr>
          <w:rFonts w:ascii="Times New Roman" w:hAnsi="Times New Roman"/>
          <w:kern w:val="0"/>
          <w:sz w:val="24"/>
        </w:rPr>
        <w:t>60</w:t>
      </w:r>
      <w:r>
        <w:rPr>
          <w:rFonts w:ascii="Times New Roman" w:hAnsi="Times New Roman"/>
          <w:kern w:val="0"/>
          <w:sz w:val="24"/>
        </w:rPr>
        <w:t>天的滚动运作期。对于每份基金份额，基金管理人仅在该基金份额的每个运作期到期日为基金份额持有人办理赎回。如果基金份额持有人在当期运作期到期日未申请赎回或赎回被确认失败，则该基金份额将在该运作期到期日下一日起自动进入下一个运作期；在下一个运作期到期日前，基金份额持有人不能赎回该基金份额。因此基金份额持有人面临在滚动运作期内不能赎回基金份额的风险。</w:t>
      </w:r>
    </w:p>
    <w:p w:rsidR="0077110E" w:rsidRDefault="005F31A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w:t>
      </w:r>
      <w:r>
        <w:rPr>
          <w:rFonts w:ascii="Times New Roman" w:hAnsi="Times New Roman"/>
          <w:kern w:val="0"/>
          <w:sz w:val="24"/>
        </w:rPr>
        <w:lastRenderedPageBreak/>
        <w:t>持证券投资，请基金份额持有人关注包括投资资产支持证券可能导致的基金净值波动在内的各项风险。</w:t>
      </w:r>
    </w:p>
    <w:p w:rsidR="0077110E" w:rsidRDefault="005F31A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本基金是一只债券型基金，其预期风险与预期收益理论上高于货币市场基金，低于混合型基金和股票型基金。</w:t>
      </w:r>
    </w:p>
    <w:p w:rsidR="0077110E" w:rsidRDefault="005F31A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77110E" w:rsidRDefault="005F31A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77110E" w:rsidRDefault="005F31A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77110E" w:rsidRDefault="0077110E">
      <w:pPr>
        <w:autoSpaceDE w:val="0"/>
        <w:autoSpaceDN w:val="0"/>
        <w:adjustRightInd w:val="0"/>
        <w:snapToGrid w:val="0"/>
        <w:spacing w:before="51" w:line="360" w:lineRule="auto"/>
        <w:ind w:left="120" w:rightChars="6" w:right="13" w:firstLine="480"/>
        <w:rPr>
          <w:rFonts w:ascii="宋体" w:hAnsi="宋体"/>
          <w:kern w:val="0"/>
          <w:szCs w:val="24"/>
        </w:rPr>
        <w:sectPr w:rsidR="0077110E">
          <w:headerReference w:type="default" r:id="rId14"/>
          <w:pgSz w:w="11920" w:h="16840"/>
          <w:pgMar w:top="1440" w:right="1680" w:bottom="280" w:left="1680" w:header="0" w:footer="1073" w:gutter="0"/>
          <w:pgNumType w:start="1"/>
          <w:cols w:space="720"/>
        </w:sectPr>
      </w:pPr>
    </w:p>
    <w:p w:rsidR="00550F41" w:rsidRPr="00550F41" w:rsidRDefault="005F31AF" w:rsidP="00550F41">
      <w:pPr>
        <w:pStyle w:val="ad"/>
        <w:snapToGrid w:val="0"/>
        <w:spacing w:after="240" w:line="360" w:lineRule="auto"/>
        <w:jc w:val="center"/>
        <w:rPr>
          <w:rFonts w:ascii="宋体" w:hAnsi="宋体"/>
          <w:noProof/>
          <w:sz w:val="24"/>
        </w:rPr>
      </w:pPr>
      <w:r w:rsidRPr="00550F41">
        <w:rPr>
          <w:rFonts w:ascii="宋体" w:hAnsi="宋体"/>
          <w:color w:val="000000"/>
          <w:position w:val="-4"/>
          <w:sz w:val="24"/>
          <w:szCs w:val="30"/>
        </w:rPr>
        <w:lastRenderedPageBreak/>
        <w:t>目</w:t>
      </w:r>
      <w:r w:rsidRPr="00550F41">
        <w:rPr>
          <w:rFonts w:ascii="宋体" w:hAnsi="宋体"/>
          <w:color w:val="000000"/>
          <w:position w:val="-4"/>
          <w:sz w:val="24"/>
          <w:szCs w:val="30"/>
        </w:rPr>
        <w:tab/>
        <w:t>录</w:t>
      </w:r>
      <w:r w:rsidR="00550F41" w:rsidRPr="00550F41">
        <w:rPr>
          <w:rFonts w:ascii="宋体" w:hAnsi="宋体"/>
          <w:color w:val="000000"/>
          <w:position w:val="-4"/>
          <w:sz w:val="24"/>
          <w:szCs w:val="30"/>
        </w:rPr>
        <w:fldChar w:fldCharType="begin"/>
      </w:r>
      <w:r w:rsidR="00550F41" w:rsidRPr="00550F41">
        <w:rPr>
          <w:rFonts w:ascii="宋体" w:hAnsi="宋体"/>
          <w:color w:val="000000"/>
          <w:position w:val="-4"/>
          <w:sz w:val="24"/>
          <w:szCs w:val="30"/>
        </w:rPr>
        <w:instrText xml:space="preserve"> TOC \o "1-3" \f - \h \t "-1" </w:instrText>
      </w:r>
      <w:r w:rsidR="00550F41" w:rsidRPr="00550F41">
        <w:rPr>
          <w:rFonts w:ascii="宋体" w:hAnsi="宋体"/>
          <w:color w:val="000000"/>
          <w:position w:val="-4"/>
          <w:sz w:val="24"/>
          <w:szCs w:val="30"/>
        </w:rPr>
        <w:fldChar w:fldCharType="separate"/>
      </w:r>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72" w:history="1">
        <w:r w:rsidRPr="00550F41">
          <w:rPr>
            <w:rStyle w:val="aa"/>
            <w:rFonts w:ascii="宋体" w:hAnsi="宋体" w:hint="eastAsia"/>
            <w:noProof/>
            <w:kern w:val="0"/>
            <w:sz w:val="24"/>
          </w:rPr>
          <w:t>重要提示</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_Toc240548772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1</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73" w:history="1">
        <w:r w:rsidRPr="00550F41">
          <w:rPr>
            <w:rStyle w:val="aa"/>
            <w:rFonts w:ascii="宋体" w:hAnsi="宋体" w:hint="eastAsia"/>
            <w:noProof/>
            <w:sz w:val="24"/>
          </w:rPr>
          <w:t>一、绪言</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_Toc240548773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4</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74" w:history="1">
        <w:r w:rsidRPr="00550F41">
          <w:rPr>
            <w:rStyle w:val="aa"/>
            <w:rFonts w:ascii="宋体" w:hAnsi="宋体" w:hint="eastAsia"/>
            <w:noProof/>
            <w:sz w:val="24"/>
          </w:rPr>
          <w:t>二、释义</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_Toc240548774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5</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75" w:history="1">
        <w:r w:rsidRPr="00550F41">
          <w:rPr>
            <w:rStyle w:val="aa"/>
            <w:rFonts w:ascii="宋体" w:hAnsi="宋体" w:hint="eastAsia"/>
            <w:noProof/>
            <w:sz w:val="24"/>
          </w:rPr>
          <w:t>三、基金管理人</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_Toc240548775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10</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76" w:history="1">
        <w:r w:rsidRPr="00550F41">
          <w:rPr>
            <w:rStyle w:val="aa"/>
            <w:rFonts w:ascii="宋体" w:hAnsi="宋体" w:hint="eastAsia"/>
            <w:noProof/>
            <w:sz w:val="24"/>
          </w:rPr>
          <w:t>四、基金托管人</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_Toc240548776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18</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77" w:history="1">
        <w:r w:rsidRPr="00550F41">
          <w:rPr>
            <w:rStyle w:val="aa"/>
            <w:rFonts w:ascii="宋体" w:hAnsi="宋体" w:hint="eastAsia"/>
            <w:noProof/>
            <w:sz w:val="24"/>
          </w:rPr>
          <w:t>五、相关服务机构</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_Toc240548777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25</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78" w:history="1">
        <w:r w:rsidRPr="00550F41">
          <w:rPr>
            <w:rStyle w:val="aa"/>
            <w:rFonts w:ascii="宋体" w:hAnsi="宋体" w:hint="eastAsia"/>
            <w:noProof/>
            <w:sz w:val="24"/>
          </w:rPr>
          <w:t>六、基金的募集</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_Toc240548778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37</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79" w:history="1">
        <w:r w:rsidRPr="00550F41">
          <w:rPr>
            <w:rStyle w:val="aa"/>
            <w:rFonts w:ascii="宋体" w:hAnsi="宋体" w:hint="eastAsia"/>
            <w:noProof/>
            <w:sz w:val="24"/>
          </w:rPr>
          <w:t>七、基金合同的生效</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_Toc240548779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38</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80" w:history="1">
        <w:r w:rsidRPr="00550F41">
          <w:rPr>
            <w:rStyle w:val="aa"/>
            <w:rFonts w:ascii="宋体" w:hAnsi="宋体" w:hint="eastAsia"/>
            <w:noProof/>
            <w:sz w:val="24"/>
          </w:rPr>
          <w:t>八、基金份额的申购与赎回</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_Toc240548780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39</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81" w:history="1">
        <w:r w:rsidRPr="00550F41">
          <w:rPr>
            <w:rStyle w:val="aa"/>
            <w:rFonts w:ascii="宋体" w:hAnsi="宋体" w:hint="eastAsia"/>
            <w:noProof/>
            <w:sz w:val="24"/>
          </w:rPr>
          <w:t>九、基金的投资</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_Toc240548781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52</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82" w:history="1">
        <w:r w:rsidRPr="00550F41">
          <w:rPr>
            <w:rStyle w:val="aa"/>
            <w:rFonts w:ascii="宋体" w:hAnsi="宋体" w:hint="eastAsia"/>
            <w:noProof/>
            <w:sz w:val="24"/>
          </w:rPr>
          <w:t>十、基金的业绩</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_Toc240548782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64</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83" w:history="1">
        <w:r w:rsidRPr="00550F41">
          <w:rPr>
            <w:rStyle w:val="aa"/>
            <w:rFonts w:ascii="宋体" w:hAnsi="宋体" w:hint="eastAsia"/>
            <w:noProof/>
            <w:sz w:val="24"/>
          </w:rPr>
          <w:t>十一、基金的财产</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_Toc240548783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67</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84" w:history="1">
        <w:r w:rsidRPr="00550F41">
          <w:rPr>
            <w:rStyle w:val="aa"/>
            <w:rFonts w:ascii="宋体" w:hAnsi="宋体" w:hint="eastAsia"/>
            <w:noProof/>
            <w:sz w:val="24"/>
          </w:rPr>
          <w:t>十二、基金资产的估值</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_Toc240548784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68</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85" w:history="1">
        <w:r w:rsidRPr="00550F41">
          <w:rPr>
            <w:rStyle w:val="aa"/>
            <w:rFonts w:ascii="宋体" w:hAnsi="宋体" w:hint="eastAsia"/>
            <w:noProof/>
            <w:sz w:val="24"/>
          </w:rPr>
          <w:t>十三、基金收益与分配</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_Toc240548785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74</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86" w:history="1">
        <w:r w:rsidRPr="00550F41">
          <w:rPr>
            <w:rStyle w:val="aa"/>
            <w:rFonts w:ascii="宋体" w:hAnsi="宋体" w:hint="eastAsia"/>
            <w:noProof/>
            <w:sz w:val="24"/>
          </w:rPr>
          <w:t>十四、基金的费用与税收</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_Toc240548786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76</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87" w:history="1">
        <w:r w:rsidRPr="00550F41">
          <w:rPr>
            <w:rStyle w:val="aa"/>
            <w:rFonts w:ascii="宋体" w:hAnsi="宋体" w:hint="eastAsia"/>
            <w:noProof/>
            <w:sz w:val="24"/>
          </w:rPr>
          <w:t>十五、基金的会计与审计</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_Toc240548787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79</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88" w:history="1">
        <w:r w:rsidRPr="00550F41">
          <w:rPr>
            <w:rStyle w:val="aa"/>
            <w:rFonts w:ascii="宋体" w:hAnsi="宋体" w:hint="eastAsia"/>
            <w:noProof/>
            <w:sz w:val="24"/>
          </w:rPr>
          <w:t>十六、基金的信息披露</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_Toc240548788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80</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89" w:history="1">
        <w:r w:rsidRPr="00550F41">
          <w:rPr>
            <w:rStyle w:val="aa"/>
            <w:rFonts w:ascii="宋体" w:hAnsi="宋体" w:hint="eastAsia"/>
            <w:noProof/>
            <w:sz w:val="24"/>
          </w:rPr>
          <w:t>十七、侧袋机制</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_Toc240548789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87</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90" w:history="1">
        <w:r w:rsidRPr="00550F41">
          <w:rPr>
            <w:rStyle w:val="aa"/>
            <w:rFonts w:ascii="宋体" w:hAnsi="宋体" w:hint="eastAsia"/>
            <w:noProof/>
            <w:sz w:val="24"/>
          </w:rPr>
          <w:t>十八、风险揭示</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_Toc240548790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90</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91" w:history="1">
        <w:r w:rsidRPr="00550F41">
          <w:rPr>
            <w:rStyle w:val="aa"/>
            <w:rFonts w:ascii="宋体" w:hAnsi="宋体" w:hint="eastAsia"/>
            <w:noProof/>
            <w:sz w:val="24"/>
          </w:rPr>
          <w:t>十九、基金合同的变更、终止与基金财产的清算</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_Toc240548791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98</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92" w:history="1">
        <w:r w:rsidRPr="00550F41">
          <w:rPr>
            <w:rStyle w:val="aa"/>
            <w:rFonts w:ascii="宋体" w:hAnsi="宋体" w:hint="eastAsia"/>
            <w:noProof/>
            <w:sz w:val="24"/>
          </w:rPr>
          <w:t>二十、基金合同内容摘要</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_Toc240548792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100</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93" w:history="1">
        <w:r w:rsidRPr="00550F41">
          <w:rPr>
            <w:rStyle w:val="aa"/>
            <w:rFonts w:ascii="宋体" w:hAnsi="宋体" w:hint="eastAsia"/>
            <w:noProof/>
            <w:sz w:val="24"/>
          </w:rPr>
          <w:t>二十一、托管协议的内容摘要</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_Toc240548793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117</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94" w:history="1">
        <w:r w:rsidRPr="00550F41">
          <w:rPr>
            <w:rStyle w:val="aa"/>
            <w:rFonts w:ascii="宋体" w:hAnsi="宋体" w:hint="eastAsia"/>
            <w:noProof/>
            <w:sz w:val="24"/>
          </w:rPr>
          <w:t>二十二、对基金份额持有人的服务</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_Toc240548794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133</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95" w:history="1">
        <w:r w:rsidRPr="00550F41">
          <w:rPr>
            <w:rStyle w:val="aa"/>
            <w:rFonts w:ascii="宋体" w:hAnsi="宋体" w:hint="eastAsia"/>
            <w:noProof/>
            <w:sz w:val="24"/>
          </w:rPr>
          <w:t>二十三、其他应披露事项</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_Toc240548795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135</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96" w:history="1">
        <w:r w:rsidRPr="00550F41">
          <w:rPr>
            <w:rStyle w:val="aa"/>
            <w:rFonts w:ascii="宋体" w:hAnsi="宋体" w:hint="eastAsia"/>
            <w:noProof/>
            <w:sz w:val="24"/>
          </w:rPr>
          <w:t>二十四、招募说明书的存放及查阅方式</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_Toc240548796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137</w:t>
        </w:r>
        <w:r w:rsidRPr="00550F41">
          <w:rPr>
            <w:rFonts w:ascii="宋体" w:hAnsi="宋体"/>
            <w:noProof/>
            <w:sz w:val="24"/>
          </w:rPr>
          <w:fldChar w:fldCharType="end"/>
        </w:r>
      </w:hyperlink>
    </w:p>
    <w:p w:rsidR="00550F41" w:rsidRPr="00550F41" w:rsidRDefault="00550F41" w:rsidP="00550F41">
      <w:pPr>
        <w:pStyle w:val="10"/>
        <w:tabs>
          <w:tab w:val="right" w:leader="dot" w:pos="8550"/>
        </w:tabs>
        <w:spacing w:line="360" w:lineRule="auto"/>
        <w:rPr>
          <w:rFonts w:ascii="宋体" w:hAnsi="宋体" w:cstheme="minorBidi"/>
          <w:noProof/>
          <w:sz w:val="24"/>
        </w:rPr>
      </w:pPr>
      <w:hyperlink w:anchor="_Toc240548797" w:history="1">
        <w:r w:rsidRPr="00550F41">
          <w:rPr>
            <w:rStyle w:val="aa"/>
            <w:rFonts w:ascii="宋体" w:hAnsi="宋体" w:hint="eastAsia"/>
            <w:noProof/>
            <w:sz w:val="24"/>
          </w:rPr>
          <w:t>二十五、备查文件</w:t>
        </w:r>
        <w:r w:rsidRPr="00550F41">
          <w:rPr>
            <w:rFonts w:ascii="宋体" w:hAnsi="宋体"/>
            <w:noProof/>
            <w:sz w:val="24"/>
          </w:rPr>
          <w:tab/>
        </w:r>
        <w:r w:rsidRPr="00550F41">
          <w:rPr>
            <w:rFonts w:ascii="宋体" w:hAnsi="宋体"/>
            <w:noProof/>
            <w:sz w:val="24"/>
          </w:rPr>
          <w:fldChar w:fldCharType="begin"/>
        </w:r>
        <w:r w:rsidRPr="00550F41">
          <w:rPr>
            <w:rFonts w:ascii="宋体" w:hAnsi="宋体"/>
            <w:noProof/>
            <w:sz w:val="24"/>
          </w:rPr>
          <w:instrText xml:space="preserve"> PAGEREF _Toc240548797 \h </w:instrText>
        </w:r>
        <w:r w:rsidRPr="00550F41">
          <w:rPr>
            <w:rFonts w:ascii="宋体" w:hAnsi="宋体"/>
            <w:noProof/>
            <w:sz w:val="24"/>
          </w:rPr>
        </w:r>
        <w:r w:rsidRPr="00550F41">
          <w:rPr>
            <w:rFonts w:ascii="宋体" w:hAnsi="宋体"/>
            <w:noProof/>
            <w:sz w:val="24"/>
          </w:rPr>
          <w:fldChar w:fldCharType="separate"/>
        </w:r>
        <w:r w:rsidRPr="00550F41">
          <w:rPr>
            <w:rFonts w:ascii="宋体" w:hAnsi="宋体"/>
            <w:noProof/>
            <w:sz w:val="24"/>
          </w:rPr>
          <w:t>138</w:t>
        </w:r>
        <w:r w:rsidRPr="00550F41">
          <w:rPr>
            <w:rFonts w:ascii="宋体" w:hAnsi="宋体"/>
            <w:noProof/>
            <w:sz w:val="24"/>
          </w:rPr>
          <w:fldChar w:fldCharType="end"/>
        </w:r>
      </w:hyperlink>
    </w:p>
    <w:p w:rsidR="0077110E" w:rsidRPr="00550F41" w:rsidRDefault="00550F41" w:rsidP="00550F41">
      <w:pPr>
        <w:pStyle w:val="ad"/>
        <w:snapToGrid w:val="0"/>
        <w:spacing w:after="240" w:line="360" w:lineRule="auto"/>
        <w:jc w:val="center"/>
        <w:rPr>
          <w:rFonts w:ascii="宋体" w:hAnsi="宋体"/>
          <w:color w:val="000000"/>
          <w:sz w:val="24"/>
        </w:rPr>
      </w:pPr>
      <w:r w:rsidRPr="00550F41">
        <w:rPr>
          <w:rFonts w:ascii="宋体" w:hAnsi="宋体"/>
          <w:color w:val="000000"/>
          <w:position w:val="-4"/>
          <w:sz w:val="24"/>
          <w:szCs w:val="30"/>
        </w:rPr>
        <w:fldChar w:fldCharType="end"/>
      </w:r>
      <w:bookmarkStart w:id="3" w:name="_GoBack"/>
      <w:bookmarkEnd w:id="3"/>
    </w:p>
    <w:p w:rsidR="0077110E" w:rsidRDefault="0077110E">
      <w:pPr>
        <w:autoSpaceDE w:val="0"/>
        <w:autoSpaceDN w:val="0"/>
        <w:adjustRightInd w:val="0"/>
        <w:snapToGrid w:val="0"/>
        <w:spacing w:line="360" w:lineRule="auto"/>
        <w:ind w:left="120" w:rightChars="6" w:right="13"/>
        <w:rPr>
          <w:rFonts w:ascii="宋体" w:hAnsi="宋体"/>
          <w:kern w:val="0"/>
          <w:szCs w:val="24"/>
        </w:rPr>
        <w:sectPr w:rsidR="0077110E">
          <w:pgSz w:w="11920" w:h="16840"/>
          <w:pgMar w:top="1480" w:right="1680" w:bottom="280" w:left="1680" w:header="0" w:footer="1073" w:gutter="0"/>
          <w:cols w:space="720"/>
        </w:sectPr>
      </w:pPr>
    </w:p>
    <w:p w:rsidR="0077110E" w:rsidRDefault="005F31AF">
      <w:pPr>
        <w:pStyle w:val="1"/>
        <w:snapToGrid w:val="0"/>
        <w:spacing w:beforeLines="0" w:before="240" w:after="240"/>
        <w:rPr>
          <w:rFonts w:ascii="宋体" w:hAnsi="宋体"/>
          <w:szCs w:val="30"/>
        </w:rPr>
      </w:pPr>
      <w:bookmarkStart w:id="4" w:name="_Toc240548773"/>
      <w:r>
        <w:rPr>
          <w:rFonts w:ascii="Times New Roman" w:hAnsi="Times New Roman"/>
          <w:sz w:val="30"/>
        </w:rPr>
        <w:lastRenderedPageBreak/>
        <w:t>一、绪言</w:t>
      </w:r>
      <w:bookmarkEnd w:id="4"/>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稳安60天滚动持有债券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稳安60天滚动持有债券型证券投资基金基金合同》（以下简称“基金合同”）编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5" w:name="_Toc240548774"/>
      <w:r>
        <w:rPr>
          <w:rFonts w:ascii="Times New Roman" w:hAnsi="Times New Roman"/>
          <w:sz w:val="30"/>
        </w:rPr>
        <w:lastRenderedPageBreak/>
        <w:t>二、释义</w:t>
      </w:r>
      <w:bookmarkEnd w:id="5"/>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1、基金或本基金：指交银施罗德稳安60天滚动持有债券型证券投资基金</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3、基金托管人或本基金托管人：指招商银行股份有限公司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4、基金合同、《基金合同》：指《交银施罗德稳安60天滚动持有债券型证券投资基金基金合同》及对基金合同的任何有效修订和补充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5、托管协议：指基金管理人与基金托管人就本基金签订之《交银施罗德稳安60天滚动持有债券型证券投资基金托管协议》及对该托管协议的任何有效修订和补充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6、招募说明书、《招募说明书》或本招募说明书：指《交银施罗德稳安60天滚动持有债券型证券投资基金招募说明书》及其更新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7、基金产品资料概要：指《交银施罗德稳安60天滚动持有债券型证券投资基金基金产品资料概要》及其更新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8、基金份额发售公告：指《交银施罗德稳安60天滚动持有债券型证券投资基金基金份额发售公告》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16、银行业监督管理机构：指中国人民银行和/或中国银行保险监督管理委员会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运作期起始日：对于每份认购份额，第一个运作期起始日指基金合同生效日；对于每份申购份额，第一个运作期起始日指该基金份额申购确认日；对于上一运作期到期日未赎回的每份基金份额，下一运作期起始日指该基金份额上一运作期到期日的次一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运作期到期日：对于每份基金份额，第一个运作期到期日指基金合同生效日（对认购份额而言，下同）或基金份额申购申请日（对申购份额而言，下同）后的第60天（如该日为非工作日，则顺延至下一工作日）。第二个运作期到期日指基金合同生效日或基金份额申购申请日后的第120天（如该日为非工作日，则顺延至下一工作日），以此类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35、工作日：指上海证券交易所、深圳证券交易所的正常交易日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36、T日：指销售机构在规定时间受理投资人申购、赎回或其他业务申请的开放日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37、T+n日：指自T日起第n个工作日（不包含T日）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40、《业务规则》：指《交银施罗德基金管理有限公司开放式基金业务规则》，是规范基金管理人所管理的开放式证券投资基金登记方面的业务规则，由基金管理人和投资人共同遵守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43、赎回：指基金合同生效后，基金份额持有人按基金合同和招募说明书规定的条件要求将基金份额兑换为现金的行为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49、基金收益：指基金投资所得债券利息、买卖证券价差、银行存款利息、已实现的其他合法收入及因运用基金财产带来的成本和费用的节约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50、基金资产总值：指基金拥有的各类有价证券、国债期货合约、银行存款本息、基金应收款项及其他资产的价值总和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54、规定媒介：指符合中国证监会规定条件的用以进行信息披露的全国性报刊及《信息披露办法》规定的互联网网站（包括基金管理人网站、基金托管人网站、中国证监会基金电子披露网站）等媒介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55、销售服务费：指从基金财产中计提的，用于本基金市场推广、销售以及基金份额持有人服务的费用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56、A类基金份额：指在投资人认购/申购时收取认购/申购费用且不从本类别基金资产中计提销售服务费的基金份额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57、C类基金份额：指在投资人认购/申购时不收取认购/申购费用并从本类别</w:t>
      </w:r>
      <w:r>
        <w:rPr>
          <w:rFonts w:ascii="宋体" w:hAnsi="宋体"/>
          <w:sz w:val="24"/>
        </w:rPr>
        <w:lastRenderedPageBreak/>
        <w:t>基金资产中计提销售服务费的基金份额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62、不可抗力：指基金合同当事人不能预见、不能避免且不能克服的客观事件</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6" w:name="_Toc240548775"/>
      <w:r>
        <w:rPr>
          <w:rFonts w:ascii="Times New Roman" w:hAnsi="Times New Roman"/>
          <w:sz w:val="30"/>
        </w:rPr>
        <w:lastRenderedPageBreak/>
        <w:t>三、基金管理人</w:t>
      </w:r>
      <w:bookmarkEnd w:id="6"/>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基金经理。香港大学工商管理硕士、北京大学经济学、管理学双学士。18年证券投资行业从业经验。2008年至2012年任中海基金管理有限公司交易员。2012年加入交银施罗德基金管理有限公司，曾任中央交易室交易员，现任固定收益部基金经理。曾任交银施罗德货币市场证券投资基金(2015年05月27日至2019年08月02日)、交银施罗德理财21天债券型证券投资基金(2015年05月27日至2020年07月27日)、交银施罗德现金宝货币市场基金(2015年05月27日至2019年08月02日)、交银施罗德丰泽收益债券型证券投资基金(2015年07月25日至2018年03月18日)、交银施罗德裕通纯债债券型证券投资基金(2015年12月29日至2019年10月23日)、交银施罗德天鑫宝货币市场基金(2016年12月07日至2019年08月02日)、交银施罗德境尚收益债券型证券投资基金(2017年03月03日至2024年04月12日)、交银施罗德稳鑫短债债券型证券投资基金(2019年01月24日至2024年11月09日)、交银施罗德中高等级信用债债券型证券投资基金(2020年07月28日至2022年07月05日)、交银施罗德稳安30天滚动持有债券型证券投资基金(2022年11月24日至2026年03月11日)、交银施罗德丰盈收益债券型证券投资基金(2024年12月04日至2025年12月27日)的基金经理。现任交银施罗德丰享收益债券型证券投资基金(2015年07月25日至今)、交银施罗德活期通货币市场基金(2016年07月27日至今)、交银施罗德天利宝货币市场基金(2016年10月19日至今)、交银施罗德裕隆纯债债券型证券投资基金(2016年11月28日至今)、交银施罗德天益宝货币市场基金(2016年12月20日至今)、交银施罗德稳利中短债债券型证券投资基金(2019年12月13日至今)、交银施罗德稳益短债债券型证券投资基金(2022年09月21日至今)、交银施罗德稳安60天滚动持有债券型证券投资基金(2023年11月16日至今)、交银施罗德双轮动债券型证券投资基金(2025年12月27日至今)、交银施罗德120天滚动持有债券型证券投资基金(2026年03月11日至今)的基金经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姬静女士:基金经理。北京大学经济学硕士、对外经济贸易大学经济学学士。13年证券投资相关工作经验。2013年至2015年任中国工商银行总行资产管理部投资</w:t>
      </w:r>
      <w:r>
        <w:rPr>
          <w:rFonts w:ascii="宋体" w:hAnsi="宋体"/>
          <w:sz w:val="24"/>
        </w:rPr>
        <w:lastRenderedPageBreak/>
        <w:t>经理 ，2015年至2016年任法国巴黎银行（中国）有限公司全球市场部信用分析师。2016年加入交银施罗德基金管理有限公司，曾任固定收益部高级研究员、基金经理助理，现任固定收益部基金经理。曾任交银施罗德裕盈纯债债券型证券投资基金(2022年11月12日至2025年01月15日)的基金经理。现任交银施罗德境尚收益债券型证券投资基金(2022年08月20日至今)、交银施罗德稳鑫短债债券型证券投资基金(2022年08月20日至今)、交银施罗德稳安60天滚动持有债券型证券投资基金(2023年01月09日至今)、交银施罗德稳安90天持有期债券型证券投资基金(2023年04月25日至今)、交银施罗德120天滚动持有债券型证券投资基金(2025年09月02日至今)的基金经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11、以基金管理人名义，代表基金份额持有人利益行使诉讼权利或者实施其他法律行为；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（1）健全性原则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w:t>
      </w:r>
      <w:r>
        <w:rPr>
          <w:rFonts w:ascii="宋体" w:hAnsi="宋体"/>
          <w:sz w:val="24"/>
        </w:rPr>
        <w:lastRenderedPageBreak/>
        <w:t>会报告的其他情形等。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建立、健全了岗位责任制，使每个员工都明确自己的任务、职责，并及时将各自工作领域中的风险隐患上报，以防范和减少风险。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7" w:name="_Toc240548776"/>
      <w:r>
        <w:rPr>
          <w:rFonts w:ascii="Times New Roman" w:hAnsi="Times New Roman"/>
          <w:sz w:val="30"/>
        </w:rPr>
        <w:lastRenderedPageBreak/>
        <w:t>四、基金托管人</w:t>
      </w:r>
      <w:bookmarkEnd w:id="7"/>
    </w:p>
    <w:p w:rsidR="0077110E" w:rsidRDefault="005F31A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设立日期：1987年4月8日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成立于1987年4月8日，是我国第一家完全由企业法人持股的股份制商业银行，总行设在深圳。自成立以来，招商银行先后进行了三次增资扩股，并于2002年3月成功地发行了15亿A股，4月9日在上交所挂牌（股票代码：600036），是国内第一家采用国际会计标准上市的公司。2006年9月又成功发行了22亿H股，9月22日在香港联交所挂牌交易（股票代码：3968），10月5日行使H股超额配售，共发行了24.2亿H股。截至2025年6月30日，本集团总资产126,571.51亿元人民币，高级法下资本充足率18.56%，权重法下资本充足率15.61%。</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本行董事、董事长。中央财经大学经济学博士，高级经济师。中国共产党第十九届、二十届中央委员会候补委员。招商局集团有限公司董事长。曾任中国人寿保险（集团）公司副董事长、总裁，中国人民保险 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良先生，招商银行党委书记、执行董事、行长。中国人民大学经济学硕士，高级经济师。1995年6月加入本行，历任本行北京分行行长助理、副行长、行长，2012年6月起历任本行行长助理、副行长、常务副行长，2022年5月起任本行党委书记，2022年6月起任本行行长。兼任本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本行，历任本行北京分行行长助理、副行长，天津分行行长，深圳分行行长，本行行长助理。2023年11月起任本行副行长。</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本行至今，历任本行合肥分行风险控制部副经理、经理、信贷管理部总经理助理、副总经理、总经理、公司银行部总经理、中小企业金融部总经理、投行与金融市场部总经理；无锡分行行长助理、副行长；南京分行副行长，具有20余年银行从业经</w:t>
      </w:r>
      <w:r>
        <w:rPr>
          <w:rFonts w:ascii="宋体" w:hAnsi="宋体"/>
          <w:sz w:val="24"/>
        </w:rPr>
        <w:lastRenderedPageBreak/>
        <w:t>验，在风险管理、信贷管理、公司金融、资产托管等领域有深入的研究和丰富的实务经验。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截至2025年6月30日，招商银行股份有限公司累计托管1641只证券投资基金。</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w:t>
      </w:r>
      <w:r>
        <w:rPr>
          <w:rFonts w:ascii="宋体" w:hAnsi="宋体"/>
          <w:sz w:val="24"/>
        </w:rPr>
        <w:lastRenderedPageBreak/>
        <w:t>统的安全。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8" w:name="_Toc240548777"/>
      <w:r>
        <w:rPr>
          <w:rFonts w:ascii="Times New Roman" w:hAnsi="Times New Roman"/>
          <w:sz w:val="30"/>
        </w:rPr>
        <w:lastRenderedPageBreak/>
        <w:t>五、相关服务机构</w:t>
      </w:r>
      <w:bookmarkEnd w:id="8"/>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（3）名称：宁波银行股份有限公司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（4）名称：上海浦东发展银行股份有限公司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（5）名称：国信证券股份有限公司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传真：（0755）82133952</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（6）名称：中信建投证券股份有限公司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（7）名称：东方财富证券股份有限公司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（8）名称：江海证券有限公司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（9）名称：东方证券股份有限公司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住所：上海市中山南路318号2号楼22层-29层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（10）名称：平安证券股份有限公司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（11）名称：申万宏源证券有限公司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（12）名称：申万宏源西部证券有限公司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（13）名称：兴业证券股份有限公司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（14）名称：国金证券股份有限公司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（15）名称：华泰证券股份有限公司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（16）名称：中信证券（山东）有限责任公司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住所：青岛市崂山区深圳路222号1号楼2001</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（17）名称：中信证券华南股份有限公司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（18）名称：中信证券股份有限公司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（19）名称：上海好买基金销售有限公司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客户服务电话：400-700-9665</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（20）名称：腾安基金销售（深圳）有限公司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（21）名称：北京度小满基金销售有限公司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（22）名称：上海天天基金销售有限公司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（23）名称：蚂蚁（杭州）基金销售有限公司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住所：浙江省杭州市余杭区五常街道文一西路969号3幢5层599室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（24）名称：上海利得基金销售有限公司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（25）名称：博时财富基金销售有限公司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（26）名称：上海挖财基金销售有限公司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电话：021-50810673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（27）名称：深圳众禄基金销售股份有限公司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（28）名称：玄元保险代理有限公司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（29）名称：珠海盈米基金销售有限公司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客户服务电话：（020）89629066</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（30）名称：北京雪球基金销售有限公司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（31）名称：上海华夏财富投资管理有限公司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（32）名称：上海基煜基金销售有限公司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（33）名称：京东肯特瑞基金销售有限公司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（34）名称：上海联泰基金销售有限公司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（35）名称：中信期货有限公司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（二）登记机构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电话：（021）61055461</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传真：（021）61055064</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联系人：陈方强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9" w:name="_Toc240548778"/>
      <w:r>
        <w:rPr>
          <w:rFonts w:ascii="Times New Roman" w:hAnsi="Times New Roman"/>
          <w:sz w:val="30"/>
        </w:rPr>
        <w:lastRenderedPageBreak/>
        <w:t>六、基金的募集</w:t>
      </w:r>
      <w:bookmarkEnd w:id="9"/>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本基金由基金管理人依照《基金法》、《运作办法》、《销售办法》、基金合同及其他有关规定，并经中国证监会2022年11月11日证监许可【2022】2832号文准予募集注册。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本基金为契约型开放式债券型证券投资基金，基金存续期间为不定期</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本基金于2022年12月5日至2023年1月5日进行发售，本基金设立募集期共募集206,124,653.30份基金份额，有效认购户数为347户。</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10" w:name="_Toc240548779"/>
      <w:r>
        <w:rPr>
          <w:rFonts w:ascii="Times New Roman" w:hAnsi="Times New Roman"/>
          <w:sz w:val="30"/>
        </w:rPr>
        <w:lastRenderedPageBreak/>
        <w:t>七、基金合同的生效</w:t>
      </w:r>
      <w:bookmarkEnd w:id="10"/>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根据有关规定，本基金满足基金合同生效条件，基金合同已于2023年1月9日正式生效。自基金合同生效之日起，本基金管理人正式开始管理本基金。</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11" w:name="_Toc240548780"/>
      <w:r>
        <w:rPr>
          <w:rFonts w:ascii="Times New Roman" w:hAnsi="Times New Roman"/>
          <w:sz w:val="30"/>
        </w:rPr>
        <w:lastRenderedPageBreak/>
        <w:t>八、基金份额的申购与赎回</w:t>
      </w:r>
      <w:bookmarkEnd w:id="11"/>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但对于每份基金份额，基金管理人仅在该基金份额的每个运作期到期日为基金份额持有人办理赎回，具体办理时间为上海证券交易所、深圳证券交易所的正常交易日的交易时间，但基金管理人根据</w:t>
      </w:r>
      <w:r>
        <w:rPr>
          <w:rFonts w:ascii="宋体" w:hAnsi="宋体"/>
          <w:sz w:val="24"/>
        </w:rPr>
        <w:lastRenderedPageBreak/>
        <w:t>法律法规、中国证监会的要求或基金合同的规定公告暂停申购、赎回时除外。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本基金已于2023年3月10日起开放申购、赎回业务。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每份基金份额，基金管理人仅在该基金份额的每个运作期到期日为基金份额持有人办理赎回。对于每份基金份额，第一个运作期指基金合同生效日（对认购份额而言，下同）或基金份额申购确认日（对申购份额而言，下同）起（即第一个运作期起始日），至基金合同生效日或基金份额申购申请日后的第60天（即第一个运作期到期日，如该日为非工作日，则顺延至下一工作日）止。第二个运作期指第一个运作期到期日的次一日起，至基金合同生效日或基金份额申购申请日后的第120天（如该日为非工作日，则顺延至下一工作日）止。以此类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4、赎回遵循“先进先出”原则，即按照投资人认购、申购的先后次序进行顺序赎回；</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1、申购金额的限制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本基金暂不向金融机构自营账户销售（基金管理人自有资金除外），如未来本基金开放向金融机构自营账户公开销售或对销售对象的范围予以进一步限定，基金管理人将另行公告。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一投资者单日申购金额不超过1000万元（个人投资者、公募资产管理产品、职业年金计划、企业年金计划、养老金产品和基金管理人自有资金除外）。基金管理人可以调整单一投资者单日申购金额上限，具体规定请参见更新的招募说明书或相关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基金管理人届时发布的相关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5、基金管理人可在法律法规允许的情况下，调整申购金额和赎回份额的数量限制。基金管理人必须在调整实施前依照《信息披露办法》的有关规定在规定媒介上公告。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w:t>
      </w:r>
      <w:r>
        <w:rPr>
          <w:rFonts w:ascii="宋体" w:hAnsi="宋体"/>
          <w:sz w:val="24"/>
        </w:rPr>
        <w:lastRenderedPageBreak/>
        <w:t>于本基金的市场推广、销售、登记结算等各项费用。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本基金对于每份基金份额设置60天的滚动运作期。每个运作期到期日，基金份</w:t>
      </w:r>
      <w:r>
        <w:rPr>
          <w:rFonts w:ascii="宋体" w:hAnsi="宋体"/>
          <w:sz w:val="24"/>
        </w:rPr>
        <w:lastRenderedPageBreak/>
        <w:t>额持有人可提出赎回申请。基金份额持有人在每个运作期到期日申请赎回A类基金份额和C类基金份额不收取赎回费。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5、当本基金发生大额申购或赎回情形时，基金管理人可以采用摆动定价机制，以确保基金估值的公平性。具体处理原则与操作规范遵循相关法律法规以及监管部门、自律规则的规定。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例四：某投资者（非养老金客户）投资100,000元申购本基金的A类基金份额，假设申购当日A类基金份额净值为1.0400元，申购费率为0.2%，则其可得到的申购份额为：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净申购金额=100,000/（1+0.2%）=99,800.40元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申购费用=100,000-99,800.40=199.60元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申购份额=（100,000-199.60）/1.0400=95,961.92份</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即：某投资者（非养老金客户）投资100,000元申购本基金的A类基金份额，假设申购当日A类基金份额净值为1.0400元，则其可得到95,961.92份A类基金份额。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例五：某养老金客户投资1,000,000元通过基金管理人的直销柜台申购本基金的A类基金份额，假设申购当日A类基金份额净值为1.0400元，申购费率为0.08%，则其可得到的申购份额为：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净申购金额=1,000,000/（1+0.08%）=999,200.64元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申购费用=1,000,000-999,200.64=799.36元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申购份额=（1,000,000-799.36）/1.0400=960,769.85份</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即：该养老金客户投资1,000,000元通过基金管理人的直销柜台申购本基金的A类基金份额，假设申购当日A类基金份额净值为1.0400元，则其可得到960,769.85份A类基金份额。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例七：某投资者通过认购持有10,000份A类基金份额，在基金合同生效日后第一个运作期到期日申请赎回该10,000份A类基金份额，假设赎回当日A类基金份额净值是1.0025元，则其可得到的赎回金额为：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赎回金额=10,000×1.0025＝10,025.00元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即：某投资者通过认购持有10,000份A类基金份额，在基金合同生效日后第一个运作期到期日申请赎回该10,000份A类基金份额，假设赎回当日A类基金份额净值是1.0025元，则其可得到的赎回金额为10,025.00元。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份额净值的计算，保留到小数点后4位，小数点后第5位四舍五入，由此产生的收益或损失由基金财产承担。T日的基金份额净值在当天收市后计算，并在T+1日（包括该日）内公告。遇特殊情况，经履行适当程序，可以适当延迟计算或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采用估值技术仍导致公允价值存在重大不确定性时，经与基金托管人协商确认后，基金管理人应当暂停接受基金申购申请。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8、法律法规规定、中国证监会认定或基金合同约定的其他情形。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w:t>
      </w:r>
      <w:r>
        <w:rPr>
          <w:rFonts w:ascii="宋体" w:hAnsi="宋体"/>
          <w:sz w:val="24"/>
        </w:rPr>
        <w:lastRenderedPageBreak/>
        <w:t>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w:t>
      </w:r>
      <w:r>
        <w:rPr>
          <w:rFonts w:ascii="宋体" w:hAnsi="宋体"/>
          <w:sz w:val="24"/>
        </w:rPr>
        <w:lastRenderedPageBreak/>
        <w:t>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（十二）基金转换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（十三）基金的非交易过户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（十四）基金的转托管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（十五）定期定额投资计划</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本基金2023年2月24日刊登公告自2023年3月10日起开通定期定额投资计划业务，具体开通销售机构名单和业务规则参见相关公告。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（十六）基金份额的冻结和解冻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（十七）基金份额的转让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（十八）实施侧袋机制期间本基金的申购与赎回</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本基金实施侧袋机制的，本基金的申购和赎回安排详见本招募说明书“侧袋机制”部分的规定或相关公告。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（十九）其他业务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12" w:name="_Toc240548781"/>
      <w:r>
        <w:rPr>
          <w:rFonts w:ascii="Times New Roman" w:hAnsi="Times New Roman"/>
          <w:sz w:val="30"/>
        </w:rPr>
        <w:lastRenderedPageBreak/>
        <w:t>九、基金的投资</w:t>
      </w:r>
      <w:bookmarkEnd w:id="12"/>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在严格控制风险和保持较高流动性的前提下，力求获得高于业绩比较基准的投资收益。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公开发行的次级债、短期融资券、超短期融资券、中期票据）、资产支持证券、债券回购、银行存款（包括定期存款、协议存款、通知存款等）、同业存单、货币市场工具、国债期货以及法律法规或中国证监会允许基金投资的其他金融工具（但须符合中国证监会相关规定）。本基金不投资于股票等权益类资产，也不投资于可转换债券、可交换债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（1）久期调整策略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本基金根据中长期宏观经济走势和经济周期波动趋势，判断债券市场未来的走</w:t>
      </w:r>
      <w:r>
        <w:rPr>
          <w:rFonts w:ascii="宋体" w:hAnsi="宋体"/>
          <w:sz w:val="24"/>
        </w:rPr>
        <w:lastRenderedPageBreak/>
        <w:t>势，并形成对未来市场利率变动方向的预期，动态调整组合久期。当预期收益率曲线下移时，适当提高组合久期，以分享债券市场上涨的收益；当预期收益率曲线上移时，适当降低组合久期，以规避债券市场下跌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（2）债券的类属配置策略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（3）期限结构配置策略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（4）回购策略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（5）信用债券（含资产支持证券，下同）投资策略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本基金主动投资的信用债（含资产支持证券，下同）为信用评级在AA+级（含）以上的信用债，对信用评级的认定参照基金管理人选定的评级机构出具的信</w:t>
      </w:r>
      <w:r>
        <w:rPr>
          <w:rFonts w:ascii="宋体" w:hAnsi="宋体"/>
          <w:sz w:val="24"/>
        </w:rPr>
        <w:lastRenderedPageBreak/>
        <w:t>用评级，其中，信用债的信用评级依照评级机构出具的债项信用评级，若无债项信用评级的，依照其主体信用评级。本基金投资于评级AA+的信用债比例不高于信用债资产的50%，投资于评级AAA的信用债比例不低于信用债资产的50%。因信用评级下降、证券市场波动、基金规模变动等基金管理人之外的因素致使基金投资比例不符合上述规定的，基金管理人应当在评级报告发布之日或不符合上述规定之日起3个月内调整至符合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（6）国债期货投资策略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进行国债期货投资时，将根据风险管理的原则，以套期保值为目的，并积极采用流动性好、交易活跃的期货合约，通过对国债市场和期货市场运行趋势的研究，结合国债期货的定价模型寻求其合理的估值水平，通过多头或空头套期保值等策略进行套期保值操作。基金管理人将充分考虑国债期货的收益性、流动性及风险性特征，利用金融衍生品的杠杆作用，以达到降低投资组合的整体风险的目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未来，随着投资工具的发展和丰富，基金管理人可以在不改变投资目标的前提下，在履行适当程序之后，相应调整和更新相关投资策略，并在招募说明书中更新，而无需召开基金份额持有人大会。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国债期货合约需缴纳的交易保证金后，本基金持有的现金或到期日在一年以内的政府债券的比例合计不低于基金资产净值的5%，其中现金不包括结算备付金、存出保证金、应收申购款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w:t>
      </w:r>
      <w:r>
        <w:rPr>
          <w:rFonts w:ascii="宋体" w:hAnsi="宋体"/>
          <w:sz w:val="24"/>
        </w:rPr>
        <w:lastRenderedPageBreak/>
        <w:t>定的比例限制；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（9）本基金应投资于信用级别评级为AA+以上（含AA+）的资产支持证券。基金持有资产支持证券期间，如果其信用等级下降、不再符合投资标准，应在评级报告发布之日起3个月内予以全部卖出；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（10）本基金进入全国银行间同业市场进行债券回购的资金余额不得超过基金资产净值的40%，进入全国银行间同业市场进行债券回购的最长期限为1年，债券回购到期后不得展期；</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（11）本基金参与国债期货交易，需遵守下列投资比例限制：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1）在任何交易日日终，持有的买入国债期货合约价值，不得超过基金资产净值的15%；</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2）在任何交易日日终，持有的卖出国债期货合约价值不得超过基金持有的债券总市值的30%；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3）基金在任何交易日内交易（不包括平仓）的国债期货合约的成交金额不得超过上一交易日基金资产净值的30%；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4）本基金所持有的债券（不含到期日在一年以内的政府债券）市值和买入、卖出国债期货合约价值，合计（轧差计算）应当符合基金合同关于债券投资比例的有关约定；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w:t>
      </w:r>
      <w:r>
        <w:rPr>
          <w:rFonts w:ascii="宋体" w:hAnsi="宋体"/>
          <w:sz w:val="24"/>
        </w:rPr>
        <w:lastRenderedPageBreak/>
        <w:t>一致；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（14）本基金资产总值不超过基金资产净值的140%；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w:t>
      </w:r>
      <w:r>
        <w:rPr>
          <w:rFonts w:ascii="宋体" w:hAnsi="宋体"/>
          <w:sz w:val="24"/>
        </w:rPr>
        <w:lastRenderedPageBreak/>
        <w:t>履行适当程序后，本基金可不受上述规定的限制。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本基金业绩比较基准：中债-综合全价（1年以下）指数收益率×95%+活期存款基准利率×5%</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债券等资产，相应选取与之匹配的债券指数作为基准要素。同时基于基金投资于债券资产的比例不低于基金资产的80%等投资比例限制，以及预期的资产配置比例，本基金将债券资产和现金类资产所对应的基准要素权重设置为95%、5%。</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的债券资产主要通过类属配置、久期配置、个券选择等进行投资管理。综合考虑基准指数与产品定位和投资风格的匹配度，同时兼顾考虑基准指数的表征性、认可度，以及基准指数券种、久期、信用等级分布特征等，本基金选取中债-综合全价（1年以下）指数作为债券部分的业绩比较基准要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中债-综合全价（1年以下）指数的成份券包含除资产支持证券、美元债券、可转债以外的在境内公开发行且上市流通的债券，成份券待偿期限在1年以下，适合作为本基金债券部分的业绩比较基准要素。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（3）基于基金投资目标、投资范围和投资策略，本基金可持有一定比例现金类资产，以匹配流动性管理需求。活期存款基准利率具有较强的权威性和市场影响力，适合作为本基金现金类资产的业绩比较基准。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中债-综合全价（1年以下）指数由中债金融估值中心有限公司编制发布，指数代码为CBA00213，指数具体信息详见中国债券信息网，网址：www.chinabond.com.cn。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活期存款基准利率由中国人民银行发布，具体信息详见中国人民银行网站，网址：www.pbc.gov.cn。</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w:t>
      </w:r>
      <w:r>
        <w:rPr>
          <w:rFonts w:ascii="宋体" w:hAnsi="宋体"/>
          <w:sz w:val="24"/>
        </w:rPr>
        <w:lastRenderedPageBreak/>
        <w:t>算原则。本基金先分别计算业绩比较基准中中债-综合全价（1年以下）指数、活期存款基准利率的每日收益率，再按照预设权重比例计算当日组合要素基准的日收益率，并连乘每日收益率。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久期偏离等，以更好管理基金实际投资与业绩比较基准的偏离情况，从而力争在控制风险的基础上追求超越业绩比较基准的投资回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（2）其他对基金份额持有人利益产生重大实质性影响的情形。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本基金是一只债券型基金，其预期风险与预期收益理论上高于货币市场基金，低于混合型基金和股票型基金。</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（七）基金管理人代表基金行使债权人权利的处理原则及方法</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基金托管人招商银行股份有限公司根据本基金合同规定，于2025年10月27日复核了本报告中的财务指标、净值表现和投资组合报告等内容，保证复核内容不存在虚假记载、误导性陈述或者重大遗漏。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本报告期自2025年07月01日起至09月30日止。本报告财务资料未经审计师审计。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4,472,148,954.54</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97.96</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4,472,148,954.54</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97.96</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9,607,164.10</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83,293,435.67</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1.82</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4,565,049,554.31</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19,911,081.52</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1,473,118,501.35</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32.83</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242,056,013.69</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5.39</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344,680,715.23</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7.68</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1,856,806,876.47</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41.38</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767,741,183.28</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17.11</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9,890,596.69</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4,472,148,954.54</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99.67</w:t>
            </w:r>
          </w:p>
        </w:tc>
      </w:tr>
    </w:tbl>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2228050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r>
              <w:rPr>
                <w:rFonts w:ascii="Times New Roman" w:hAnsi="Times New Roman"/>
                <w:color w:val="000000"/>
                <w:kern w:val="0"/>
                <w:sz w:val="25"/>
                <w:szCs w:val="24"/>
              </w:rPr>
              <w:t>光大银行</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1,600,000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163,829,023.56</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3.65</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2320001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贵州银行小微债</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1,200,000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123,210,312.33</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2.75</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012581349</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厦港务</w:t>
            </w:r>
            <w:r>
              <w:rPr>
                <w:rFonts w:ascii="Times New Roman" w:hAnsi="Times New Roman"/>
                <w:color w:val="000000"/>
                <w:kern w:val="0"/>
                <w:sz w:val="25"/>
                <w:szCs w:val="24"/>
              </w:rPr>
              <w:t>SCP002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1,100,000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110,464,157.81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2.46</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012580203</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广东建工</w:t>
            </w:r>
            <w:r>
              <w:rPr>
                <w:rFonts w:ascii="Times New Roman" w:hAnsi="Times New Roman"/>
                <w:color w:val="000000"/>
                <w:kern w:val="0"/>
                <w:sz w:val="25"/>
                <w:szCs w:val="24"/>
              </w:rPr>
              <w:t>SCP001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101,294,827.40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2.26</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250421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100,401,726.03</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2.24</w:t>
            </w:r>
          </w:p>
        </w:tc>
      </w:tr>
    </w:tbl>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进行国债期货投资时，将根据风险管理的原则，以套期保值为目的，并积极采用流动性好、交易活跃的期货合约，通过对国债市场和期货市场运行趋势的研究，结合国债期货的定价模型寻求其合理的估值水平，通过空头套期保值等策略进行套期保值操作。基金管理人将充分考虑国债期货的收益性、流动性及风险性特征，利用金融衍生品的杠杆作用，以达到降低投资组合的整体风险的目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tbl>
      <w:tblPr>
        <w:tblW w:w="5000" w:type="pct"/>
        <w:tblCellMar>
          <w:left w:w="0" w:type="dxa"/>
          <w:right w:w="0" w:type="dxa"/>
        </w:tblCellMar>
        <w:tblLook w:val="0000" w:firstRow="0" w:lastRow="0" w:firstColumn="0" w:lastColumn="0" w:noHBand="0" w:noVBand="0"/>
      </w:tblPr>
      <w:tblGrid>
        <w:gridCol w:w="816"/>
        <w:gridCol w:w="1570"/>
        <w:gridCol w:w="1571"/>
        <w:gridCol w:w="1571"/>
        <w:gridCol w:w="1571"/>
        <w:gridCol w:w="1571"/>
      </w:tblGrid>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持仓量（买</w:t>
            </w:r>
            <w:r>
              <w:rPr>
                <w:rFonts w:ascii="Times New Roman" w:hAnsi="Times New Roman"/>
                <w:color w:val="000000"/>
                <w:kern w:val="0"/>
                <w:sz w:val="25"/>
                <w:szCs w:val="24"/>
              </w:rPr>
              <w:t>/</w:t>
            </w:r>
            <w:r>
              <w:rPr>
                <w:rFonts w:ascii="Times New Roman" w:hAnsi="Times New Roman"/>
                <w:color w:val="000000"/>
                <w:kern w:val="0"/>
                <w:sz w:val="25"/>
                <w:szCs w:val="24"/>
              </w:rPr>
              <w:t>卖）</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合约市值</w:t>
            </w:r>
            <w:r>
              <w:rPr>
                <w:rFonts w:ascii="Times New Roman" w:hAnsi="Times New Roman"/>
                <w:color w:val="000000"/>
                <w:kern w:val="0"/>
                <w:sz w:val="25"/>
                <w:szCs w:val="24"/>
              </w:rPr>
              <w:t>(</w:t>
            </w:r>
            <w:r>
              <w:rPr>
                <w:rFonts w:ascii="Times New Roman" w:hAnsi="Times New Roman"/>
                <w:color w:val="000000"/>
                <w:kern w:val="0"/>
                <w:sz w:val="25"/>
                <w:szCs w:val="24"/>
              </w:rPr>
              <w:t>元</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公允价值变动（元）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风险指标说明</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TL2512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TL2512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-17,100,000.00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37,500.00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公允价值变动总额合计（元）</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37,500.00</w:t>
            </w:r>
          </w:p>
        </w:tc>
      </w:tr>
      <w:tr w:rsidR="0077110E">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国债期货投资本期收益（元）</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1,153,265.33</w:t>
            </w:r>
          </w:p>
        </w:tc>
      </w:tr>
      <w:tr w:rsidR="0077110E">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国债期货投资本期公允价值变动（元）</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37,500.00</w:t>
            </w:r>
          </w:p>
        </w:tc>
      </w:tr>
    </w:tbl>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9.3 本期国债期货投资评价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相关交易对基金总体风险的影响可控，执行既定的投资政策和投资目标。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2025年01月03日,国家金融监督管理总局东莞监管分局公示东金罚决字[2024]37号行政处罚决定书,给予东莞银行股份有限公司425万元人民币的行政处罚。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2025年04月17日,国家金融监督管理总局东莞监管分局公示东金罚决字[2025]7号行政处罚决定书,给予东莞银行股份有限公司25万元人民币的行政处罚。　</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2025年07月16日,国家金融监督管理总局贵州监管局公示贵金罚决字[2025]53号行政处罚决定书,给予贵州银行股份有限公司30万元人民币的行政处罚。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2025年09月08日,央行贵州省分行公示贵银罚决字[2025]18号行政处罚决定书,给予贵州银行股份有限公司20万元人民币的行政处罚。　</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2025年09月12日，国家金融监督管理总局公示行政处罚,给予中国光大银行股份有限公司430万元人民币的行政处罚。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2025年01月27日，央行公示银罚决字[2024]31号行政处罚决定书,给予中国光大银行股份有限公司罚没合计1878.83万元人民币的行政处罚。　</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2025年03月28日,央行公示银罚决字[2025]1号行政处罚决定书,给予中国建设银行股份有限公司230万元人民币的行政处罚。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2025年09月12日，国家金融监督管理总局公示行政处罚,给予中国建设银行股份有限公司290万元人民币的行政处罚。　</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2025年08月01日,国家金融监督管理总局公示行政处罚,给予中国农业发展银行1020万元人民币的行政处罚。　</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2025年08月08日,央行广东省分行公示广东银罚决字[2025]24号行政处罚决定书,给予珠海华润银行股份有限公司334.75万元人民币的行政处罚。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w:t>
      </w:r>
      <w:r>
        <w:rPr>
          <w:rFonts w:ascii="宋体" w:hAnsi="宋体"/>
          <w:sz w:val="24"/>
        </w:rPr>
        <w:lastRenderedPageBreak/>
        <w:t>特别是重仓证券的投资有严格的投资决策流程控制，对上述主体发行证券的投资决策程序符合公司投资制度的规定。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603,186.09</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82,690,249.58</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right"/>
              <w:rPr>
                <w:rFonts w:ascii="宋体" w:hAnsi="宋体"/>
                <w:color w:val="000000"/>
                <w:kern w:val="0"/>
                <w:sz w:val="25"/>
                <w:szCs w:val="24"/>
              </w:rPr>
            </w:pPr>
            <w:r>
              <w:rPr>
                <w:rFonts w:ascii="Times New Roman" w:hAnsi="Times New Roman"/>
                <w:color w:val="000000"/>
                <w:kern w:val="0"/>
                <w:sz w:val="25"/>
                <w:szCs w:val="24"/>
              </w:rPr>
              <w:t>83,293,435.67</w:t>
            </w:r>
          </w:p>
        </w:tc>
      </w:tr>
    </w:tbl>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13" w:name="_Toc240548782"/>
      <w:r>
        <w:rPr>
          <w:rFonts w:ascii="Times New Roman" w:hAnsi="Times New Roman"/>
          <w:sz w:val="30"/>
        </w:rPr>
        <w:lastRenderedPageBreak/>
        <w:t>十、基金的业绩</w:t>
      </w:r>
      <w:bookmarkEnd w:id="13"/>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1、基金份额净值收益率及其与同期业绩比较基准收益率的比较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交银稳安60天滚动持有债券A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711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7711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7711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7711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2.78%</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4.51%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-1.73%</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7711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3.87%</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2.15%</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交银稳安60天滚动持有债券C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711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7711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7711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7711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2.57%</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4.51%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-1.94%</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7711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3.68%</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注：本基金的业绩比较基准为中债综合全价指数收益率×90%+人民币活期存款利率(税后)×10%，每日进行再平衡过程。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2、自基金合同生效以来基金份额累计净值收益率变动及其与同期业绩比较基准收益率变动的比较</w:t>
      </w:r>
    </w:p>
    <w:p w:rsidR="0077110E" w:rsidRDefault="005F31A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交银稳安60天滚动持有债券A</w:t>
      </w:r>
    </w:p>
    <w:p w:rsidR="0077110E" w:rsidRDefault="005F31A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累计净值收益率与业绩比较基准收益率历史走势对比图</w:t>
      </w:r>
    </w:p>
    <w:p w:rsidR="0077110E" w:rsidRDefault="005F31A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（2023年1月9日至2025年09月30日）</w:t>
      </w:r>
    </w:p>
    <w:p w:rsidR="0077110E" w:rsidRDefault="00550F41">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77110E" w:rsidRDefault="005F31A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交银稳安60天滚动持有债券C</w:t>
      </w:r>
    </w:p>
    <w:p w:rsidR="0077110E" w:rsidRDefault="005F31A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累计净值收益率与业绩比较基准收益率历史走势对比图</w:t>
      </w:r>
    </w:p>
    <w:p w:rsidR="0077110E" w:rsidRDefault="005F31A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（2023年1月9日至2025年09月30日）</w:t>
      </w:r>
    </w:p>
    <w:p w:rsidR="0077110E" w:rsidRDefault="00550F41">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14" w:name="_Toc240548783"/>
      <w:r>
        <w:rPr>
          <w:rFonts w:ascii="Times New Roman" w:hAnsi="Times New Roman"/>
          <w:sz w:val="30"/>
        </w:rPr>
        <w:lastRenderedPageBreak/>
        <w:t>十一、基金的财产</w:t>
      </w:r>
      <w:bookmarkEnd w:id="14"/>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基金资产总值是指基金拥有的各类有价证券、国债期货合约、银行存款本息、基金应收款项及其他资产的价值总和。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15" w:name="_Toc240548784"/>
      <w:r>
        <w:rPr>
          <w:rFonts w:ascii="Times New Roman" w:hAnsi="Times New Roman"/>
          <w:sz w:val="30"/>
        </w:rPr>
        <w:lastRenderedPageBreak/>
        <w:t>十二、基金资产的估值</w:t>
      </w:r>
      <w:bookmarkEnd w:id="15"/>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基金所拥有的债券、国债期货合约、资产支持证券和其他投资等持续以公允价值计量的金融资产及负债。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（三）估值原则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市场上市交易或挂牌转让的固定收益品种（另有规定的除外），选取第三方估值机构提供的相应品种当日的估值净价进行估值；交易所上市实行全价交易的债券（可转债除外），选取第三方估值机构提供的估值全价减去估值全价中所含的债券应收利息得到的净价进行估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（2）交易所上市不存在活跃市场的有价证券，采用估值技术确定公允价值。交易所市场挂牌转让的资产支持证券，采用估值技术确定公允价值。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2、首次公开发行未上市的债券，采用估值技术确定公允价值。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采用估值技术确定公允价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5、本基金投资国债期货合约，一般以估值当日结算价进行估值，估值当日无结算价的，且最近交易日后经济环境未发生重大变化的，采用最近交易日结算价估值。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8、对于因税收规定调整或其他原因导致产品实际交纳税金与估算的应交税金有差异的，产品将在相关税金调整日或实际支付日进行相应的会计处理。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任一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4、法律法规、中国证监会和基金合同认定的其它情形。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期货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16" w:name="_Toc240548785"/>
      <w:r>
        <w:rPr>
          <w:rFonts w:ascii="Times New Roman" w:hAnsi="Times New Roman"/>
          <w:sz w:val="30"/>
        </w:rPr>
        <w:lastRenderedPageBreak/>
        <w:t>十三、基金收益与分配</w:t>
      </w:r>
      <w:bookmarkEnd w:id="16"/>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6、对于收益分配方式为红利再投资的基金份额，每份基金份额（原份额）所获得的红利再投资份额的运作期到期日，与该原份额的运作期到期日一致；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7、法律法规或监管机关另有规定的，从其规定。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17" w:name="_Toc240548786"/>
      <w:r>
        <w:rPr>
          <w:rFonts w:ascii="Times New Roman" w:hAnsi="Times New Roman"/>
          <w:sz w:val="30"/>
        </w:rPr>
        <w:lastRenderedPageBreak/>
        <w:t>十四、基金的费用与税收</w:t>
      </w:r>
      <w:bookmarkEnd w:id="17"/>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6、基金的证券、期货交易/结算费用；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本基金的管理费按前一日基金资产净值的0.20%年费率计提。管理费的计算方法如下：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H＝E×0.20%÷当年天数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本基金的托管费按前一日基金资产净值的0.05%年费率计提。托管费的计算方法如下：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H＝E×0.05%÷当年天数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本基金A类基金份额不收取销售服务费，C类基金份额的销售服务费按前一日C类基金资产净值的0.20%年费率计提。计算方法如下：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H＝E×0.20%÷当年天数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支付日期顺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下列费用不列入基金费用：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18" w:name="_Toc240548787"/>
      <w:r>
        <w:rPr>
          <w:rFonts w:ascii="Times New Roman" w:hAnsi="Times New Roman"/>
          <w:sz w:val="30"/>
        </w:rPr>
        <w:lastRenderedPageBreak/>
        <w:t>十五、基金的会计与审计</w:t>
      </w:r>
      <w:bookmarkEnd w:id="18"/>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19" w:name="_Toc240548788"/>
      <w:r>
        <w:rPr>
          <w:rFonts w:ascii="Times New Roman" w:hAnsi="Times New Roman"/>
          <w:sz w:val="30"/>
        </w:rPr>
        <w:lastRenderedPageBreak/>
        <w:t>十六、基金的信息披露</w:t>
      </w:r>
      <w:bookmarkEnd w:id="19"/>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11、基金投资资产支持证券情况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12、基金投资国债期货的情况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季度报告、中期报告、年度报告等定期报告和招募说明书（更新）等文件中披露国债期货交易情况，包括投资政策、持仓情况、损益情况、风险指标等，并充分揭示国债期货交易对基金总体风险的影响以及是否符合既定的投资政策和投资目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13、实施侧袋机制期间的信息披露</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基金管理人、基金托管人应当在规定报刊中选择披露信息的报刊。基金管理人、基金托管人应当向中国证监会基金电子披露网站报送拟披露的基金信息，并保证相关报送信息的真实、准确、完整、及时。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为基金信息披露义务人公开披露的基金信息出具审计报告、法律意见书的专业机构，应当制作工作底稿，并将相关档案至少保存到《基金合同》终止后10年。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20" w:name="_Toc240548789"/>
      <w:r>
        <w:rPr>
          <w:rFonts w:ascii="Times New Roman" w:hAnsi="Times New Roman"/>
          <w:sz w:val="30"/>
        </w:rPr>
        <w:lastRenderedPageBreak/>
        <w:t>十七、侧袋机制</w:t>
      </w:r>
      <w:bookmarkEnd w:id="20"/>
    </w:p>
    <w:p w:rsidR="0077110E" w:rsidRDefault="005F31A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77110E" w:rsidRDefault="005F31AF">
      <w:pPr>
        <w:pStyle w:val="1"/>
        <w:snapToGrid w:val="0"/>
        <w:spacing w:beforeLines="0" w:before="240" w:after="240"/>
        <w:rPr>
          <w:rFonts w:ascii="宋体" w:hAnsi="宋体"/>
          <w:szCs w:val="30"/>
        </w:rPr>
      </w:pPr>
      <w:bookmarkStart w:id="21" w:name="_Toc240548790"/>
      <w:r>
        <w:rPr>
          <w:rFonts w:ascii="Times New Roman" w:hAnsi="Times New Roman"/>
          <w:sz w:val="30"/>
        </w:rPr>
        <w:lastRenderedPageBreak/>
        <w:t>十八、风险揭示</w:t>
      </w:r>
      <w:bookmarkEnd w:id="21"/>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10%时，投资人将可能无法及时赎回持有的全部基金份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w:t>
      </w:r>
      <w:r>
        <w:rPr>
          <w:rFonts w:ascii="宋体" w:hAnsi="宋体"/>
          <w:sz w:val="24"/>
        </w:rPr>
        <w:lastRenderedPageBreak/>
        <w:t>自行负担。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化。虽然基金可以通过投资多样化来分散这种非系统风险，但不能完全规避。</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管理人仅在该基金份额的每个运作期到期日为基金份额持有人办理赎回，具体办理时间为上海证券交易所、深圳证券交易所的正常交易日的交易时间，但基金管理人根据法律法规、中国证监会的要求或基金合同的规定公告暂停申购、赎回时除外。基金管理人可根据实际情况依法决定本基金开始办理申购的具体日期，具体业务办理时间在申购开始公告中规定。对于每份基金份额，第一个运作期指基金合同生效日（对认购份额而言，下同）或基金份额申购确认日（对申购份额而言，下同）起（即第一个运作期起始日），至基金合同生效日或基</w:t>
      </w:r>
      <w:r>
        <w:rPr>
          <w:rFonts w:ascii="宋体" w:hAnsi="宋体"/>
          <w:sz w:val="24"/>
        </w:rPr>
        <w:lastRenderedPageBreak/>
        <w:t>金份额申购申请日后的第60天（即第一个运作期到期日，如该日为非工作日，则顺延至下一工作日）止。第二个运作期指第一个运作期到期日的次一日起，至基金合同生效日或基金份额申购申请日后的第120天（如该日为非工作日，则顺延至下一工作日）止。以此类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基金管理人自基金合同生效之日后的第60天（如遇非工作日，则顺延至下一工作日）起开始办理赎回，具体业务办理时间在开放赎回业务的公告中规定。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个券方面未有高集中度的特征，综合评估在正常市场环境下本基金的流动性风险适中。</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（3）本基金如发生巨额赎回且单个开放日内单个基金份额持有人申请赎回的基金份额超过前一开放日的基金总份额的20%时，本基金管理人有权采取如下措施：</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w:t>
      </w:r>
      <w:r>
        <w:rPr>
          <w:rFonts w:ascii="宋体" w:hAnsi="宋体"/>
          <w:sz w:val="24"/>
        </w:rPr>
        <w:lastRenderedPageBreak/>
        <w:t>对应特定资产的变现时间具有不确定性，最终变现价格也具有不确定性并且有可能大幅低于启用侧袋机制时的特定资产的估值，基金份额持有人可能因此面临损失。</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运作期不能赎回的风险。本基金对每份基金份额设置60天的滚动运作期。对于每份基金份额，基金管理人仅在该基金份额的每个运作期到期日为基金份额持有人办理赎回。如果基金份额持有人在当期运作期到期日未申请赎回或赎回被确认失败，则该基金份额将在该运作期到期日下一日起自动进入下一个运作期；在下一个运作期到期日前，基金份额持有人不能赎回该基金份额。因此基金份额持有人面临在滚动运作期内不能赎回基金份额的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4、基金合同提前终止风险。连续50个工作日出现基金份额持有人数量不满200人或者基金资产净值低于5000万元情形的，基金合同终止，不需召开基金份额持有人大会。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（六）投资国债期货的特定风险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（七）投资资产支持证券的特定风险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（八）本基金法律文件风险收益特征表述与销售机构基金风险评价可能不一致的风险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（九）其他风险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w:t>
      </w:r>
      <w:r>
        <w:rPr>
          <w:rFonts w:ascii="宋体" w:hAnsi="宋体"/>
          <w:sz w:val="24"/>
        </w:rPr>
        <w:lastRenderedPageBreak/>
        <w:t>平，从而带来风险；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22" w:name="_Toc240548791"/>
      <w:r>
        <w:rPr>
          <w:rFonts w:ascii="Times New Roman" w:hAnsi="Times New Roman"/>
          <w:sz w:val="30"/>
        </w:rPr>
        <w:lastRenderedPageBreak/>
        <w:t>十九、基金合同的变更、终止与基金财产的清算</w:t>
      </w:r>
      <w:bookmarkEnd w:id="22"/>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23" w:name="_Toc240548792"/>
      <w:r>
        <w:rPr>
          <w:rFonts w:ascii="Times New Roman" w:hAnsi="Times New Roman"/>
          <w:sz w:val="30"/>
        </w:rPr>
        <w:lastRenderedPageBreak/>
        <w:t>二十、基金合同内容摘要</w:t>
      </w:r>
      <w:bookmarkEnd w:id="23"/>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15）选择、更换律师事务所、会计师事务所、证券/期货经纪商或其他为基金提供服务的外部机构；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2）依《基金合同》约定获得基金托管费以及法律法规规定或监管部门批准的其他费用；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（1）根据《基金法》、《运作办法》及其他有关规定，基金份额持有人的权利包括但不限于：</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11）法律法规及中国证监会规定的和《基金合同》约定的其他义务。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（1）当出现或需要决定下列事由之一的，应当召开基金份额持有人大会，法律法规、中国证监会或基金合同另有规定的除外：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3）在法律法规和《基金合同》规定的范围内调整本基金的申购费率、调低赎回费率、在对现有基金份额持有人利益无实质性不利影响的前提下变更收费方式；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7）在符合法律法规及本基金合同规定、并且对基金份额持有人利益无实质不利影响的前提下，调整本基金份额类别的设置、对基金份额分类办法及规则进行调整；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w:t>
      </w:r>
      <w:r>
        <w:rPr>
          <w:rFonts w:ascii="宋体" w:hAnsi="宋体"/>
          <w:sz w:val="24"/>
        </w:rPr>
        <w:lastRenderedPageBreak/>
        <w:t>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w:t>
      </w:r>
      <w:r>
        <w:rPr>
          <w:rFonts w:ascii="宋体" w:hAnsi="宋体"/>
          <w:sz w:val="24"/>
        </w:rPr>
        <w:lastRenderedPageBreak/>
        <w:t>或基金托管人拒不派代表对表决意见的计票进行监督的，不影响表决意见的计票效力。</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w:t>
      </w:r>
      <w:r>
        <w:rPr>
          <w:rFonts w:ascii="宋体" w:hAnsi="宋体"/>
          <w:sz w:val="24"/>
        </w:rPr>
        <w:lastRenderedPageBreak/>
        <w:t>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7、计票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w:t>
      </w:r>
      <w:r>
        <w:rPr>
          <w:rFonts w:ascii="宋体" w:hAnsi="宋体"/>
          <w:sz w:val="24"/>
        </w:rPr>
        <w:lastRenderedPageBreak/>
        <w:t>会的决议。生效的基金份额持有人大会决议对全体基金份额持有人、基金管理人、基金托管人均有约束力。</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w:t>
      </w:r>
      <w:r>
        <w:rPr>
          <w:rFonts w:ascii="宋体" w:hAnsi="宋体"/>
          <w:sz w:val="24"/>
        </w:rPr>
        <w:lastRenderedPageBreak/>
        <w:t>容进行修改和调整，无需召开基金份额持有人大会审议。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由败诉方承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w:t>
      </w:r>
      <w:r>
        <w:rPr>
          <w:rFonts w:ascii="宋体" w:hAnsi="宋体"/>
          <w:sz w:val="24"/>
        </w:rPr>
        <w:lastRenderedPageBreak/>
        <w:t>履行基金合同规定的义务，维护基金份额持有人的合法权益。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24" w:name="_Toc240548793"/>
      <w:r>
        <w:rPr>
          <w:rFonts w:ascii="Times New Roman" w:hAnsi="Times New Roman"/>
          <w:sz w:val="30"/>
        </w:rPr>
        <w:lastRenderedPageBreak/>
        <w:t>二十一、托管协议的内容摘要</w:t>
      </w:r>
      <w:bookmarkEnd w:id="24"/>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批准设立机关和批准设立文号：中国人民银行银复字（1986）175号文、银复（1987）86号文</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1、基金托管人根据有关法律法规的规定以及《基金合同》的约定，对基金投资范围、投资比例、投资限制、关联方交易等进行监督。</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公开发行的次级债、短期融资券、超短期融资券、中期票据）、资产支持证券、债券回购、银行存款（包括定期存款、协议存款、通知存款等）、同业存单、货币市场工具、国债期货以及法律法规或中国证监会允许基金投资的其他金融工具（但须符合中国证监会相关规定）。本基金不投资于股票等权益类资产，也不投资于可转换债券、可交换债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2）每个交易日日终在扣除国债期货合约需缴纳的交易保证金后，本基金持有的现金或到期日在一年以内的政府债券的比例合计不低于基金资产净值的5%，其中现金不包括结算备付金、存出保证金、应收申购款等；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6）本基金持有的全部资产支持证券，其市值不得超过基金资产净值的20％；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9）本基金应投资于信用级别评级为AA+以上（含AA+）的资产支持证券。基金持有资产支持证券期间，如果其信用等级下降、不再符合投资标准，应在评级报告发布之日起3个月内予以全部卖出；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10）本基金进入全国银行间同业市场进行债券回购的资金余额不得超过基金资产净值的40%，进入全国银行间同业市场进行债券回购的最长期限为1年，债券回购到期后不得展期；</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11）本基金参与国债期货交易，需遵守下列投资比例限制：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①在任何交易日日终，持有的买入国债期货合约价值，不得超过基金资产净值的15%；</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②在任何交易日日终，持有的卖出国债期货合约价值不得超过基金持有的债券总市值的30%；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③基金在任何交易日内交易（不包括平仓）的国债期货合约的成交金额不得超过上一交易日基金资产净值的30%；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④本基金所持有的债券（不含到期日在一年以内的政府债券）市值和买入、卖出国债期货合约价值，合计（轧差计算）应当符合基金合同关于债券投资比例的有关约定；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14）本基金资产总值不超过基金资产净值的140%；</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除上述2）、9）、12）、13）情形之外，因证券/期货市场波动、证券发行人合</w:t>
      </w:r>
      <w:r>
        <w:rPr>
          <w:rFonts w:ascii="宋体" w:hAnsi="宋体"/>
          <w:sz w:val="24"/>
        </w:rPr>
        <w:lastRenderedPageBreak/>
        <w:t>并、基金规模变动等基金管理人之外的因素致使基金投资比例不符合上述规定投资比例的，基金管理人应当在10个交易日内进行调整，但中国证监会规定的特殊情形除外。法律法规另有规定的，从其规定。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（5）法律法规对上述投资组合比例限制进行变更的，以变更后的规定为准。法律法规或监管部门取消上述限制，如适用于本基金，基金管理人在履行适当程序后，则本基金投资不再受相关限制。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w:t>
      </w:r>
      <w:r>
        <w:rPr>
          <w:rFonts w:ascii="宋体" w:hAnsi="宋体"/>
          <w:sz w:val="24"/>
        </w:rPr>
        <w:lastRenderedPageBreak/>
        <w:t>定进行监督。对于不符合规定的银行存款，基金托管人可以拒绝执行，并通知基金管理人。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1）基金管理人应与符合资格的存款银行总行或其授权分行签订《存款协议书》。《存款协议书》的格式范本由基金托管人、基金管理人、存款银行总行或其授权分行共同商定。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2）基金托管人依据相关法规对《存款协议书》的内容进行复核，审查存款银行资格等。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存款协议书》中规定，在存期内，如本基金银行账户、预留印鉴发生变更，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1）基金投资于银行存款时，基金管理人应当依据基金管理人与存款银行签订的《存款协议书》等，以基金的名义在存款银行总行或授权分行指定的分支机构开立银行账户。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w:t>
      </w:r>
      <w:r>
        <w:rPr>
          <w:rFonts w:ascii="宋体" w:hAnsi="宋体"/>
          <w:sz w:val="24"/>
        </w:rPr>
        <w:lastRenderedPageBreak/>
        <w:t>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存款凭证在邮寄过程中遗失的，由基金管理人向存款银行提出补办申请，基金管理人应督促存款银行尽快补办存款凭证，并按以上（1）的方式快递或上门交付至托管人，原存款凭证自动作废。</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3）账目核对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对于存期超过3个月的定期存款，基金托管人于每季度向存款银行发起查询查复，存款银行应按照人行查询查复的有关时限要求及时回复。基金管理人有责任督促存款银行及时回复查询查复。因存款银行未及时回复造成的资金被挪用、盗取的责任由存款银行承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w:t>
      </w:r>
      <w:r>
        <w:rPr>
          <w:rFonts w:ascii="宋体" w:hAnsi="宋体"/>
          <w:sz w:val="24"/>
        </w:rPr>
        <w:lastRenderedPageBreak/>
        <w:t>本息划至指定的基金资金账户。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任何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如基金管理人在基金投资运作之前未向基金托管人提供银行间债券市场交易对手名单的，视为基金管理人认可全市场交易对手。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与基金托管人协商解决。</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w:t>
      </w:r>
      <w:r>
        <w:rPr>
          <w:rFonts w:ascii="宋体" w:hAnsi="宋体"/>
          <w:sz w:val="24"/>
        </w:rPr>
        <w:lastRenderedPageBreak/>
        <w:t>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5、基金管理人应当对投资中期票据业务进行研究，认真评估中期票据投资业务的风险，本着审慎、勤勉尽责的原则进行中期票据的投资业务，并应符合法律法规及监管机构的相关规定。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10、基金托管人发现基金管理人有重大违规行为，应及时报告中国证监会，同时通知基金管理人限期纠正。</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11、侧袋机制的实施和投资运作安排</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侧袋机制实施期间，基金合同约定的投资组合比例、投资策略、组合限制、业绩比较基准、风险收益特征等约定仅适用于主袋账户。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期货结算账户等投资所需账户、复核基金管理人计算的各类基金份额的基金资产净值和基金份额净值、根据基金管理人指令办理清算交收、相关信息披露和监督基金投资运作等行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1、基金财产保管的原则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（3）基金托管人按照规定开设基金财产的资金账户、证券账户和期货结算账户等投资所需的相关账户。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期货公司或证券公司负责清算交收的基金资产（包括但不限于期货保证金账户内的资金、期货合约等）及其收益由于该等机构或该机构会员单位等本协议当事人外第三方的欺诈、疏忽、过失或破产等原因给基金资产造成的损失等不承担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w:t>
      </w:r>
      <w:r>
        <w:rPr>
          <w:rFonts w:ascii="宋体" w:hAnsi="宋体"/>
          <w:sz w:val="24"/>
        </w:rPr>
        <w:lastRenderedPageBreak/>
        <w:t>会计师签字方为有效。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稳安60天滚动持有债券型证券投资基金”，预留印鉴为基金托管人印章。</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（3）基金资金账户的开立和管理应符合法律法规及银行业监督管理机构的有关规定。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w:t>
      </w:r>
      <w:r>
        <w:rPr>
          <w:rFonts w:ascii="宋体" w:hAnsi="宋体"/>
          <w:sz w:val="24"/>
        </w:rPr>
        <w:lastRenderedPageBreak/>
        <w:t>公司和银行间市场清算所股份有限公司的有关规定，以基金的名义在银行间市场登记结算机构开立债券托管账户，并代表基金进行银行间市场债券的结算。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基金托管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（2）因业务发展需要而开立的其他账户，可以根据法律法规和基金合同的规定，由基金管理人协助基金托管人按照有关法律法规和本协议的约定协商后开立。新账户按有关规定使用并管理。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不低于</w:t>
      </w:r>
      <w:r>
        <w:rPr>
          <w:rFonts w:ascii="宋体" w:hAnsi="宋体"/>
          <w:sz w:val="24"/>
        </w:rPr>
        <w:lastRenderedPageBreak/>
        <w:t>法律法规规定的最低期限。</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任一类基金份额的基金资产净值除以当日该类基金份额的余额数量计算，精确到0.0001元，小数点后第五位四舍五入。基金管理人可以设立大额赎回情形下的净值精度应急调整机制，具体可参见相关公告。国家另有规定的，从其规定。</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基金管理人于每个工作日分别计算各类基金份额的基金资产净值、基金份额净值，经基金托管人复核，按规定公告，但基金管理人根据法律法规或基金合同的规定暂停估值时除外。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基金管理人每个工作日对基金资产进行估值后，将各类基金份额的基金资产净值、基金份额净值发送基金托管人，经基金托管人复核无误后，由基金管理人依据基金合同和相关法律法规的规定对外公布。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基金管理人及基金托管人应当按照《基金合同》的约定处理份额净值错误。</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6、基金财务报表与报告的编制和复核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8、实施侧袋机制期间的基金资产估值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在基金托管人要求或编制中期报告及年度报告前，基金管理人应将有关资料送</w:t>
      </w:r>
      <w:r>
        <w:rPr>
          <w:rFonts w:ascii="宋体" w:hAnsi="宋体"/>
          <w:sz w:val="24"/>
        </w:rPr>
        <w:lastRenderedPageBreak/>
        <w:t>交基金托管人，不得无故拒绝或延误提供，并保证其真实性、准确性和完整性。基金管理人和托管人不得将所保管的基金份额持有人名册用于基金托管业务以外的其他用途，并应遵守保密义务。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本协议受中华人民共和国法律（不含港澳台地区法律）管辖。</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（八）托管协议的变更、终止与基金财产的清算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（4）发生法律法规或《基金合同》规定的其他终止事项。</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25" w:name="_Toc240548794"/>
      <w:r>
        <w:rPr>
          <w:rFonts w:ascii="Times New Roman" w:hAnsi="Times New Roman"/>
          <w:sz w:val="30"/>
        </w:rPr>
        <w:lastRenderedPageBreak/>
        <w:t>二十二、对基金份额持有人的服务</w:t>
      </w:r>
      <w:bookmarkEnd w:id="25"/>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等业务。通过网上直销交易平台办理本基金A类基金份额的申购和定期定额投资业务的个人投资者将享受前端申购费率的优惠。具体优惠费率请参见公司网站列示的网上直销交易平台申购、定期定额投资费率表或相关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w:t>
      </w:r>
      <w:r>
        <w:rPr>
          <w:rFonts w:ascii="宋体" w:hAnsi="宋体"/>
          <w:sz w:val="24"/>
        </w:rPr>
        <w:lastRenderedPageBreak/>
        <w:t>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26" w:name="_Toc240548795"/>
      <w:r>
        <w:rPr>
          <w:rFonts w:ascii="Times New Roman" w:hAnsi="Times New Roman"/>
          <w:sz w:val="30"/>
        </w:rPr>
        <w:lastRenderedPageBreak/>
        <w:t>二十三、其他应披露事项</w:t>
      </w:r>
      <w:bookmarkEnd w:id="26"/>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60</w:t>
            </w:r>
            <w:r>
              <w:rPr>
                <w:rFonts w:ascii="Times New Roman" w:hAnsi="Times New Roman"/>
                <w:color w:val="000000"/>
                <w:kern w:val="0"/>
                <w:sz w:val="25"/>
                <w:szCs w:val="24"/>
              </w:rPr>
              <w:t>天滚动持有债券型证券投资基金招募说明书更新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60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60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交银施罗德基金管理有限公司关于增加申万宏源西部证券有限公司为旗下基金的销售机构的公告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2024-11-27</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2024-11-27</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交银施罗德基金管理有限公司关于增加兴业证券股份有限公司为旗下基金的销售机构的公告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2024-12-10</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60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60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60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60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交银施罗德基金管理有限公司关于增加华泰证券股份有限公司为旗下基金的销售机构的公告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2025-08-04</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60</w:t>
            </w:r>
            <w:r>
              <w:rPr>
                <w:rFonts w:ascii="Times New Roman" w:hAnsi="Times New Roman"/>
                <w:color w:val="000000"/>
                <w:kern w:val="0"/>
                <w:sz w:val="25"/>
                <w:szCs w:val="24"/>
              </w:rPr>
              <w:t>天滚动持有债券型证券投资基金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7711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交银施罗德基金管理有限公司关于增加上海联泰基金销售有限公司为旗下基金的销售机构的公告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7110E" w:rsidRDefault="005F3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2025-09-02</w:t>
            </w:r>
          </w:p>
        </w:tc>
      </w:tr>
    </w:tbl>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27" w:name="_Toc240548796"/>
      <w:r>
        <w:rPr>
          <w:rFonts w:ascii="Times New Roman" w:hAnsi="Times New Roman"/>
          <w:sz w:val="30"/>
        </w:rPr>
        <w:lastRenderedPageBreak/>
        <w:t>二十四、招募说明书的存放及查阅方式</w:t>
      </w:r>
      <w:bookmarkEnd w:id="27"/>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5F31A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7110E" w:rsidRDefault="005F31AF">
      <w:pPr>
        <w:pStyle w:val="1"/>
        <w:snapToGrid w:val="0"/>
        <w:spacing w:beforeLines="0" w:before="240" w:after="240"/>
        <w:rPr>
          <w:rFonts w:ascii="宋体" w:hAnsi="宋体"/>
          <w:szCs w:val="30"/>
        </w:rPr>
      </w:pPr>
      <w:bookmarkStart w:id="28" w:name="_Toc240548797"/>
      <w:r>
        <w:rPr>
          <w:rFonts w:ascii="Times New Roman" w:hAnsi="Times New Roman"/>
          <w:sz w:val="30"/>
        </w:rPr>
        <w:lastRenderedPageBreak/>
        <w:t>二十五、备查文件</w:t>
      </w:r>
      <w:bookmarkEnd w:id="28"/>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（一）中国证监会准予交银施罗德稳安60天滚动持有债券型证券投资基金募集注册的文件</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（二）《交银施罗德稳安60天滚动持有债券型证券投资基金基金合同》</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（三）《交银施罗德稳安60天滚动持有债券型证券投资基金托管协议》</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77110E" w:rsidRDefault="005F31A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（六）关于申请募集注册交银施罗德稳安60天滚动持有债券型证券投资基金的法律意见书</w:t>
      </w:r>
    </w:p>
    <w:sectPr w:rsidR="0077110E">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0C20" w:rsidRDefault="005F31AF">
      <w:r>
        <w:separator/>
      </w:r>
    </w:p>
  </w:endnote>
  <w:endnote w:type="continuationSeparator" w:id="0">
    <w:p w:rsidR="009F0C20" w:rsidRDefault="005F3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10E" w:rsidRDefault="0077110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10E" w:rsidRDefault="00550F41">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77110E" w:rsidRDefault="005F31A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50F41">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10E" w:rsidRDefault="0077110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10E" w:rsidRDefault="00550F41">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77110E" w:rsidRDefault="005F31A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50F41">
                  <w:rPr>
                    <w:rFonts w:ascii="Times New Roman" w:hAnsi="Times New Roman"/>
                    <w:noProof/>
                    <w:kern w:val="0"/>
                    <w:sz w:val="18"/>
                    <w:szCs w:val="18"/>
                  </w:rPr>
                  <w:t>138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0C20" w:rsidRDefault="005F31AF">
      <w:r>
        <w:separator/>
      </w:r>
    </w:p>
  </w:footnote>
  <w:footnote w:type="continuationSeparator" w:id="0">
    <w:p w:rsidR="009F0C20" w:rsidRDefault="005F31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10E" w:rsidRDefault="0077110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10E" w:rsidRDefault="005F31AF">
    <w:pPr>
      <w:pStyle w:val="a3"/>
      <w:jc w:val="right"/>
      <w:rPr>
        <w:rFonts w:ascii="宋体" w:hAnsi="宋体"/>
      </w:rPr>
    </w:pPr>
    <w:r>
      <w:rPr>
        <w:rFonts w:ascii="宋体" w:hAnsi="宋体" w:hint="eastAsia"/>
      </w:rPr>
      <w:t>交银施罗德稳安60天滚动持有债券型证券投资基金招募说明书更新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10E" w:rsidRDefault="0077110E">
    <w:pPr>
      <w:pStyle w:val="10"/>
      <w:jc w:val="right"/>
    </w:pPr>
  </w:p>
  <w:p w:rsidR="0077110E" w:rsidRDefault="0077110E">
    <w:pPr>
      <w:pStyle w:val="10"/>
      <w:jc w:val="right"/>
    </w:pPr>
  </w:p>
  <w:p w:rsidR="0077110E" w:rsidRDefault="0077110E">
    <w:pPr>
      <w:pStyle w:val="a3"/>
      <w:jc w:val="right"/>
    </w:pPr>
  </w:p>
  <w:p w:rsidR="0077110E" w:rsidRDefault="005F31AF">
    <w:pPr>
      <w:pStyle w:val="a3"/>
      <w:jc w:val="right"/>
      <w:rPr>
        <w:rFonts w:ascii="宋体" w:hAnsi="宋体"/>
      </w:rPr>
    </w:pPr>
    <w:r>
      <w:rPr>
        <w:rFonts w:ascii="宋体" w:hAnsi="宋体" w:hint="eastAsia"/>
      </w:rPr>
      <w:t>交银施罗德稳安60天滚动持有债券型证券投资基金招募说明书更新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10E" w:rsidRDefault="0077110E">
    <w:pPr>
      <w:pStyle w:val="a3"/>
      <w:jc w:val="right"/>
    </w:pPr>
  </w:p>
  <w:p w:rsidR="0077110E" w:rsidRDefault="0077110E">
    <w:pPr>
      <w:pStyle w:val="a3"/>
      <w:jc w:val="right"/>
    </w:pPr>
  </w:p>
  <w:p w:rsidR="0077110E" w:rsidRDefault="0077110E">
    <w:pPr>
      <w:pStyle w:val="a3"/>
      <w:jc w:val="right"/>
    </w:pPr>
  </w:p>
  <w:p w:rsidR="0077110E" w:rsidRDefault="005F31AF">
    <w:pPr>
      <w:pStyle w:val="a3"/>
      <w:jc w:val="right"/>
      <w:rPr>
        <w:rFonts w:ascii="宋体" w:hAnsi="宋体"/>
      </w:rPr>
    </w:pPr>
    <w:r>
      <w:rPr>
        <w:rFonts w:ascii="宋体" w:hAnsi="宋体" w:hint="eastAsia"/>
      </w:rPr>
      <w:t>交银施罗德稳安60天滚动持有债券型证券投资基金招募说明书更新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0F41"/>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31AF"/>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10E"/>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0C20"/>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211A4292-F9D2-4E83-B62A-1EBFA4124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139</Pages>
  <Words>14789</Words>
  <Characters>84301</Characters>
  <Application>Microsoft Office Word</Application>
  <DocSecurity>0</DocSecurity>
  <Lines>702</Lines>
  <Paragraphs>197</Paragraphs>
  <ScaleCrop>false</ScaleCrop>
  <Company>Microsoft</Company>
  <LinksUpToDate>false</LinksUpToDate>
  <CharactersWithSpaces>98893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2026-09-17T06:45:00Z</dcterms:created>
  <dcterms:modified xsi:type="dcterms:W3CDTF">2026-09-17T06:45:00Z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