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交银施罗德先进制造混合型证券投资基金（C类份额）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交银先进制造混合C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014963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2011-06-22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郭若</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2025-09-15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2018-01-01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本基金自2022年1月24日起增设C类份额。</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本基金通过重点投资于与先进制造主题相关的优质企业，把握中国产业结构升级的投资机会，在控制风险并保持基金资产良好的流动性的前提下，力争实现基金资产的长期稳定增值。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科创板以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货币市场工具、债券回购、同业存单、银行存款(含协议存款、定期存款及其他银行存款)、资产支持证券、股指期货以及法律法规或中国证监会允许基金投资的其他金融工具(但须符合中国证监会的相关规定)。如法律法规或监管机构以后允许本基金投资其他品种，基金管理人在履行适当程序后，可以将其纳入投资范围。基金的投资组合比例为：股票资产（含存托凭证）占基金资产的 50%-95%（其中投资于港股通标的股票的比例占股票资产的0%-50%），投资于先进制造主题相关证券的比例不低于非现金基金资产的 80%；每个交易日日终在扣除股指期货合约需缴纳的交易保证金后，本基金保留的现金或者投资于到期日在一年以内的政府债券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本基金充分发挥基金管理人的研究优势，将严谨、规范化的选股方法与积极主动的投资风格相结合，自下而上挖掘与先进制造主题相关的上市公司投资机会，以谋求良好收益。</w:t>
            </w:r>
          </w:p>
          <w:p>
            <w:pPr>
              <w:ind w:firstLine="420"/>
              <w:jc w:val="left"/>
              <w:rPr>
                <w:rFonts w:ascii="仿宋_GB2312" w:eastAsia="仿宋_GB2312"/>
                <w:szCs w:val="21"/>
              </w:rPr>
            </w:pPr>
            <w:r>
              <w:rPr>
                <w:rFonts w:hint="eastAsia" w:ascii="仿宋_GB2312" w:eastAsia="仿宋_GB2312"/>
                <w:szCs w:val="21"/>
              </w:rPr>
              <w:t>1、资产配置；2、股票投资；3、债券投资；4、资产支持证券投资；5、股指期货投资。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中证高端装备制造指数收益率×60%+中债-国债总财富（1-3年）指数收益率×25%+中证港股通综合指数（人民币）收益率×15%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详见《交银施罗德先进制造混合型证券投资基金招募说明书》“基金的投资”。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2、本基金份额于2022年1月25日开始确认，首次确认当年净值增长率按实际存续期计算。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3、本基金业绩比较基准自2022年1月24日起，由“60%×沪深300指数收益率+40%×中证综合债券指数收益率”变更为“沪深300指数收益率×55%+恒生指数收益率×5%+中证综合债券指数收益率×40%”。</w:t>
      </w:r>
    </w:p>
    <w:p>
      <w:pPr>
        <w:ind w:left="420" w:firstLine="420" w:firstLineChars="200"/>
        <w:jc w:val="left"/>
        <w:rPr>
          <w:rFonts w:ascii="仿宋_GB2312" w:eastAsia="仿宋_GB2312"/>
          <w:szCs w:val="21"/>
        </w:rPr>
      </w:pPr>
      <w:r>
        <w:rPr>
          <w:rFonts w:hint="eastAsia" w:ascii="仿宋_GB2312" w:eastAsia="仿宋_GB2312"/>
          <w:szCs w:val="21"/>
        </w:rPr>
        <w:t>4、基金的过往业绩不代表未来表现。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1.81%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（1）本基金属于混合型基金，将维持较高的股票持仓比例。如果股票市场出现整体下跌，本基金的净值表现将受到影响。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2）本基金以先进制造相关行业的上市公司为重点投资对象。在选股策略上本基金特有的风险主要来自两个方面：一是先进制造有关行业板块的表现可能与市场整体表现出现偏差，从而直接影响本基金的业绩表现；二是对上市公司的基本面研究是否准确、深入，对股票的优选和判断是否科学、准确。基本面研究及上市企业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●《交银施罗德先进制造混合型证券投资基金基金合同》、</w:t>
      </w:r>
    </w:p>
    <w:p>
      <w:pPr>
        <w:ind w:firstLine="420"/>
        <w:jc w:val="left"/>
        <w:rPr>
          <w:rFonts w:ascii="仿宋_GB2312" w:eastAsia="仿宋_GB2312"/>
          <w:szCs w:val="21"/>
        </w:rPr>
      </w:pPr>
      <w:r>
        <w:rPr>
          <w:rFonts w:hint="eastAsia" w:ascii="仿宋_GB2312" w:eastAsia="仿宋_GB2312"/>
          <w:szCs w:val="21"/>
        </w:rPr>
        <w:t>《交银施罗德先进制造混合型证券投资基金托管协议》、</w:t>
      </w:r>
    </w:p>
    <w:p>
      <w:pPr>
        <w:ind w:firstLine="420"/>
        <w:jc w:val="left"/>
        <w:rPr>
          <w:rFonts w:ascii="仿宋_GB2312" w:eastAsia="仿宋_GB2312"/>
          <w:szCs w:val="21"/>
        </w:rPr>
      </w:pPr>
      <w:r>
        <w:rPr>
          <w:rFonts w:hint="eastAsia" w:ascii="仿宋_GB2312" w:eastAsia="仿宋_GB2312"/>
          <w:szCs w:val="21"/>
        </w:rPr>
        <w:t>《交银施罗德先进制造混合型证券投资基金招募说明书》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A060D"/>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3FAE38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780</Words>
  <Characters>4446</Characters>
  <Lines>37</Lines>
  <Paragraphs>10</Paragraphs>
  <TotalTime>0</TotalTime>
  <ScaleCrop>false</ScaleCrop>
  <LinksUpToDate>false</LinksUpToDate>
  <CharactersWithSpaces>5216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2026-09-17T02:45:00Z</dcterms:created>
  <dc:creator>Cc</dc:creator>
  <cp:lastModifiedBy>haotingting</cp:lastModifiedBy>
  <dcterms:modified xsi:type="dcterms:W3CDTF">2026-09-17T09:00:30Z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679F08C753C04111A2CF751B0E39C99B</vt:lpwstr>
  </property>
</Properties>
</file>