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交银施罗德稳安30天滚动持有债券型证券投资基金（C类份额）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交银稳安30天滚动持有债券C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016876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2022-11-24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每个开放日开放申购，对于每份基金份额设置30天滚动运作期，每个运作期到期日前不可赎回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季参平</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2024-11-23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2012-03-19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债券（含国债、金融债、央行票据、地方政府债、政府支持债、政府支持机构债、企业债、公司债、可分离交易可转债的纯债部分、公开发行的次级债、短期融资券、超短期融资券、中期票据）、资产支持证券、债券回购、银行存款（包括定期存款、协议存款、通知存款等）、同业存单、货币市场工具、国债期货以及法律法规或中国证监会允许基金投资的其他金融工具（但须符合中国证监会相关规定）。本基金不投资于股票等权益类资产，也不投资于可转换债券（可分离交易可转债的纯债部分除外）、可交换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每个交易日日终在扣除国债期货合约需缴纳的交易保证金后，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含资产支持证券）投资策略；6、国债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中债-综合全价（1年以下）指数收益率×95%+活期存款基准利率×5%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本基金是一只债券型基金，其预期风险与预期收益理论上高于货币市场基金，低于混合型基金和股票型基金。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详见《交银施罗德稳安30天滚动持有债券型证券投资基金招募说明书》“基金的投资”。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2、本基金合同于2022年11月24日生效，合同生效当年净值增长率按实际存续期计算。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本基金对于每份基金份额设置30天的滚动运作期。每个运作期到期日，基金份额持有人可提出赎回申请。基金份额持有人在每个运作期到期日申请赎回C类基金份额不收取赎回费。</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0.59%</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运作期不能赎回的风险。本基金对每份基金份额设置30天的滚动运作期。对于每份基金份额，基金管理人仅在该基金份额的每个运作期到期日为基金份额持有人办理赎回。如果基金份额持有人在当期运作期到期日未申请赎回或赎回被确认失败，则该基金份额将在该运作期到期日下一日起自动进入下一个运作期；在下一个运作期到期日前，基金份额持有人不能赎回该基金份额。因此基金份额持有人面临在滚动运作期内不能赎回基金份额的风险。</w:t>
      </w:r>
    </w:p>
    <w:p>
      <w:pPr>
        <w:ind w:firstLine="420"/>
        <w:jc w:val="left"/>
        <w:rPr>
          <w:rFonts w:ascii="仿宋_GB2312" w:eastAsia="仿宋_GB2312"/>
          <w:szCs w:val="21"/>
        </w:rPr>
      </w:pPr>
      <w:r>
        <w:rPr>
          <w:rFonts w:hint="eastAsia" w:ascii="仿宋_GB2312" w:eastAsia="仿宋_GB2312"/>
          <w:szCs w:val="21"/>
        </w:rPr>
        <w:t>（3）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6、投资国债期货的特定风险</w:t>
      </w:r>
    </w:p>
    <w:p>
      <w:pPr>
        <w:ind w:firstLine="420"/>
        <w:jc w:val="left"/>
        <w:rPr>
          <w:rFonts w:ascii="仿宋_GB2312" w:eastAsia="仿宋_GB2312"/>
          <w:szCs w:val="21"/>
        </w:rPr>
      </w:pPr>
      <w:r>
        <w:rPr>
          <w:rFonts w:hint="eastAsia" w:ascii="仿宋_GB2312" w:eastAsia="仿宋_GB2312"/>
          <w:szCs w:val="21"/>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●《交银施罗德稳安30天滚动持有债券型证券投资基金基金合同》、</w:t>
      </w:r>
    </w:p>
    <w:p>
      <w:pPr>
        <w:ind w:firstLine="420"/>
        <w:jc w:val="left"/>
        <w:rPr>
          <w:rFonts w:ascii="仿宋_GB2312" w:eastAsia="仿宋_GB2312"/>
          <w:szCs w:val="21"/>
        </w:rPr>
      </w:pPr>
      <w:r>
        <w:rPr>
          <w:rFonts w:hint="eastAsia" w:ascii="仿宋_GB2312" w:eastAsia="仿宋_GB2312"/>
          <w:szCs w:val="21"/>
        </w:rPr>
        <w:t>《交银施罗德稳安30天滚动持有债券型证券投资基金托管协议》、</w:t>
      </w:r>
    </w:p>
    <w:p>
      <w:pPr>
        <w:ind w:firstLine="420"/>
        <w:jc w:val="left"/>
        <w:rPr>
          <w:rFonts w:ascii="仿宋_GB2312" w:eastAsia="仿宋_GB2312"/>
          <w:szCs w:val="21"/>
        </w:rPr>
      </w:pPr>
      <w:r>
        <w:rPr>
          <w:rFonts w:hint="eastAsia" w:ascii="仿宋_GB2312" w:eastAsia="仿宋_GB2312"/>
          <w:szCs w:val="21"/>
        </w:rPr>
        <w:t>《交银施罗德稳安30天滚动持有债券型证券投资基金招募说明书》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448B6"/>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3247650A"/>
    <w:rsid w:val="3BF908D3"/>
    <w:rsid w:val="729D24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651</Words>
  <Characters>3713</Characters>
  <Lines>30</Lines>
  <Paragraphs>8</Paragraphs>
  <TotalTime>0</TotalTime>
  <ScaleCrop>false</ScaleCrop>
  <LinksUpToDate>false</LinksUpToDate>
  <CharactersWithSpaces>4356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2026-09-17T02:41:00Z</dcterms:created>
  <dc:creator>Cc</dc:creator>
  <cp:lastModifiedBy>haotingting</cp:lastModifiedBy>
  <dcterms:modified xsi:type="dcterms:W3CDTF">2026-09-17T08:18:44Z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5585C15965A74045849D468F17AB5729</vt:lpwstr>
  </property>
</Properties>
</file>