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交银施罗德丰盈收益债券型证券投资基金（A类份额）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2026-09-18</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2026-09-21</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交银丰盈收益债券A</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519740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中信银行股份有限公司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2014-08-11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债券型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孙丹妮</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2025-02-20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2015-05-28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二十个工作日基金份额持有人数量不满200人或者基金资产净值低于5000万元的，基金管理人应当在定期报告中予以披露；连续六十个工作日出现基金份额持有人数量不满200人或者基金资产净值低于5000万元情形的，基金管理人应当向中国证监会报告并提前终止基金合同，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追求在有效控制风险的前提下，力争为基金资产获得稳健的投资收益和超额回报。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交易的国债、金融债、央行票据、地方政府债、企业债、公司债、分离交易可转债的纯债、次级债、资产支持证券、短期融资券、中期票据、债券回购、银行存款、货币市场工具等固定收益类资产和法律法规允许投资的其他金融工具。其中，封闭期内，本基金所投企业债和公司债信用评级需在AA级(含)以上。本基金不直接在二级市场买入股票、权证等权益类资产，也不参与一级市场新股申购和新股增发。同时本基金不参与可转换债券投资(分离交易可转债的纯债部分除外)。</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基金的投资组合比例为投资于债券资产的比例不低于基金资产的80%，但在封闭期结束转开放的前后三个月内，基金投资不受上述债券资产投资比例限制。</w:t>
            </w:r>
          </w:p>
          <w:p>
            <w:pPr>
              <w:ind w:firstLine="420"/>
              <w:jc w:val="left"/>
              <w:rPr>
                <w:rFonts w:ascii="仿宋_GB2312" w:eastAsia="仿宋_GB2312"/>
                <w:szCs w:val="21"/>
              </w:rPr>
            </w:pPr>
            <w:r>
              <w:rPr>
                <w:rFonts w:hint="eastAsia" w:ascii="仿宋_GB2312" w:eastAsia="仿宋_GB2312"/>
                <w:szCs w:val="21"/>
              </w:rPr>
              <w:t>本基金在开放期内，现金或到期日在一年以内的政府债券的比例合计不低于基金资产净值的5%，其中现金不包括结算备付金、存出保证金、应收申购款等。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融合规范化的基本面研究和严谨的信用分析，在分析和判断宏观经济运行状况和金融市场运行趋势的基础上，动态调整大类金融资产比例，自上而下决定类属资产配置和债券组合久期、期限结构；在严谨深入的信用分析基础上，综合考量信用债券的信用评级，以及各类债券的流动性、供求关系和收益率水平等，自下而上精选个券。本基金采用的主要策略包括：1、久期调整策略；2、债券的类属配置策略；3、期限结构配置策略；4、杠杆放大策略；5、信用债券投资策略；6、资产支持证券（含资产收益计划）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中债-综合全价（1-3年）指数收益率</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债券型基金，其风险与预期收益高于货币市场基金，低于混合型基金和股票型基金，属于证券投资基金中中等风险的品种。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详见《交银施罗德丰盈收益债券型证券投资基金招募说明书》“基金的投资”。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2、本基金自2017年8月14日起转为开放式运作，本基金的业绩比较基准由“三年期银行定期存款税后收益率”变更为“中债综合全价指数”。</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6"/>
        <w:gridCol w:w="2818"/>
        <w:gridCol w:w="1754"/>
        <w:gridCol w:w="1990"/>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M＜50万元</w:t>
            </w:r>
          </w:p>
        </w:tc>
        <w:tc>
          <w:tcPr>
            <w:tcW w:w="1843" w:type="dxa"/>
            <w:vAlign w:val="center"/>
          </w:tcPr>
          <w:p>
            <w:pPr>
              <w:rPr>
                <w:rFonts w:ascii="仿宋_GB2312" w:eastAsia="仿宋_GB2312"/>
                <w:szCs w:val="21"/>
              </w:rPr>
            </w:pPr>
            <w:r>
              <w:rPr>
                <w:rFonts w:hint="eastAsia" w:ascii="仿宋_GB2312" w:eastAsia="仿宋_GB2312"/>
                <w:szCs w:val="21"/>
              </w:rPr>
              <w:t>0.3%</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50万元≤M＜200万元</w:t>
            </w:r>
          </w:p>
        </w:tc>
        <w:tc>
          <w:tcPr>
            <w:tcW w:w="1843" w:type="dxa"/>
            <w:vAlign w:val="center"/>
          </w:tcPr>
          <w:p>
            <w:pPr>
              <w:rPr>
                <w:rFonts w:ascii="仿宋_GB2312" w:eastAsia="仿宋_GB2312"/>
                <w:szCs w:val="21"/>
              </w:rPr>
            </w:pPr>
            <w:r>
              <w:rPr>
                <w:rFonts w:hint="eastAsia" w:ascii="仿宋_GB2312" w:eastAsia="仿宋_GB2312"/>
                <w:szCs w:val="21"/>
              </w:rPr>
              <w:t>0.2%</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200万元≤M＜500万元</w:t>
            </w:r>
          </w:p>
        </w:tc>
        <w:tc>
          <w:tcPr>
            <w:tcW w:w="1843" w:type="dxa"/>
            <w:vAlign w:val="center"/>
          </w:tcPr>
          <w:p>
            <w:pPr>
              <w:rPr>
                <w:rFonts w:ascii="仿宋_GB2312" w:eastAsia="仿宋_GB2312"/>
                <w:szCs w:val="21"/>
              </w:rPr>
            </w:pPr>
            <w:r>
              <w:rPr>
                <w:rFonts w:hint="eastAsia" w:ascii="仿宋_GB2312" w:eastAsia="仿宋_GB2312"/>
                <w:szCs w:val="21"/>
              </w:rPr>
              <w:t>0.1%</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7天≤N＜30天</w:t>
            </w:r>
          </w:p>
        </w:tc>
        <w:tc>
          <w:tcPr>
            <w:tcW w:w="1843" w:type="dxa"/>
            <w:vAlign w:val="center"/>
          </w:tcPr>
          <w:p>
            <w:pPr>
              <w:rPr>
                <w:rFonts w:ascii="仿宋_GB2312" w:eastAsia="仿宋_GB2312"/>
                <w:szCs w:val="21"/>
              </w:rPr>
            </w:pPr>
            <w:r>
              <w:rPr>
                <w:rFonts w:hint="eastAsia" w:ascii="仿宋_GB2312" w:eastAsia="仿宋_GB2312"/>
                <w:szCs w:val="21"/>
              </w:rPr>
              <w:t>0.1%</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30天≤N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2、本基金管理人对养老金客户实施特定申购费率，请详见本基金招募说明书。销售机构若有其他费率优惠请见基金管理人或其他销售机构的有关公告或通知。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0.30%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0.10%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60000.00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0.41%</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6）债券收益率曲线变动风险、（7）再投资风险、（8）经营风险、（9）上市公司经营风险、（10）债券回购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4、交易对手违约风险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（1）本基金为债券型基金，投资于债券资产的比例不低于基金资产的80%，因投资固定收益类资产而面临的固定收益类资产市场的系统性风险和个券风险；</w:t>
      </w:r>
    </w:p>
    <w:p>
      <w:pPr>
        <w:ind w:firstLine="420"/>
        <w:jc w:val="left"/>
        <w:rPr>
          <w:rFonts w:ascii="仿宋_GB2312" w:eastAsia="仿宋_GB2312"/>
          <w:szCs w:val="21"/>
        </w:rPr>
      </w:pPr>
      <w:r>
        <w:rPr>
          <w:rFonts w:hint="eastAsia" w:ascii="仿宋_GB2312" w:eastAsia="仿宋_GB2312"/>
          <w:szCs w:val="21"/>
        </w:rPr>
        <w:t>（2）对宏观经济趋势、政策以及债券市场基本面研究是否准确、深入，以及对企业债券的优选和判断是否科学、准确将影响本基金的收益。基本面研究及企业债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3）特有的流动性风险。本基金为封闭三年运作，之后转为开放式运作（按照基金合同约定提前转换基金运作方式的情形除外）。本基金在封闭期内不办理申购赎回业务，也不上市交易，从而可能无法满足投资者的短期流动性需求。</w:t>
      </w:r>
    </w:p>
    <w:p>
      <w:pPr>
        <w:ind w:firstLine="420"/>
        <w:jc w:val="left"/>
        <w:rPr>
          <w:rFonts w:ascii="仿宋_GB2312" w:eastAsia="仿宋_GB2312"/>
          <w:szCs w:val="21"/>
        </w:rPr>
      </w:pPr>
      <w:r>
        <w:rPr>
          <w:rFonts w:hint="eastAsia" w:ascii="仿宋_GB2312" w:eastAsia="仿宋_GB2312"/>
          <w:szCs w:val="21"/>
        </w:rPr>
        <w:t>6、本基金法律文件风险收益特征表述与销售机构基金风险评价可能不一致的风险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7、其他风险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●《交银施罗德丰盈收益债券型证券投资基金基金合同》、</w:t>
      </w:r>
    </w:p>
    <w:p>
      <w:pPr>
        <w:ind w:firstLine="420"/>
        <w:jc w:val="left"/>
        <w:rPr>
          <w:rFonts w:ascii="仿宋_GB2312" w:eastAsia="仿宋_GB2312"/>
          <w:szCs w:val="21"/>
        </w:rPr>
      </w:pPr>
      <w:r>
        <w:rPr>
          <w:rFonts w:hint="eastAsia" w:ascii="仿宋_GB2312" w:eastAsia="仿宋_GB2312"/>
          <w:szCs w:val="21"/>
        </w:rPr>
        <w:t>《交银施罗德丰盈收益债券型证券投资基金托管协议》、</w:t>
      </w:r>
    </w:p>
    <w:p>
      <w:pPr>
        <w:ind w:firstLine="420"/>
        <w:jc w:val="left"/>
        <w:rPr>
          <w:rFonts w:ascii="仿宋_GB2312" w:eastAsia="仿宋_GB2312"/>
          <w:szCs w:val="21"/>
        </w:rPr>
      </w:pPr>
      <w:r>
        <w:rPr>
          <w:rFonts w:hint="eastAsia" w:ascii="仿宋_GB2312" w:eastAsia="仿宋_GB2312"/>
          <w:szCs w:val="21"/>
        </w:rPr>
        <w:t>《交银施罗德丰盈收益债券型证券投资基金招募说明书》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10A8"/>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757A5F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qFormat/>
    <w:uiPriority w:val="99"/>
    <w:rPr>
      <w:sz w:val="18"/>
      <w:szCs w:val="18"/>
    </w:rPr>
  </w:style>
  <w:style w:type="paragraph" w:styleId="4">
    <w:name w:val="footer"/>
    <w:basedOn w:val="1"/>
    <w:link w:val="12"/>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qFormat/>
    <w:uiPriority w:val="99"/>
    <w:rPr>
      <w:b/>
      <w:bCs/>
    </w:rPr>
  </w:style>
  <w:style w:type="table" w:styleId="8">
    <w:name w:val="Table Grid"/>
    <w:basedOn w:val="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qFormat/>
    <w:uiPriority w:val="99"/>
  </w:style>
  <w:style w:type="character" w:customStyle="1" w:styleId="15">
    <w:name w:val="批注主题 Char"/>
    <w:basedOn w:val="14"/>
    <w:link w:val="6"/>
    <w:semiHidden/>
    <w:qFormat/>
    <w:uiPriority w:val="99"/>
    <w:rPr>
      <w:b/>
      <w:bCs/>
    </w:rPr>
  </w:style>
  <w:style w:type="character" w:customStyle="1" w:styleId="16">
    <w:name w:val="批注框文本 Char"/>
    <w:basedOn w:val="9"/>
    <w:link w:val="3"/>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615</Words>
  <Characters>3506</Characters>
  <Lines>29</Lines>
  <Paragraphs>8</Paragraphs>
  <TotalTime>0</TotalTime>
  <ScaleCrop>false</ScaleCrop>
  <LinksUpToDate>false</LinksUpToDate>
  <CharactersWithSpaces>4113</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2026-09-17T02:43:00Z</dcterms:created>
  <dc:creator>Cc</dc:creator>
  <cp:lastModifiedBy>haotingting</cp:lastModifiedBy>
  <dcterms:modified xsi:type="dcterms:W3CDTF">2026-09-17T07:02:47Z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2C194FD1E17A43BBB3A0E00D4C13B75C</vt:lpwstr>
  </property>
</Properties>
</file>