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交银施罗德启衡混合型证券投资基金（A类份额）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交银启衡混合A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016541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2022-11-30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芮晨</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2022-11-30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2007-02-01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本基金在严格控制风险的前提下，充分发挥专业研究与管理能力，追求超越业绩比较基准的投资收益，力争为投资者提供长期稳健的投资回报。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沪深300指数收益率×75%+中债-国债总财富（1-3年）指数收益率×10%+中证港股通综合指数（人民币）收益率×15%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本基金是一只混合型基金，其预期风险和预期收益理论上高于债券型基金和货币市场基金，低于股票型基金。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详见《交银施罗德启衡混合型证券投资基金招募说明书》“基金的投资”。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2、本基金于合同于2022年10月20日生效，合同生效当年净值增长率按实际存续期计算。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●《交银施罗德启衡混合型证券投资基金基金合同》、</w:t>
      </w:r>
    </w:p>
    <w:p>
      <w:pPr>
        <w:ind w:firstLine="420"/>
        <w:jc w:val="left"/>
        <w:rPr>
          <w:rFonts w:ascii="仿宋_GB2312" w:eastAsia="仿宋_GB2312"/>
          <w:szCs w:val="21"/>
        </w:rPr>
      </w:pPr>
      <w:r>
        <w:rPr>
          <w:rFonts w:hint="eastAsia" w:ascii="仿宋_GB2312" w:eastAsia="仿宋_GB2312"/>
          <w:szCs w:val="21"/>
        </w:rPr>
        <w:t>《交银施罗德启衡混合型证券投资基金托管协议》、</w:t>
      </w:r>
    </w:p>
    <w:p>
      <w:pPr>
        <w:ind w:firstLine="420"/>
        <w:jc w:val="left"/>
        <w:rPr>
          <w:rFonts w:ascii="仿宋_GB2312" w:eastAsia="仿宋_GB2312"/>
          <w:szCs w:val="21"/>
        </w:rPr>
      </w:pPr>
      <w:r>
        <w:rPr>
          <w:rFonts w:hint="eastAsia" w:ascii="仿宋_GB2312" w:eastAsia="仿宋_GB2312"/>
          <w:szCs w:val="21"/>
        </w:rPr>
        <w:t>《交银施罗德启衡混合型证券投资基金招募说明书》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96434"/>
    <w:rsid w:val="009C0C41"/>
    <w:rsid w:val="009F4EAE"/>
    <w:rsid w:val="00AB59CB"/>
    <w:rsid w:val="00AF7A1E"/>
    <w:rsid w:val="00C0525C"/>
    <w:rsid w:val="00CD7637"/>
    <w:rsid w:val="00D04A15"/>
    <w:rsid w:val="00D373CC"/>
    <w:rsid w:val="00DB319C"/>
    <w:rsid w:val="00E51B6D"/>
    <w:rsid w:val="00F75715"/>
    <w:rsid w:val="00F811C4"/>
    <w:rsid w:val="00FC2918"/>
    <w:rsid w:val="40A50E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779</Words>
  <Characters>4445</Characters>
  <Lines>37</Lines>
  <Paragraphs>10</Paragraphs>
  <TotalTime>1</TotalTime>
  <ScaleCrop>false</ScaleCrop>
  <LinksUpToDate>false</LinksUpToDate>
  <CharactersWithSpaces>5214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2026-09-17T02:41:00Z</dcterms:created>
  <dc:creator>Cc</dc:creator>
  <cp:lastModifiedBy>haotingting</cp:lastModifiedBy>
  <dcterms:modified xsi:type="dcterms:W3CDTF">2026-09-17T08:05:07Z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DAB53D8A137C4701B3C1B459045C5279</vt:lpwstr>
  </property>
</Properties>
</file>