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451F71">
      <w:pPr>
        <w:rPr>
          <w:sz w:val="32"/>
        </w:rPr>
      </w:pPr>
    </w:p>
    <w:p w:rsidR="00C92FC0" w:rsidRPr="00EB07BC" w:rsidRDefault="00451F71">
      <w:pPr>
        <w:rPr>
          <w:sz w:val="32"/>
        </w:rPr>
      </w:pPr>
    </w:p>
    <w:p w:rsidR="00C92FC0" w:rsidRPr="00EB07BC" w:rsidRDefault="00451F71">
      <w:pPr>
        <w:rPr>
          <w:sz w:val="32"/>
        </w:rPr>
      </w:pPr>
    </w:p>
    <w:p w:rsidR="006437E9" w:rsidRDefault="006437E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437E9" w:rsidRDefault="006437E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437E9" w:rsidRDefault="006437E9">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6437E9" w:rsidRDefault="00F4643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交银施罗德内需增长一年持有期混合型证券投资基金</w:t>
      </w:r>
    </w:p>
    <w:p w:rsidR="006437E9" w:rsidRDefault="00F4643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6437E9" w:rsidRDefault="006437E9">
      <w:pPr>
        <w:snapToGrid w:val="0"/>
        <w:spacing w:line="360" w:lineRule="auto"/>
        <w:jc w:val="center"/>
        <w:rPr>
          <w:rFonts w:ascii="宋体" w:hAnsi="宋体"/>
          <w:b/>
          <w:sz w:val="30"/>
          <w:szCs w:val="30"/>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F4643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6437E9" w:rsidRDefault="00F4643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6437E9">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6437E9" w:rsidRDefault="00F4643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6437E9" w:rsidRDefault="006437E9">
      <w:pPr>
        <w:autoSpaceDE w:val="0"/>
        <w:autoSpaceDN w:val="0"/>
        <w:adjustRightInd w:val="0"/>
        <w:snapToGrid w:val="0"/>
        <w:spacing w:line="360" w:lineRule="auto"/>
        <w:ind w:left="1347" w:rightChars="6" w:right="13"/>
        <w:rPr>
          <w:rFonts w:ascii="宋体" w:hAnsi="宋体"/>
          <w:kern w:val="0"/>
          <w:sz w:val="32"/>
          <w:szCs w:val="32"/>
        </w:rPr>
        <w:sectPr w:rsidR="006437E9">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6437E9" w:rsidRDefault="00F4643B">
      <w:pPr>
        <w:pStyle w:val="1"/>
        <w:snapToGrid w:val="0"/>
        <w:spacing w:beforeLines="0" w:before="240" w:after="240"/>
        <w:rPr>
          <w:rFonts w:ascii="宋体" w:hAnsi="宋体"/>
          <w:kern w:val="0"/>
        </w:rPr>
      </w:pPr>
      <w:bookmarkStart w:id="0" w:name="_Toc324920538"/>
      <w:bookmarkStart w:id="1" w:name="_Toc496884613"/>
      <w:bookmarkStart w:id="2" w:name="_Toc240548745"/>
      <w:r>
        <w:rPr>
          <w:rFonts w:ascii="Times New Roman" w:hAnsi="Times New Roman"/>
          <w:kern w:val="0"/>
        </w:rPr>
        <w:lastRenderedPageBreak/>
        <w:t>重要提示</w:t>
      </w:r>
      <w:bookmarkEnd w:id="0"/>
      <w:bookmarkEnd w:id="1"/>
      <w:bookmarkEnd w:id="2"/>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交银施罗德内需增长一年持有期混合型证券投资基金（以下简称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2020</w:t>
      </w:r>
      <w:r>
        <w:rPr>
          <w:rFonts w:ascii="Times New Roman" w:hAnsi="Times New Roman"/>
          <w:kern w:val="0"/>
          <w:sz w:val="24"/>
        </w:rPr>
        <w:t>】</w:t>
      </w:r>
      <w:r>
        <w:rPr>
          <w:rFonts w:ascii="Times New Roman" w:hAnsi="Times New Roman"/>
          <w:kern w:val="0"/>
          <w:sz w:val="24"/>
        </w:rPr>
        <w:t>2464</w:t>
      </w:r>
      <w:r>
        <w:rPr>
          <w:rFonts w:ascii="Times New Roman" w:hAnsi="Times New Roman"/>
          <w:kern w:val="0"/>
          <w:sz w:val="24"/>
        </w:rPr>
        <w:t>号文准予募集注册。本基金基金合同于</w:t>
      </w:r>
      <w:r>
        <w:rPr>
          <w:rFonts w:ascii="Times New Roman" w:hAnsi="Times New Roman"/>
          <w:kern w:val="0"/>
          <w:sz w:val="24"/>
        </w:rPr>
        <w:t>2020</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11</w:t>
      </w:r>
      <w:r>
        <w:rPr>
          <w:rFonts w:ascii="Times New Roman" w:hAnsi="Times New Roman"/>
          <w:kern w:val="0"/>
          <w:sz w:val="24"/>
        </w:rPr>
        <w:t>日正式生效。</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中国证监会不对基金的投资价值及市场前景等作出实质性判断或者保证。</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科创板股票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万元情形时基金管理人可依基金合同约定提前终止基金合同的风险；投资本基金的其他风险等等。本基金是一只混合型基金，其预期风险和预期收益高于债券型基金和货币市场基金，低于股票型基金。</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w:t>
      </w:r>
      <w:r>
        <w:rPr>
          <w:rFonts w:ascii="Times New Roman" w:hAnsi="Times New Roman"/>
          <w:kern w:val="0"/>
          <w:sz w:val="24"/>
        </w:rPr>
        <w:lastRenderedPageBreak/>
        <w:t>性风险、信用风险等风险，基金管理人将本着谨慎和控制风险的原则进行资产支持证券投资，请基金份额持有人关注包括投资资产支持证券可能导致的基金净值波动在内的各项风险。</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烦请查阅本基金招募说明书的</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w:t>
      </w:r>
      <w:r>
        <w:rPr>
          <w:rFonts w:ascii="Times New Roman" w:hAnsi="Times New Roman"/>
          <w:kern w:val="0"/>
          <w:sz w:val="24"/>
        </w:rPr>
        <w:lastRenderedPageBreak/>
        <w:t>证。</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6437E9" w:rsidRDefault="00F4643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6437E9" w:rsidRDefault="006437E9">
      <w:pPr>
        <w:autoSpaceDE w:val="0"/>
        <w:autoSpaceDN w:val="0"/>
        <w:adjustRightInd w:val="0"/>
        <w:snapToGrid w:val="0"/>
        <w:spacing w:before="51" w:line="360" w:lineRule="auto"/>
        <w:ind w:left="120" w:rightChars="6" w:right="13" w:firstLine="480"/>
        <w:rPr>
          <w:rFonts w:ascii="宋体" w:hAnsi="宋体"/>
          <w:kern w:val="0"/>
          <w:szCs w:val="24"/>
        </w:rPr>
        <w:sectPr w:rsidR="006437E9">
          <w:headerReference w:type="default" r:id="rId14"/>
          <w:pgSz w:w="11920" w:h="16840"/>
          <w:pgMar w:top="1440" w:right="1680" w:bottom="280" w:left="1680" w:header="0" w:footer="1073" w:gutter="0"/>
          <w:pgNumType w:start="1"/>
          <w:cols w:space="720"/>
        </w:sectPr>
      </w:pPr>
    </w:p>
    <w:p w:rsidR="00451F71" w:rsidRPr="00451F71" w:rsidRDefault="00F4643B" w:rsidP="00451F71">
      <w:pPr>
        <w:pStyle w:val="ad"/>
        <w:snapToGrid w:val="0"/>
        <w:spacing w:after="240" w:line="360" w:lineRule="auto"/>
        <w:jc w:val="center"/>
        <w:rPr>
          <w:rFonts w:ascii="宋体" w:hAnsi="宋体"/>
          <w:noProof/>
          <w:sz w:val="24"/>
        </w:rPr>
      </w:pPr>
      <w:r w:rsidRPr="00451F71">
        <w:rPr>
          <w:rFonts w:ascii="宋体" w:hAnsi="宋体"/>
          <w:color w:val="000000"/>
          <w:position w:val="-4"/>
          <w:sz w:val="24"/>
          <w:szCs w:val="30"/>
        </w:rPr>
        <w:lastRenderedPageBreak/>
        <w:t>目</w:t>
      </w:r>
      <w:r w:rsidRPr="00451F71">
        <w:rPr>
          <w:rFonts w:ascii="宋体" w:hAnsi="宋体"/>
          <w:color w:val="000000"/>
          <w:position w:val="-4"/>
          <w:sz w:val="24"/>
          <w:szCs w:val="30"/>
        </w:rPr>
        <w:tab/>
        <w:t>录</w:t>
      </w:r>
      <w:r w:rsidR="00451F71" w:rsidRPr="00451F71">
        <w:rPr>
          <w:rFonts w:ascii="宋体" w:hAnsi="宋体"/>
          <w:color w:val="000000"/>
          <w:position w:val="-4"/>
          <w:sz w:val="24"/>
          <w:szCs w:val="30"/>
        </w:rPr>
        <w:fldChar w:fldCharType="begin"/>
      </w:r>
      <w:r w:rsidR="00451F71" w:rsidRPr="00451F71">
        <w:rPr>
          <w:rFonts w:ascii="宋体" w:hAnsi="宋体"/>
          <w:color w:val="000000"/>
          <w:position w:val="-4"/>
          <w:sz w:val="24"/>
          <w:szCs w:val="30"/>
        </w:rPr>
        <w:instrText xml:space="preserve"> TOC \o "1-3" \f - \h \t "-1" </w:instrText>
      </w:r>
      <w:r w:rsidR="00451F71" w:rsidRPr="00451F71">
        <w:rPr>
          <w:rFonts w:ascii="宋体" w:hAnsi="宋体"/>
          <w:color w:val="000000"/>
          <w:position w:val="-4"/>
          <w:sz w:val="24"/>
          <w:szCs w:val="30"/>
        </w:rPr>
        <w:fldChar w:fldCharType="separate"/>
      </w:r>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45" w:history="1">
        <w:r w:rsidRPr="00451F71">
          <w:rPr>
            <w:rStyle w:val="aa"/>
            <w:rFonts w:ascii="宋体" w:hAnsi="宋体" w:hint="eastAsia"/>
            <w:noProof/>
            <w:kern w:val="0"/>
            <w:sz w:val="24"/>
          </w:rPr>
          <w:t>重要提示</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_Toc240548745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46" w:history="1">
        <w:r w:rsidRPr="00451F71">
          <w:rPr>
            <w:rStyle w:val="aa"/>
            <w:rFonts w:ascii="宋体" w:hAnsi="宋体" w:hint="eastAsia"/>
            <w:noProof/>
            <w:sz w:val="24"/>
          </w:rPr>
          <w:t>一、绪言</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_Toc240548746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5</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47" w:history="1">
        <w:r w:rsidRPr="00451F71">
          <w:rPr>
            <w:rStyle w:val="aa"/>
            <w:rFonts w:ascii="宋体" w:hAnsi="宋体" w:hint="eastAsia"/>
            <w:noProof/>
            <w:sz w:val="24"/>
          </w:rPr>
          <w:t>二、释义</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_Toc240548747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6</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48" w:history="1">
        <w:r w:rsidRPr="00451F71">
          <w:rPr>
            <w:rStyle w:val="aa"/>
            <w:rFonts w:ascii="宋体" w:hAnsi="宋体" w:hint="eastAsia"/>
            <w:noProof/>
            <w:sz w:val="24"/>
          </w:rPr>
          <w:t>三、基金管理人</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_Toc240548748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11</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49" w:history="1">
        <w:r w:rsidRPr="00451F71">
          <w:rPr>
            <w:rStyle w:val="aa"/>
            <w:rFonts w:ascii="宋体" w:hAnsi="宋体" w:hint="eastAsia"/>
            <w:noProof/>
            <w:sz w:val="24"/>
          </w:rPr>
          <w:t>四、基金托管人</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_Toc240548749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18</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0" w:history="1">
        <w:r w:rsidRPr="00451F71">
          <w:rPr>
            <w:rStyle w:val="aa"/>
            <w:rFonts w:ascii="宋体" w:hAnsi="宋体" w:hint="eastAsia"/>
            <w:noProof/>
            <w:sz w:val="24"/>
          </w:rPr>
          <w:t>五、相关服务机构</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_Toc240548750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21</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1" w:history="1">
        <w:r w:rsidRPr="00451F71">
          <w:rPr>
            <w:rStyle w:val="aa"/>
            <w:rFonts w:ascii="宋体" w:hAnsi="宋体" w:hint="eastAsia"/>
            <w:noProof/>
            <w:sz w:val="24"/>
          </w:rPr>
          <w:t>六、基金的募集</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_Toc240548751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49</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2" w:history="1">
        <w:r w:rsidRPr="00451F71">
          <w:rPr>
            <w:rStyle w:val="aa"/>
            <w:rFonts w:ascii="宋体" w:hAnsi="宋体" w:hint="eastAsia"/>
            <w:noProof/>
            <w:sz w:val="24"/>
          </w:rPr>
          <w:t>七、基金合同的生效</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_Toc240548752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50</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3" w:history="1">
        <w:r w:rsidRPr="00451F71">
          <w:rPr>
            <w:rStyle w:val="aa"/>
            <w:rFonts w:ascii="宋体" w:hAnsi="宋体" w:hint="eastAsia"/>
            <w:noProof/>
            <w:sz w:val="24"/>
          </w:rPr>
          <w:t>八、基金份额的申购与赎回</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_Toc240548753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51</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4" w:history="1">
        <w:r w:rsidRPr="00451F71">
          <w:rPr>
            <w:rStyle w:val="aa"/>
            <w:rFonts w:ascii="宋体" w:hAnsi="宋体" w:hint="eastAsia"/>
            <w:noProof/>
            <w:sz w:val="24"/>
          </w:rPr>
          <w:t>九、基金的转换</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_Toc240548754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63</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5" w:history="1">
        <w:r w:rsidRPr="00451F71">
          <w:rPr>
            <w:rStyle w:val="aa"/>
            <w:rFonts w:ascii="宋体" w:hAnsi="宋体" w:hint="eastAsia"/>
            <w:noProof/>
            <w:sz w:val="24"/>
          </w:rPr>
          <w:t>十、基金的投资</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_Toc240548755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70</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6" w:history="1">
        <w:r w:rsidRPr="00451F71">
          <w:rPr>
            <w:rStyle w:val="aa"/>
            <w:rFonts w:ascii="宋体" w:hAnsi="宋体" w:hint="eastAsia"/>
            <w:noProof/>
            <w:sz w:val="24"/>
          </w:rPr>
          <w:t>十一、基金的业绩</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_Toc240548756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84</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7" w:history="1">
        <w:r w:rsidRPr="00451F71">
          <w:rPr>
            <w:rStyle w:val="aa"/>
            <w:rFonts w:ascii="宋体" w:hAnsi="宋体" w:hint="eastAsia"/>
            <w:noProof/>
            <w:sz w:val="24"/>
          </w:rPr>
          <w:t>十二、基金的财产</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_Toc240548757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86</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8" w:history="1">
        <w:r w:rsidRPr="00451F71">
          <w:rPr>
            <w:rStyle w:val="aa"/>
            <w:rFonts w:ascii="宋体" w:hAnsi="宋体" w:hint="eastAsia"/>
            <w:noProof/>
            <w:sz w:val="24"/>
          </w:rPr>
          <w:t>十三、基金资产的估值</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_Toc240548758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87</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59" w:history="1">
        <w:r w:rsidRPr="00451F71">
          <w:rPr>
            <w:rStyle w:val="aa"/>
            <w:rFonts w:ascii="宋体" w:hAnsi="宋体" w:hint="eastAsia"/>
            <w:noProof/>
            <w:sz w:val="24"/>
          </w:rPr>
          <w:t>十四、基金收益与分配</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_Toc240548759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94</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0" w:history="1">
        <w:r w:rsidRPr="00451F71">
          <w:rPr>
            <w:rStyle w:val="aa"/>
            <w:rFonts w:ascii="宋体" w:hAnsi="宋体" w:hint="eastAsia"/>
            <w:noProof/>
            <w:sz w:val="24"/>
          </w:rPr>
          <w:t>十五、基金的费用与税收</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_Toc240548760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96</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1" w:history="1">
        <w:r w:rsidRPr="00451F71">
          <w:rPr>
            <w:rStyle w:val="aa"/>
            <w:rFonts w:ascii="宋体" w:hAnsi="宋体" w:hint="eastAsia"/>
            <w:noProof/>
            <w:sz w:val="24"/>
          </w:rPr>
          <w:t>十六、基金的会计与审计</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_Toc240548761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99</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2" w:history="1">
        <w:r w:rsidRPr="00451F71">
          <w:rPr>
            <w:rStyle w:val="aa"/>
            <w:rFonts w:ascii="宋体" w:hAnsi="宋体" w:hint="eastAsia"/>
            <w:noProof/>
            <w:sz w:val="24"/>
          </w:rPr>
          <w:t>十七、基金的信息披露</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_Toc240548762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100</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3" w:history="1">
        <w:r w:rsidRPr="00451F71">
          <w:rPr>
            <w:rStyle w:val="aa"/>
            <w:rFonts w:ascii="宋体" w:hAnsi="宋体" w:hint="eastAsia"/>
            <w:noProof/>
            <w:sz w:val="24"/>
          </w:rPr>
          <w:t>十八、侧袋机制</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_Toc240548763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107</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4" w:history="1">
        <w:r w:rsidRPr="00451F71">
          <w:rPr>
            <w:rStyle w:val="aa"/>
            <w:rFonts w:ascii="宋体" w:hAnsi="宋体" w:hint="eastAsia"/>
            <w:noProof/>
            <w:sz w:val="24"/>
          </w:rPr>
          <w:t>十九、风险揭示</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_Toc240548764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110</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5" w:history="1">
        <w:r w:rsidRPr="00451F71">
          <w:rPr>
            <w:rStyle w:val="aa"/>
            <w:rFonts w:ascii="宋体" w:hAnsi="宋体" w:hint="eastAsia"/>
            <w:noProof/>
            <w:sz w:val="24"/>
          </w:rPr>
          <w:t>二十、基金合同的变更、终止与基金财产的清算</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_Toc240548765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121</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6" w:history="1">
        <w:r w:rsidRPr="00451F71">
          <w:rPr>
            <w:rStyle w:val="aa"/>
            <w:rFonts w:ascii="宋体" w:hAnsi="宋体" w:hint="eastAsia"/>
            <w:noProof/>
            <w:sz w:val="24"/>
          </w:rPr>
          <w:t>二十一、基金合同内容摘要</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_Toc240548766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123</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7" w:history="1">
        <w:r w:rsidRPr="00451F71">
          <w:rPr>
            <w:rStyle w:val="aa"/>
            <w:rFonts w:ascii="宋体" w:hAnsi="宋体" w:hint="eastAsia"/>
            <w:noProof/>
            <w:sz w:val="24"/>
          </w:rPr>
          <w:t>二十二、托管协议的内容摘要</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_Toc240548767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140</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8" w:history="1">
        <w:r w:rsidRPr="00451F71">
          <w:rPr>
            <w:rStyle w:val="aa"/>
            <w:rFonts w:ascii="宋体" w:hAnsi="宋体" w:hint="eastAsia"/>
            <w:noProof/>
            <w:sz w:val="24"/>
          </w:rPr>
          <w:t>二十三、对基金份额持有人的服务</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_Toc240548768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153</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69" w:history="1">
        <w:r w:rsidRPr="00451F71">
          <w:rPr>
            <w:rStyle w:val="aa"/>
            <w:rFonts w:ascii="宋体" w:hAnsi="宋体" w:hint="eastAsia"/>
            <w:noProof/>
            <w:sz w:val="24"/>
          </w:rPr>
          <w:t>二十四、其他应披露事项</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_Toc240548769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155</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70" w:history="1">
        <w:r w:rsidRPr="00451F71">
          <w:rPr>
            <w:rStyle w:val="aa"/>
            <w:rFonts w:ascii="宋体" w:hAnsi="宋体" w:hint="eastAsia"/>
            <w:noProof/>
            <w:sz w:val="24"/>
          </w:rPr>
          <w:t>二十五、招募说明书的存放及查阅方式</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_Toc240548770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157</w:t>
        </w:r>
        <w:r w:rsidRPr="00451F71">
          <w:rPr>
            <w:rFonts w:ascii="宋体" w:hAnsi="宋体"/>
            <w:noProof/>
            <w:sz w:val="24"/>
          </w:rPr>
          <w:fldChar w:fldCharType="end"/>
        </w:r>
      </w:hyperlink>
    </w:p>
    <w:p w:rsidR="00451F71" w:rsidRPr="00451F71" w:rsidRDefault="00451F71" w:rsidP="00451F71">
      <w:pPr>
        <w:pStyle w:val="10"/>
        <w:tabs>
          <w:tab w:val="right" w:leader="dot" w:pos="8550"/>
        </w:tabs>
        <w:spacing w:line="360" w:lineRule="auto"/>
        <w:rPr>
          <w:rFonts w:ascii="宋体" w:hAnsi="宋体" w:cstheme="minorBidi"/>
          <w:noProof/>
          <w:sz w:val="24"/>
        </w:rPr>
      </w:pPr>
      <w:hyperlink w:anchor="_Toc240548771" w:history="1">
        <w:r w:rsidRPr="00451F71">
          <w:rPr>
            <w:rStyle w:val="aa"/>
            <w:rFonts w:ascii="宋体" w:hAnsi="宋体" w:hint="eastAsia"/>
            <w:noProof/>
            <w:sz w:val="24"/>
          </w:rPr>
          <w:t>二十六、备查文件</w:t>
        </w:r>
        <w:r w:rsidRPr="00451F71">
          <w:rPr>
            <w:rFonts w:ascii="宋体" w:hAnsi="宋体"/>
            <w:noProof/>
            <w:sz w:val="24"/>
          </w:rPr>
          <w:tab/>
        </w:r>
        <w:r w:rsidRPr="00451F71">
          <w:rPr>
            <w:rFonts w:ascii="宋体" w:hAnsi="宋体"/>
            <w:noProof/>
            <w:sz w:val="24"/>
          </w:rPr>
          <w:fldChar w:fldCharType="begin"/>
        </w:r>
        <w:r w:rsidRPr="00451F71">
          <w:rPr>
            <w:rFonts w:ascii="宋体" w:hAnsi="宋体"/>
            <w:noProof/>
            <w:sz w:val="24"/>
          </w:rPr>
          <w:instrText xml:space="preserve"> PAGEREF _Toc240548771 \h </w:instrText>
        </w:r>
        <w:r w:rsidRPr="00451F71">
          <w:rPr>
            <w:rFonts w:ascii="宋体" w:hAnsi="宋体"/>
            <w:noProof/>
            <w:sz w:val="24"/>
          </w:rPr>
        </w:r>
        <w:r w:rsidRPr="00451F71">
          <w:rPr>
            <w:rFonts w:ascii="宋体" w:hAnsi="宋体"/>
            <w:noProof/>
            <w:sz w:val="24"/>
          </w:rPr>
          <w:fldChar w:fldCharType="separate"/>
        </w:r>
        <w:r w:rsidRPr="00451F71">
          <w:rPr>
            <w:rFonts w:ascii="宋体" w:hAnsi="宋体"/>
            <w:noProof/>
            <w:sz w:val="24"/>
          </w:rPr>
          <w:t>158</w:t>
        </w:r>
        <w:r w:rsidRPr="00451F71">
          <w:rPr>
            <w:rFonts w:ascii="宋体" w:hAnsi="宋体"/>
            <w:noProof/>
            <w:sz w:val="24"/>
          </w:rPr>
          <w:fldChar w:fldCharType="end"/>
        </w:r>
      </w:hyperlink>
    </w:p>
    <w:p w:rsidR="006437E9" w:rsidRPr="00451F71" w:rsidRDefault="00451F71" w:rsidP="00451F71">
      <w:pPr>
        <w:pStyle w:val="ad"/>
        <w:snapToGrid w:val="0"/>
        <w:spacing w:after="240" w:line="360" w:lineRule="auto"/>
        <w:jc w:val="center"/>
        <w:rPr>
          <w:rFonts w:ascii="宋体" w:hAnsi="宋体"/>
          <w:color w:val="000000"/>
          <w:sz w:val="24"/>
        </w:rPr>
      </w:pPr>
      <w:r w:rsidRPr="00451F71">
        <w:rPr>
          <w:rFonts w:ascii="宋体" w:hAnsi="宋体"/>
          <w:color w:val="000000"/>
          <w:position w:val="-4"/>
          <w:sz w:val="24"/>
          <w:szCs w:val="30"/>
        </w:rPr>
        <w:fldChar w:fldCharType="end"/>
      </w:r>
      <w:bookmarkStart w:id="3" w:name="_GoBack"/>
      <w:bookmarkEnd w:id="3"/>
    </w:p>
    <w:p w:rsidR="006437E9" w:rsidRDefault="006437E9">
      <w:pPr>
        <w:autoSpaceDE w:val="0"/>
        <w:autoSpaceDN w:val="0"/>
        <w:adjustRightInd w:val="0"/>
        <w:snapToGrid w:val="0"/>
        <w:spacing w:line="360" w:lineRule="auto"/>
        <w:ind w:left="120" w:rightChars="6" w:right="13"/>
        <w:rPr>
          <w:rFonts w:ascii="宋体" w:hAnsi="宋体"/>
          <w:kern w:val="0"/>
          <w:szCs w:val="24"/>
        </w:rPr>
        <w:sectPr w:rsidR="006437E9">
          <w:pgSz w:w="11920" w:h="16840"/>
          <w:pgMar w:top="1480" w:right="1680" w:bottom="280" w:left="1680" w:header="0" w:footer="1073" w:gutter="0"/>
          <w:cols w:space="720"/>
        </w:sectPr>
      </w:pPr>
    </w:p>
    <w:p w:rsidR="006437E9" w:rsidRDefault="00F4643B">
      <w:pPr>
        <w:pStyle w:val="1"/>
        <w:snapToGrid w:val="0"/>
        <w:spacing w:beforeLines="0" w:before="240" w:after="240"/>
        <w:rPr>
          <w:rFonts w:ascii="宋体" w:hAnsi="宋体"/>
          <w:szCs w:val="30"/>
        </w:rPr>
      </w:pPr>
      <w:bookmarkStart w:id="4" w:name="_Toc240548746"/>
      <w:r>
        <w:rPr>
          <w:rFonts w:ascii="Times New Roman" w:hAnsi="Times New Roman"/>
          <w:sz w:val="30"/>
        </w:rPr>
        <w:lastRenderedPageBreak/>
        <w:t>一、绪言</w:t>
      </w:r>
      <w:bookmarkEnd w:id="4"/>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内需增长一年持有期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内需增长一年持有期混合型证券投资基金基金合同》（以下简称“基金合同”）编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5" w:name="_Toc240548747"/>
      <w:r>
        <w:rPr>
          <w:rFonts w:ascii="Times New Roman" w:hAnsi="Times New Roman"/>
          <w:sz w:val="30"/>
        </w:rPr>
        <w:lastRenderedPageBreak/>
        <w:t>二、释义</w:t>
      </w:r>
      <w:bookmarkEnd w:id="5"/>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1、基金或本基金：指交银施罗德内需增长一年持有期混合型证券投资基金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3、基金托管人：指中国农业银行股份有限公司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4、基金合同：指《交银施罗德内需增长一年持有期混合型证券投资基金基金合同》及对基金合同的任何有效修订和补充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5、托管协议：指基金管理人与基金托管人就本基金签订之《交银施罗德内需增长一年持有期混合型证券投资基金托管协议》及对该托管协议的任何有效修订和补充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6、招募说明书或本招募说明书：指《交银施罗德内需增长一年持有期混合型证券投资基金招募说明书》及其更新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7、基金产品资料概要：指《交银施罗德内需增长一年持有期混合型证券投资基金基金产品资料概要》及其更新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8、基金份额发售公告：指《交银施罗德内需增长一年持有期混合型证券投资基金基金份额发售公告》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16、银行业监督管理机构：指中国人民银行和/或中国银行保险监督管理委员会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21、人民币合格境外机构投资者：指按照《人民币合格境外机构投资者境内证券投资试点办法》及相关法律法规规定，运用来自境外的人民币资金进行境内证券投资的境外法人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22、投资人、投资者：指个人投资者、机构投资者、合格境外机构投资者和人民币合格境外机构投资者以及法律法规或中国证监会允许购买证券投资基金的其他投资人的合称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27、登记机构：指办理登记业务的机构。基金的登记机构为交银施罗德基金管理有限公司或接受交银施罗德基金管理有限公司委托代为办理登记业务的机构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最短持有期限：基金份额持有人持有的每份基金份额最短持有期限为一年，在最短持有期限内该份基金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39、开放日：指为投资人办理基金份额申购、赎回或其他业务的工作日（若该工作日为非港股通交易日，则本基金可不开放）</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41、《业务规则》：指中国证券登记结算有限责任公司相关业务规则及其不时做出的修订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43、申购：指基金合同生效后，投资人根据基金合同和招募说明书的规定申请购买基金份额的行为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51、基金资产总值：指基金拥有的各类有价证券、股指期货合约、银行存款本息、基金应收申购款及其他资产的价值总和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55、港股通：指内地投资者委托内地证券公司，经由内地证券交易所在香港设立的证券交易服务公司，向香港联合交易所进行申报，买卖规定范围内的香港联合交易所上市的股票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56、规定媒介：指符合中国证监会规定条件的用以进行信息披露的全国性报刊及《信息披露办法》规定的互联网网站（包括基金管理人网站、基金托管人网站、中国证监会基金电子披露网站）等媒介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61、不可抗力：指基金合同当事人不能预见、不能避免且不能克服的客观事件</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6" w:name="_Toc240548748"/>
      <w:r>
        <w:rPr>
          <w:rFonts w:ascii="Times New Roman" w:hAnsi="Times New Roman"/>
          <w:sz w:val="30"/>
        </w:rPr>
        <w:lastRenderedPageBreak/>
        <w:t>三、基金管理人</w:t>
      </w:r>
      <w:bookmarkEnd w:id="6"/>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韩威俊先生:基金经理。上海财经大学金融学硕士，21年证券投资行业从业经验。2005年至2008年担任申银万国证券研究所助理分析师，2008年至2009年担任北京鼎天资产管理有限公司董事助理，2009年至2010年担任申银万国证券研究所行业分析师，2010年至2013年担任信诚基金管理有限公司投资分析师。2013年加入交银施罗德基金管理有限公司，曾任行业分析师，现任权益部基金经理。曾任交银施罗德趋势优先混合型证券投资基金(2017年06月03日至2020年05月26日)的基金经理。现任交银施罗德策略回报灵活配置混合型证券投资基金(2016年01月20日至今)、交银施罗德股息优化混合型证券投资基金(2017年08月25日至今)、交银施罗德品质升级混合型证券投资基金(2018年02月08日至今)、交银施罗德消费新驱动股票型证券投资基金(2018年08月24日至今)、交银施罗德内需增长一年持有期混合型证券投资基金(2020年12月11日至今)、交银施罗德品质增长一年持有期混合型证券投资基金(2021年07月23日至今)、交银施罗德港股消费混合型证券投资基金（QDII）(2026年09月02日至今)的基金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1、依照有关法律法规和基金合同的规定，本着谨慎的原则为基金份额持有人谋取最大利益；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（2）合规风险及审计委员会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3、风险管理和内部风险控制的措施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7" w:name="_Toc240548749"/>
      <w:r>
        <w:rPr>
          <w:rFonts w:ascii="Times New Roman" w:hAnsi="Times New Roman"/>
          <w:sz w:val="30"/>
        </w:rPr>
        <w:lastRenderedPageBreak/>
        <w:t>四、基金托管人</w:t>
      </w:r>
      <w:bookmarkEnd w:id="7"/>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截止到2025年6月30日，中国农业银行托管的封闭式证券投资基金和开放式证券投资基金共957只。</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8" w:name="_Toc240548750"/>
      <w:r>
        <w:rPr>
          <w:rFonts w:ascii="Times New Roman" w:hAnsi="Times New Roman"/>
          <w:sz w:val="30"/>
        </w:rPr>
        <w:lastRenderedPageBreak/>
        <w:t>五、相关服务机构</w:t>
      </w:r>
      <w:bookmarkEnd w:id="8"/>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（3）名称：东吴证券股份有限公司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（4）名称：厦门银行股份有限公司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www.xmbankonline.com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（7）名称：中信银行股份有限公司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联系人：胡技勋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（10）名称：中国银河证券股份有限公司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（12）名称：中国中金财富证券有限公司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（13）名称：山西证券股份有限公司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法定代表人：侯巍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（14）名称：方正证券股份有限公司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法定代表人：雷杰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联系人：徐锦福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（15）名称：国投证券股份有限公司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（16）名称：五矿证券有限公司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住所：深圳市福田区金田路4028号荣超经贸中心47层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法定代表人：赵立功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公司客服电话：400180028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传真号：075582545500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网址：www.wkzq.com.cn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（17）名称：财通证券股份有限公司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w:t>
      </w:r>
      <w:r>
        <w:rPr>
          <w:rFonts w:ascii="宋体" w:hAnsi="宋体"/>
          <w:sz w:val="24"/>
        </w:rPr>
        <w:lastRenderedPageBreak/>
        <w:t>1615、1701-1716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（18）名称：中信建投证券股份有限公司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（19）名称：民生证券股份有限公司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（20）名称：中原证券股份有限公司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联系人：程月艳 李盼盼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（21）名称：东方财富证券股份有限公司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（22）名称：申万宏源证券有限公司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（23）名称：国都证券股份有限公司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（24）名称：平安证券股份有限公司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法定代表人：杨宇翔</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（25）名称：中信证券（山东）有限责任公司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（26）名称：申万宏源西部证券有限公司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（27）名称：中泰证券股份有限公司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联系人：许曼华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（28）名称：中国国际金融股份有限公司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（29）名称：长城证券有限责任公司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（31）名称：国新证券股份有限公司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（32）名称：华西证券股份有限公司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（34）名称：中信证券华南股份有限公司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（35）名称：国泰海通证券股份有限公司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（37）名称：大同证券有限责任公司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网址：www.dtsbc.com.cn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（38）名称：长城国瑞证券有限公司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住所：厦门市莲前西路2号莲富大厦17楼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办公地址：厦门市莲前西路2号莲富大厦17楼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电话：（0592）5161642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传真：（0592）5161640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客户服务电话：（0592）5163588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网址：www.xmzq.cn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（39）名称：华龙证券股份有限公司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（40）名称：海通证券股份有限公司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（41）名称：广发证券股份有限公司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办公地址：广州市天河区马场路26号广发证券大厦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（42）名称：兴业证券股份有限公司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（43）名称：湘财证券股份有限公司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（44）名称：华泰证券股份有限公司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联系人：胡子豪</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（45）名称：金融街证券股份有限公司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（46）名称：国信证券股份有限公司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（47）名称：东莞证券股份有限公司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（48）名称：深圳市新兰德证券投资咨询有限公司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（49）名称：大连网金基金销售有限公司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（50）名称：阳光人寿保险股份有限公司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（51）名称：玄元保险代理有限公司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法定代表人：马永谙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（52）名称：京东肯特瑞基金销售有限公司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（53）名称：腾安基金销售（深圳）有限公司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（54）名称：珠海盈米基金销售有限公司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联系人：黄敏嫦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（55）名称：南京苏宁基金销售有限公司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（56）名称：嘉实财富管理有限公司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（57）名称：北京汇成基金销售有限公司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（58）名称：上海利得基金销售有限公司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（59）名称：上海陆金所基金销售有限公司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（60）名称：上海挖财基金销售有限公司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（61）名称：万家财富基金销售（天津）有限公司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（62）名称：上海万得基金销售有限公司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（63）名称：格上富信投资顾问有限公司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（64）名称：深圳市金斧子基金销售有限公司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（65）名称：北京雪球基金销售有限公司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（66）名称：北京新浪仓石基金销售有限公司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（67）名称：中证金牛（北京）基金销售有限公司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客户服务电话：4008-909-998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（68）名称：奕丰基金销售有限公司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（69）名称：上海天天基金销售有限公司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（70）名称：诺亚正行基金销售有限公司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（71）名称：上海好买基金销售有限公司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（72）名称：上海长量基金销售有限公司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（73）名称：深圳众禄基金销售股份有限公司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（74）名称：中信期货有限公司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w:t>
      </w:r>
      <w:r>
        <w:rPr>
          <w:rFonts w:ascii="宋体" w:hAnsi="宋体"/>
          <w:sz w:val="24"/>
        </w:rPr>
        <w:lastRenderedPageBreak/>
        <w:t>1305室、14层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（75）名称：上海基煜基金销售有限公司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（76）名称：浙江同花顺基金销售有限公司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（77）名称：宜信普泽（北京）基金销售有限公司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电话：010-5090-5707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（78）名称：上海联泰基金销售有限公司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（79）名称：泛华普益基金销售有限公司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（80）名称：北京展恒基金销售股份有限公司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客户服务电话：400-888-6661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（81）名称：和耕传承基金销售有限公司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（82）名称：蚂蚁（杭州）基金销售有限公司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（83）名称：北京度小满基金销售有限公司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（84）名称：北京创金启富基金销售有限公司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（85）名称：济安财富（北京）基金销售有限公司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（86）名称：博时财富基金销售有限公司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（87）名称：深圳前海微众银行股份有限公司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办公地址：广东省深圳市南山区沙河西路1819号深圳湾科技生态园7栋A座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（88）名称：上海中欧财富基金销售有限公司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（89）名称：中国人寿保险股份有限公司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传真：（010）50938907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9" w:name="_Toc240548751"/>
      <w:r>
        <w:rPr>
          <w:rFonts w:ascii="Times New Roman" w:hAnsi="Times New Roman"/>
          <w:sz w:val="30"/>
        </w:rPr>
        <w:lastRenderedPageBreak/>
        <w:t>六、基金的募集</w:t>
      </w:r>
      <w:bookmarkEnd w:id="9"/>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本基金由基金管理人依照《基金法》、《运作办法》、《销售办法》、基金合同及其他有关规定，并经中国证监会2020年9月28日证监许可【2020】2464号文准予募集注册。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本基金自2020年12月7日至2020年12月8日进行发售，本基金设立募集期共募集4,949,649,837.65份基金份额，有效认购户数为65,831户。</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0" w:name="_Toc240548752"/>
      <w:r>
        <w:rPr>
          <w:rFonts w:ascii="Times New Roman" w:hAnsi="Times New Roman"/>
          <w:sz w:val="30"/>
        </w:rPr>
        <w:lastRenderedPageBreak/>
        <w:t>七、基金合同的生效</w:t>
      </w:r>
      <w:bookmarkEnd w:id="10"/>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根据有关规定，本基金满足基金合同生效条件，基金合同已于2020年12月11日正式生效。自基金合同生效之日起，本基金管理人正式开始管理本基金。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1" w:name="_Toc240548753"/>
      <w:r>
        <w:rPr>
          <w:rFonts w:ascii="Times New Roman" w:hAnsi="Times New Roman"/>
          <w:sz w:val="30"/>
        </w:rPr>
        <w:lastRenderedPageBreak/>
        <w:t>八、基金份额的申购与赎回</w:t>
      </w:r>
      <w:bookmarkEnd w:id="11"/>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本基金已于2021年3月8日起开放申购业务。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本基金已于2021年12月13日起开放赎回业务。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w:t>
      </w:r>
      <w:r>
        <w:rPr>
          <w:rFonts w:ascii="宋体" w:hAnsi="宋体"/>
          <w:sz w:val="24"/>
        </w:rPr>
        <w:lastRenderedPageBreak/>
        <w:t>基金份额时，申购生效。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效。投资者赎回申请生效后，基金管理人将在T＋7日(包括该日)内支付赎回款项。在发生巨额赎回或基金合同载明的其他暂停赎回或延缓支付赎回款项的情形时，款项的支付办法参照基金合同有关条款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6437E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6437E9">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6437E9">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6437E9" w:rsidRDefault="006437E9">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本基金不收取赎回费。本基金每笔基金份额满一年持有期后，基金份额持有人方可就该基金份额提出赎回申请。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w:t>
      </w:r>
      <w:r>
        <w:rPr>
          <w:rFonts w:ascii="宋体" w:hAnsi="宋体"/>
          <w:sz w:val="24"/>
        </w:rPr>
        <w:lastRenderedPageBreak/>
        <w:t>管部门、自律规则的规定。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销售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w:t>
      </w:r>
      <w:r>
        <w:rPr>
          <w:rFonts w:ascii="宋体" w:hAnsi="宋体"/>
          <w:sz w:val="24"/>
        </w:rPr>
        <w:lastRenderedPageBreak/>
        <w:t>假设申购当日基金份额净值为1.0400元，申购费率为0.6%，则其可得到的申购份额为：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本基金不收取赎回费。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例五：某投资者赎回持有的10,000份基金份额，假设赎回当日基金份额净值是1.0160元，则其可得到的赎回金额为：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 ＝ 10,160.00元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即：该投资者赎回本基金10,000份基金份额，假设赎回当日基金份额净值是1.0160元，则其可得到的赎回金额为10,160.00元。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5、基金资产规模过大，使基金管理人无法找到合适的投资品种，或其他可能对基金业绩产生负面影响，或发生其他损害现有基金份额持有人利益的情形。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发生上述情形之一且基金管理人决定暂停接受基金份额持有人的赎回申请或延</w:t>
      </w:r>
      <w:r w:rsidRPr="00BB248E">
        <w:rPr>
          <w:rFonts w:ascii="宋体" w:hAnsi="宋体" w:hint="eastAsia"/>
          <w:b/>
          <w:kern w:val="0"/>
          <w:sz w:val="24"/>
        </w:rPr>
        <w:lastRenderedPageBreak/>
        <w:t>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当发生上述巨额赎回并延期办理时，基金管理人应当通过邮寄、传真、刊登公告或者通知销售机构代为告知等方式在3个交易日内通知基金份额持有人，说明有关处理方法，并在两日内在规定媒介上刊登公告。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本基金2021年3月4日刊登公告自2021年3月8日起开通定期定额投资计划业务，具体开通销售机构名单和业务规则参见相关公告。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（十五）定期定额赎回业务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2021年12月9日刊登公告自2021年12月13日起在中国农业银行股份有限公司下属各代销网点开通定期定额赎回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（十六）基金份额的冻结和解冻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（十八）实施侧袋机制期间本基金的申购与赎回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（十九）其他业务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2" w:name="_Toc240548754"/>
      <w:r>
        <w:rPr>
          <w:rFonts w:ascii="Times New Roman" w:hAnsi="Times New Roman"/>
          <w:sz w:val="30"/>
        </w:rPr>
        <w:lastRenderedPageBreak/>
        <w:t>九、基金的转换</w:t>
      </w:r>
      <w:bookmarkEnd w:id="12"/>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3月4日刊登公告自2021年3月8日起开放日常转换转入业务，2021年12月9日刊登公告自2021年12月13日起开放日常转换转出业务。办理基金间转换的时间为上海证券交易所、深圳证券交易所交易日。若出现新的证券交易市场或交易所交易时间更改或其它原因，基金管理人将视情况进行相应的调整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3" w:name="_Toc240548755"/>
      <w:r>
        <w:rPr>
          <w:rFonts w:ascii="Times New Roman" w:hAnsi="Times New Roman"/>
          <w:sz w:val="30"/>
        </w:rPr>
        <w:lastRenderedPageBreak/>
        <w:t>十、基金的投资</w:t>
      </w:r>
      <w:bookmarkEnd w:id="13"/>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在合理控制风险的前提下，充分发挥专业的研究与管理能力，力争实现基金资产的长期稳健增值。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内需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1、大类资产配置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利用经交银施罗德研究团队修正后的投资时钟分析框架，通过“自上而下”的定性分析和定量分析相结合形成对不同资产市场表现的预测和判断，确定基金资产在沪深A股、港股、债券及货币市场工具等各类别资产间的分配比例，并随着各类证券风险收益特征的相对变化，在基金合同约定的范围内动态调整组合中各类资产的比例，以规避或控制市场风险，提高基金收益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（1）“内需增长”主题界定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随着我国经济转向高质量发展的阶段，激发内需潜力，顺应消费升级趋势，发挥扩大内需对经济增长的引擎作用，可以为我国经济发展转型进一步增添动力。本基金所指的“内需增长”主题覆盖在扩大内需带动经济发展转型的背景下，受益于内需投资增长与内需消费增长相关行业中的优质上市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内需增长”主题覆盖的上市公司主要从两个方面进行考量：一方面，本基金重点考虑上市公司自主创新能力的提升与各种新产业、新模式、新业态的发展，随着国民经济发展和居民可支配收入的提高，能够增加优质产品和高质服务的供给，满足国内消费者的品质化需求并从中受益；另一方面，本基金考虑上市公司在促进国内投资和消费双增长的引领作用，能够推进新型消费设施投资布局，促进消费新模式、新场景的普及应用，激发国内投资和消费的新需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时，本基金将对有关公司的发展进行密切跟踪，随着公司的不断发展，相关上市公司的范围也会相应改变，本基金在履行适当程序后可调整上述界定标准。本基金由于上述原因调整界定范围应及时告知基金托管人，并在更新的招募说明书中进行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■盈利能力指标：如市盈率（P/E）、市现率（P/Cash Flow）、股价与每股自由现金流比率（P/FCF）、市销率（P/S）、股价与每股息税前利润比率（P/EBIT）等；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■经营效率指标：如净资产收益率（ROE）、资产收益率（ROA）、经营资产回报率（Return on operating assets）等；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■研发投入指标：如研发投入与营业收入比率、科研人员数量及占比、专利数量及在同行业的占比等。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将遵循内需增长主题相关股票的投资策略，优先将基本面健康、业绩向上弹性较大、具有估值优势的港股纳入本基金的股票投资组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本基金可根据投资策略需要或不同配置地市场环境的变化，选择将部分基金资产投资于港股或选择不将基金资产投资于港股，基金资产并非必然投资港股。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最后，本基金根据对个股价值的评估和市场机会的判断构建股票组合，其中投资于内需增长主题相关证券的比例不低于非现金基金资产的80%。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w:t>
      </w:r>
      <w:r>
        <w:rPr>
          <w:rFonts w:ascii="宋体" w:hAnsi="宋体"/>
          <w:sz w:val="24"/>
        </w:rPr>
        <w:lastRenderedPageBreak/>
        <w:t>略，获取债券市场的长期稳定收益。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（1）股票投资（含存托凭证）占基金资产的比例为60%-95%（其中投资于港股通标的股票的比例占股票资产的0%-50%），投资于内需增长主题相关证券的比例不低于非现金基金资产的80%；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w:t>
      </w:r>
      <w:r>
        <w:rPr>
          <w:rFonts w:ascii="宋体" w:hAnsi="宋体"/>
          <w:sz w:val="24"/>
        </w:rPr>
        <w:lastRenderedPageBreak/>
        <w:t>内地和香港同时上市的A+H 股合计计算），不超过该证券的10％，完全按照有关指数的构成比例进行证券投资的基金品种可以不受此条款规定的比例限制；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（15）本基金参与股指期货交易，则：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（3）从事承担无限责任的投资；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本基金业绩比较基准：中证内地消费主题指数收益率×70%+恒生消费指数收益率×20%+中债-国债总财富（1-3年）指数收益率×10%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与债券指数作为基准要素；同时基于基金投资股票资产（含存托凭证）占基金资产的比例为60%-95%（其中投资于港股通标的股票的比例占股票资产的0%-50%）、投资于内需增长主题相关证券的比例不低于非现金基金资产的80%等投资比例限制，以及预期的资产配置比例，本基金将股票资产与债券资产所对应的基准要素权重分别设置为90%与10%，其中将股票资产中的A股股票与港股通标的股票所对应的基准要素权重分别设置为70%与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的股票资产主要投向内需增长主题相关公司，并在内需增长主题相关领域中精选在公司治理、财务及管理品质上符合基本品质要求、估值具有吸引力的优质公司，从而力争在控制风险的基础上追求超越业绩比较基准的投资回报。综合考虑基准指数与产品定位、投资风</w:t>
      </w:r>
      <w:r>
        <w:rPr>
          <w:rFonts w:ascii="宋体" w:hAnsi="宋体"/>
          <w:sz w:val="24"/>
        </w:rPr>
        <w:lastRenderedPageBreak/>
        <w:t>格与主题库的匹配度，同时兼顾考虑基准指数的表征性、认可度，以及指数主题界定、市值覆盖、行业与个股分布等，本基金选取中证内地消费主题指数和恒生消费指数分别作为A股股票和港股通标的股票部分的基准要素，具体情况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中证内地消费主题指数由中证800指数样本中的主要消费和可选消费行业公司股票组成，以反映A股范围内消费主题类上市公司证券的整体表现，适合作为本基金A股股票部分的业绩比较基准要素。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恒生消费指数反映香港证券市场内提供与日常消费相关的消费品制造及服务的上市公司的整体表现，适合作为本基金港股通标的股票部分的业绩比较基准要素。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中债-国债总财富（1-3年）指数隶属于中债-国债总指数，该指数成份券由在境内公开发行且上市流通的记账式国债组成，成份券待偿期在1-3年（含1年），适合作为本基金债券部分的业绩比较基准要素。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中证内地消费主题指数由中证指数有限公司编制发布，指数代码为000942，指数具体信息详见中证指数有限公司网站，网址：www.csindex.com.cn。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恒生消费指数由恒生指数有限公司编制发布，指数代码为HSCGSI，指数具体信息详见恒生指数有限公司网站，网址：www.hsi.com.hk。</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中证内地消费主题指数、恒生消费指数、中债-国债总财富（1-3年）指数的每日收益率，再按照预设权重比例计算当日</w:t>
      </w:r>
      <w:r>
        <w:rPr>
          <w:rFonts w:ascii="宋体" w:hAnsi="宋体"/>
          <w:sz w:val="24"/>
        </w:rPr>
        <w:lastRenderedPageBreak/>
        <w:t>组合要素基准的日收益率，并连乘每日收益率。其中，恒生消费指数收益率采用估值汇率进行调整，由港元计价折算为人民币计价后，再纳入计算。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保持主要配置内需增长主题的上市公司，从而力争在控制风险的基础上追求超越业绩比较基准的投资回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（2）其他对基金份额持有人利益产生重大实质性影响的情形。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（九）基金投资组合报告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本基金管理人的董事会及董事保证本报告所载资料不存在虚假记载、误导性陈述或重大遗漏，并对其内容的真实性、准确性和完整性承担个别及连带责任。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本基金托管人中国农业银行股份有限公司根据本基金合同规定，于2025年07月17日复核了本报告中的财务指标、净值表现和投资组合报告等内容，保证复核内容不存在虚假记载、误导性陈述或者重大遗漏。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本报告期为2025年04月01日起至06月30日。本报告财务资料未经审计师审计。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1,775,209,501.68</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91.00</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1,775,209,501.68</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91.00</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136,268,426.33</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6.99</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39,313,788.64</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2.02</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1,950,791,716.65</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注：本基金本报告期末通过港股通机制投资香港股票的公允价值为339,481,222.66元，占基金资产净值比例为17.77%。</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76,118,980.00</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3.98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1,273,609,666.91</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66.66</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85,988,384.11</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4.50</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N</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11,248.00</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1,435,728,279.02</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75.15</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主要消费</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186,647,378.74</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9.77</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129,085,183.41</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6.76</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医药卫生</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23,748,660.51</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1.24</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339,481,222.66</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17.77</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124,541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175,543,030.32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9.19</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000729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燕京啤酒</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12,741,100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164,742,423.00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8.62</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301498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乖宝宠物</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1,155,749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126,404,268.13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6.62</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002847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盐津铺子</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1,571,837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126,375,694.80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6.61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300888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稳健医疗</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2,774,008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114,011,728.80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5.97</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09633 HK</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农夫山泉</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2,604,000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95,226,183.78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605499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东鹏饮料</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302,730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95,072,356.50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4.98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600398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海澜之家</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13,246,846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92,198,048.16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4.83</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02367 HK</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巨子生物</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1,737,400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91,421,145.36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4.79</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603259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药明康德</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1,236,145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85,973,884.75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4.50</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w:t>
      </w:r>
      <w:r>
        <w:rPr>
          <w:rFonts w:ascii="宋体" w:hAnsi="宋体"/>
          <w:sz w:val="24"/>
        </w:rPr>
        <w:lastRenderedPageBreak/>
        <w:t>投资明细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419,289.02</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36,042,190.43</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2,787,160.03</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65,149.16</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right"/>
              <w:rPr>
                <w:rFonts w:ascii="宋体" w:hAnsi="宋体"/>
                <w:color w:val="000000"/>
                <w:kern w:val="0"/>
                <w:sz w:val="25"/>
                <w:szCs w:val="24"/>
              </w:rPr>
            </w:pPr>
            <w:r>
              <w:rPr>
                <w:rFonts w:ascii="Times New Roman" w:hAnsi="Times New Roman"/>
                <w:color w:val="000000"/>
                <w:kern w:val="0"/>
                <w:sz w:val="25"/>
                <w:szCs w:val="24"/>
              </w:rPr>
              <w:t>39,313,788.64</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4" w:name="_Toc240548756"/>
      <w:r>
        <w:rPr>
          <w:rFonts w:ascii="Times New Roman" w:hAnsi="Times New Roman"/>
          <w:sz w:val="30"/>
        </w:rPr>
        <w:lastRenderedPageBreak/>
        <w:t>十一、基金的业绩</w:t>
      </w:r>
      <w:bookmarkEnd w:id="14"/>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-1.98%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1.67%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-3.65%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0.37%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0.72%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-12.19%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-25.55%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-18.58%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-11.88%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-5.79%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8.28%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-4.36%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1.39%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-2.28%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r>
      <w:tr w:rsidR="006437E9">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2020</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3.88%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-2.71%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bl>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6437E9" w:rsidRDefault="00F4643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交银施罗德内需增长一年持有期混合型证券投资基金</w:t>
      </w:r>
    </w:p>
    <w:p w:rsidR="006437E9" w:rsidRDefault="00F4643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6437E9" w:rsidRDefault="00F4643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（2020年12月11日至2025年09月03日）</w:t>
      </w:r>
    </w:p>
    <w:p w:rsidR="006437E9" w:rsidRDefault="00451F71">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5" w:name="_Toc240548757"/>
      <w:r>
        <w:rPr>
          <w:rFonts w:ascii="Times New Roman" w:hAnsi="Times New Roman"/>
          <w:sz w:val="30"/>
        </w:rPr>
        <w:lastRenderedPageBreak/>
        <w:t>十二、基金的财产</w:t>
      </w:r>
      <w:bookmarkEnd w:id="15"/>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协助开立股指期货业务相关账户及交易编码。开立的基金专用账户与基金管理人、基金托管人、基金销售机构和基金登记机构自有的财产账户以及其他基金财产账户相独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6" w:name="_Toc240548758"/>
      <w:r>
        <w:rPr>
          <w:rFonts w:ascii="Times New Roman" w:hAnsi="Times New Roman"/>
          <w:sz w:val="30"/>
        </w:rPr>
        <w:lastRenderedPageBreak/>
        <w:t>十三、基金资产的估值</w:t>
      </w:r>
      <w:bookmarkEnd w:id="16"/>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包括股票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5、同一股票同时在两个或两个以上市场交易的，按股票所处的市场分别估值。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437E9" w:rsidRDefault="00F4643B">
      <w:pPr>
        <w:pStyle w:val="1"/>
        <w:snapToGrid w:val="0"/>
        <w:spacing w:beforeLines="0" w:before="240" w:after="240"/>
        <w:rPr>
          <w:rFonts w:ascii="宋体" w:hAnsi="宋体"/>
          <w:szCs w:val="30"/>
        </w:rPr>
      </w:pPr>
      <w:bookmarkStart w:id="17" w:name="_Toc240548759"/>
      <w:r>
        <w:rPr>
          <w:rFonts w:ascii="Times New Roman" w:hAnsi="Times New Roman"/>
          <w:sz w:val="30"/>
        </w:rPr>
        <w:lastRenderedPageBreak/>
        <w:t>十四、基金收益与分配</w:t>
      </w:r>
      <w:bookmarkEnd w:id="17"/>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8" w:name="_Toc240548760"/>
      <w:r>
        <w:rPr>
          <w:rFonts w:ascii="Times New Roman" w:hAnsi="Times New Roman"/>
          <w:sz w:val="30"/>
        </w:rPr>
        <w:lastRenderedPageBreak/>
        <w:t>十五、基金的费用与税收</w:t>
      </w:r>
      <w:bookmarkEnd w:id="18"/>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19" w:name="_Toc240548761"/>
      <w:r>
        <w:rPr>
          <w:rFonts w:ascii="Times New Roman" w:hAnsi="Times New Roman"/>
          <w:sz w:val="30"/>
        </w:rPr>
        <w:lastRenderedPageBreak/>
        <w:t>十六、基金的会计与审计</w:t>
      </w:r>
      <w:bookmarkEnd w:id="19"/>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0" w:name="_Toc240548762"/>
      <w:r>
        <w:rPr>
          <w:rFonts w:ascii="Times New Roman" w:hAnsi="Times New Roman"/>
          <w:sz w:val="30"/>
        </w:rPr>
        <w:lastRenderedPageBreak/>
        <w:t>十七、基金的信息披露</w:t>
      </w:r>
      <w:bookmarkEnd w:id="20"/>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《基金合同》生效后，在开始办理基金份额申购或者赎回前，基金管理人应当至少每周在规定网站披露一次基金份额净值和基金份额累计净值。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编制临时报告书，并登载在规定报刊和规定网站上。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12、基金投资股指期货情况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13、基金投资资产支持证券情况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基金管理人、基金托管人应当在规定报刊中选择一家报刊披露本基金信息。基金管理人、基金托管人应当向中国证监会基金电子披露网站报送拟披露的基金信息，并保证相关报送信息的真实、准确、完整、及时。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w:t>
      </w:r>
      <w:r>
        <w:rPr>
          <w:rFonts w:ascii="宋体" w:hAnsi="宋体"/>
          <w:sz w:val="24"/>
        </w:rPr>
        <w:lastRenderedPageBreak/>
        <w:t>其他公共媒介披露信息，但是其他公共媒介不得早于规定媒介披露信息，并且在不同媒介上披露同一信息的内容应当一致。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1" w:name="_Toc240548763"/>
      <w:r>
        <w:rPr>
          <w:rFonts w:ascii="Times New Roman" w:hAnsi="Times New Roman"/>
          <w:sz w:val="30"/>
        </w:rPr>
        <w:lastRenderedPageBreak/>
        <w:t>十八、侧袋机制</w:t>
      </w:r>
      <w:bookmarkEnd w:id="21"/>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6437E9" w:rsidRDefault="00F4643B">
      <w:pPr>
        <w:pStyle w:val="1"/>
        <w:snapToGrid w:val="0"/>
        <w:spacing w:beforeLines="0" w:before="240" w:after="240"/>
        <w:rPr>
          <w:rFonts w:ascii="宋体" w:hAnsi="宋体"/>
          <w:szCs w:val="30"/>
        </w:rPr>
      </w:pPr>
      <w:bookmarkStart w:id="22" w:name="_Toc240548764"/>
      <w:r>
        <w:rPr>
          <w:rFonts w:ascii="Times New Roman" w:hAnsi="Times New Roman"/>
          <w:sz w:val="30"/>
        </w:rPr>
        <w:lastRenderedPageBreak/>
        <w:t>十九、风险揭示</w:t>
      </w:r>
      <w:bookmarkEnd w:id="22"/>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投资人应当认真阅读《基金合同》、《招募说明书》等基金法律文件，了解基金的风险收益特征，并根据自身的投资目的、投资期限、投资经验、资产状况等判断基金是否和投资人的风险承受能力相适应。</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一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一年后的年度对日（含该日）开始办理赎回，具体业务办理时间在赎回开始公告中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份额持有人持续持有超过一年的基金份额数量，则基金份额持有人的赎回申请将全部被予以拒绝。基金份额持有人需承担赎回申请失败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w:t>
      </w:r>
      <w:r>
        <w:rPr>
          <w:rFonts w:ascii="宋体" w:hAnsi="宋体"/>
          <w:sz w:val="24"/>
        </w:rPr>
        <w:lastRenderedPageBreak/>
        <w:t>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摆动定价、暂停基金估值、实</w:t>
      </w:r>
      <w:r>
        <w:rPr>
          <w:rFonts w:ascii="宋体" w:hAnsi="宋体"/>
          <w:sz w:val="24"/>
        </w:rPr>
        <w:lastRenderedPageBreak/>
        <w:t>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2、本基金每份基金份额的最短持有期限为一年，在最短持有期限内该份基金</w:t>
      </w:r>
      <w:r>
        <w:rPr>
          <w:rFonts w:ascii="宋体" w:hAnsi="宋体"/>
          <w:sz w:val="24"/>
        </w:rPr>
        <w:lastRenderedPageBreak/>
        <w:t>份额不可赎回，自最短持有期限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3、主题投资风险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本基金投资于内需增长主题相关证券的比例不低于非现金基金资产的80%，因此本基金的股票投资业绩与本基金界定的“内需增长”主题覆盖的上市公司发行证券的相关性较大，需承担相应风险。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4、本基金可投资港股通标的股票，会面临港股通机制下因投资环境、投资标的、市场制度以及交易规则等差异带来的特有风险，具体如下：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w:t>
      </w:r>
      <w:r>
        <w:rPr>
          <w:rFonts w:ascii="宋体" w:hAnsi="宋体"/>
          <w:sz w:val="24"/>
        </w:rPr>
        <w:lastRenderedPageBreak/>
        <w:t>场交易互联互通机制”下参与香港股票投资还将面临包括但不限于如下特殊风险：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以上所述因素可能会给本基金投资带来特殊交易风险。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6、基金合同提前终止风险。连续50个工作日出现基金份额持有人数量不满200人或者基金资产净值低于5000万元情形的，基金合同终止，不需召开基金份额持有人大会。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7、本基金可投资创业板股票，创业板个股上市后的前五个交易日不设价格涨跌幅限制，第六个交易日开始涨跌幅限制比例为20%。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w:t>
      </w:r>
      <w:r>
        <w:rPr>
          <w:rFonts w:ascii="宋体" w:hAnsi="宋体"/>
          <w:sz w:val="24"/>
        </w:rPr>
        <w:lastRenderedPageBreak/>
        <w:t>内的各项风险。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科创板整体投资门槛较高，二级市场上个人投资者参与度相对较低，机构持有个股大量流通盘导致个股流动性较差，基金组合存在无法及时变现及其他相关流动性风险。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国家对高新技术产业扶持力度及重视程度的变化会对科创板企业带来较大影响，国际经济形势变化对战略新兴产业及科创板个股也会带来政策影响。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5、因业务竞争压力可能产生的风险；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3" w:name="_Toc240548765"/>
      <w:r>
        <w:rPr>
          <w:rFonts w:ascii="Times New Roman" w:hAnsi="Times New Roman"/>
          <w:sz w:val="30"/>
        </w:rPr>
        <w:lastRenderedPageBreak/>
        <w:t>二十、基金合同的变更、终止与基金财产的清算</w:t>
      </w:r>
      <w:bookmarkEnd w:id="23"/>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4" w:name="_Toc240548766"/>
      <w:r>
        <w:rPr>
          <w:rFonts w:ascii="Times New Roman" w:hAnsi="Times New Roman"/>
          <w:sz w:val="30"/>
        </w:rPr>
        <w:lastRenderedPageBreak/>
        <w:t>二十一、基金合同内容摘要</w:t>
      </w:r>
      <w:bookmarkEnd w:id="24"/>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 协助开立股指期货业务相关账户及交易编码，按照《基金合同》的约定，根据基金管理人的投资指令，及时办理清算、交割事宜；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（8）复核、审查基金管理人计算的基金资产净值、基金份额净值、基金份额申购、赎回价格；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w:t>
      </w:r>
      <w:r>
        <w:rPr>
          <w:rFonts w:ascii="宋体" w:hAnsi="宋体"/>
          <w:sz w:val="24"/>
        </w:rPr>
        <w:lastRenderedPageBreak/>
        <w:t>《基金合同》的当事人，直至其不再持有本基金的基金份额。基金份额持有人作为《基金合同》当事人并不以在《基金合同》上书面签章或签字为必要条件。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w:t>
      </w:r>
      <w:r>
        <w:rPr>
          <w:rFonts w:ascii="宋体" w:hAnsi="宋体"/>
          <w:sz w:val="24"/>
        </w:rPr>
        <w:lastRenderedPageBreak/>
        <w:t>规则；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（1）当出现或需要决定下列事由之一的，应当召开基金份额持有人大会，法律法规和中国证监会另有规定的除外：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1）终止《基金合同》，基金合同另有规定的除外；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8）变更基金投资目标、范围或策略，基金合同另有规定的除外；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9）变更基金份额持有人大会程序，基金合同另有规定的除外；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w:t>
      </w:r>
      <w:r>
        <w:rPr>
          <w:rFonts w:ascii="宋体" w:hAnsi="宋体"/>
          <w:sz w:val="24"/>
        </w:rPr>
        <w:lastRenderedPageBreak/>
        <w:t>不需召开基金份额持有人大会：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2）在法律法规和《基金合同》规定的范围内调整本基金的申购费率、调低赎回费率、在对现有基金份额持有人利益无实质性不利影响的前提下变更收费方式；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w:t>
      </w:r>
      <w:r>
        <w:rPr>
          <w:rFonts w:ascii="宋体" w:hAnsi="宋体"/>
          <w:sz w:val="24"/>
        </w:rPr>
        <w:lastRenderedPageBreak/>
        <w:t>加收取表决意见的，不影响表决效力；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基金管理人、基金托管人和基金份额持有人应当执行生效的基金份额持有人大会的决议。生效的基金份额持有人大会决议对全体基金份额持有人、基金管理人、基金托管人均有约束力。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w:t>
      </w:r>
      <w:r>
        <w:rPr>
          <w:rFonts w:ascii="宋体" w:hAnsi="宋体"/>
          <w:sz w:val="24"/>
        </w:rPr>
        <w:lastRenderedPageBreak/>
        <w:t>或变更的，基金管理人经与基金托管人协商一致并提前公告后，可直接对本部分内容进行修改和调整，无需召开基金份额持有人大会审议。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2）对基金财产和债权债务进行清理和确认；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w:t>
      </w:r>
      <w:r>
        <w:rPr>
          <w:rFonts w:ascii="宋体" w:hAnsi="宋体"/>
          <w:sz w:val="24"/>
        </w:rPr>
        <w:lastRenderedPageBreak/>
        <w:t>定，仲裁费由败诉方承担。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《基金合同》受中国法律（不含港澳台地区法律）管辖并从其解释。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5" w:name="_Toc240548767"/>
      <w:r>
        <w:rPr>
          <w:rFonts w:ascii="Times New Roman" w:hAnsi="Times New Roman"/>
          <w:sz w:val="30"/>
        </w:rPr>
        <w:lastRenderedPageBreak/>
        <w:t>二十二、托管协议的内容摘要</w:t>
      </w:r>
      <w:bookmarkEnd w:id="25"/>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w:t>
      </w:r>
      <w:r>
        <w:rPr>
          <w:rFonts w:ascii="宋体" w:hAnsi="宋体"/>
          <w:sz w:val="24"/>
        </w:rPr>
        <w:lastRenderedPageBreak/>
        <w:t>卡业务；提供信用证服务及担保；代理收付款项及代理保险业务；提供保管箱服务；代理资金清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投资于内需增长主题相关证券的比例不低于非现金基金资产的80%；每个交易日日终在扣除股指期货合约需缴纳的交易保证金后，本基金保留的现金或者投资于到期日在一年以内的政</w:t>
      </w:r>
      <w:r>
        <w:rPr>
          <w:rFonts w:ascii="宋体" w:hAnsi="宋体"/>
          <w:sz w:val="24"/>
        </w:rPr>
        <w:lastRenderedPageBreak/>
        <w:t>府债券的比例合计不低于基金资产净值的5%，其中现金不包括结算备付金、存出保证金、应收申购款等。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（1）股票投资（含存托凭证）占基金资产的比例为60%-95%（其中投资于港股通标的股票的比例占股票资产的0%-50%），投资于内需增长主题相关证券的比例不低于非现金基金资产的80%；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（8）本基金管理人管理的、且由本基金托管人托管的全部基金投资于同一原始权益人的各类资产支持证券，不得超过其各类资产支持证券合计规模的10％；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w:t>
      </w:r>
      <w:r>
        <w:rPr>
          <w:rFonts w:ascii="宋体" w:hAnsi="宋体"/>
          <w:sz w:val="24"/>
        </w:rPr>
        <w:lastRenderedPageBreak/>
        <w:t>产，本基金所申报的股票数量不超过拟发行股票公司本次发行股票的总量；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且由本基金托管人托管的全部开放式基金（包括开放式基金以及处于开放期的定期开放基金）持有一家上市公司发行的可流通股票，不得超过该上市公司可流通股票的15%；本基金管理人管理的、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（16）本基金资产总值不超过基金资产净值的140%；</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3、基金托管人根据有关法律法规的规定及基金合同的约定，对本协议第十五条第（十一）项基金投资禁止行为进行监督。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其更新，并以双方约定的方式提交，确保所提供的关联交易名单的真实性、完整性、全面性。基金管理人有责任保管真实、完整、全面的关联交易名单，并负责及时更新该名单。名单变更后基金管理人应及时发送基金托管人，基金托管人应及时确认已知名单的变更。如果基金托管人在运作中严格遵循了监督流程，基金管理人仍违规进行关联交易，并造成基金资产损失的，由基金管理人承担责任，基金托管人并有权向中国证监会报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2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应及时提醒基金管理人，基金托管人不承担由此造成的任何损失和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5、基金托管人根据有关法律法规的规定及基金合同的约定，对基金管理人投资银行存款进行监督。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基金投资银行存款的，基金管理人应根据法律法规的规定及基金合同的约定，建立投资制度、审慎选择存款银行，做好风险控制；并按照基金托管人的要求配合基金托管人完成相关业务办理。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（1）基金投资流通受限证券，应遵守《关于基金投资非公开发行股票等流通受限证券有关问题的通知》等有关法律法规规定。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w:t>
      </w:r>
      <w:r>
        <w:rPr>
          <w:rFonts w:ascii="宋体" w:hAnsi="宋体"/>
          <w:sz w:val="24"/>
        </w:rPr>
        <w:lastRenderedPageBreak/>
        <w:t>行股票、公开发行股票网下配售部分等在发行时明确一定期限锁定期的可交易证券，不包括由于发布重大消息或其他原因而临时停牌的证券、已发行未上市证券、回购交易中的质押券等流通受限证券。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（4）在投资流通受限证券之前，基金管理人应至少提前一个交易日向基金托管人提供有关流通受限证券的相关信息，具体应当包括但不限于如下文件（如有）：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流通受限证券登记存管在本基金名下，并保证基金托管人能够正常查询。因基金管理人原因产生的流通受限证券登记存管问题，造成基金财产的损失或基金托管人无法安全保管基金财产的责任与损失，由基金管理人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w:t>
      </w:r>
      <w:r>
        <w:rPr>
          <w:rFonts w:ascii="宋体" w:hAnsi="宋体"/>
          <w:sz w:val="24"/>
        </w:rPr>
        <w:lastRenderedPageBreak/>
        <w:t>述损失。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协助开立股指期货业务相关账户及交易编码、复核基金管理人计算的基金资产净值和基金份额净值、根据基金管理人指令办理清算交收、相关信息披露和监督基金投资运作等行为。</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w:t>
      </w:r>
      <w:r>
        <w:rPr>
          <w:rFonts w:ascii="宋体" w:hAnsi="宋体"/>
          <w:sz w:val="24"/>
        </w:rPr>
        <w:lastRenderedPageBreak/>
        <w:t>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（3）基金托管人按照规定开设基金财产的资金账户、证券账户等投资所需账户、协助开立股指期货业务相关账户及交易编码。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（1）基金募集期间的认购款项应存于专用账户。该账户由基金管理人或基金</w:t>
      </w:r>
      <w:r>
        <w:rPr>
          <w:rFonts w:ascii="宋体" w:hAnsi="宋体"/>
          <w:sz w:val="24"/>
        </w:rPr>
        <w:lastRenderedPageBreak/>
        <w:t>管理人委托的登记机构开立并管理。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托管资金账户，同时在规定时间内，聘请符合《中华人民共和国证券法》规定的会计师事务所进行验资，出具验资报告。出具的验资报告由参加验资的2名或2名以上中国注册会计师签字方为有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（3）若基金募集期限届满，未能达到基金备案的条件，由基金管理人按规定办理退款等事宜，基金托管人应提供充分协助。</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（1）基金托管人在中国证券登记结算有限责任公司上海分公司、深圳分公司为本基金开立基金托管人与基金联名的证券账户。</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w:t>
      </w:r>
      <w:r>
        <w:rPr>
          <w:rFonts w:ascii="宋体" w:hAnsi="宋体"/>
          <w:sz w:val="24"/>
        </w:rPr>
        <w:lastRenderedPageBreak/>
        <w:t>算有限责任公司的规定执行。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（4）基金证券账户的开立和证券账户卡的保管由基金托管人负责，账户资产的管理和运用由基金管理人负责。</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和基金托管人同时代表基金签订全国银行间债券市场债券回购主协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（1）因业务发展需要而开立的其他账户，可以根据法律法规和基金合同的规定，在基金管理人和基金托管人商议后开立。新账户按有关规则使用并管理。</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（2）法律法规等有关规定对相关账户的开立和管理另有规定的，从其规定办理。7、基金财产投资的有关有价凭证等的保管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不低于法律法规规定的最低期限。</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基金资产净值是指基金资产总值减去基金负债后的价值。</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基金管理人于每工作日计算基金资产净值及基金份额净值，并按规定公告，如遇特殊情况，经履行适当程序，可以适当延迟计算或公告。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但基金管理人根据法律法规或基金合同的规定暂停估值时除外。基金管理人每个工作日对基金资产进行估值后，将基金份额净值结果发送基金托管人，经基金托管人复核无误后，由基金管理人依据基金合同和相关法律法规的规定对外公布。月末、年中和年末估值复核与基金会计账目的核对同时进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的基金份额持有人名册，包括基金合同生效日、基金合同终止日、基金权益登记日、基金份额持有人大会权益登记日、每年6月30日、12月31日的基金份额持有人名册。基金份额持有人名册的内容至少应包括持有人的名称和持有的基金份额。</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登记机构编制，由基金管理人审核并提交基金托管人保管。基金托管人有权要求基金管理人提供任意一个交易日或全部交易日的基金份额持有人名册，基金管理人应及时提供，不得拖延或拒绝提供。</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基金份额持有人大会权益登记日等涉及到基金重要事项日期的基金份额持有人名册应于发生日后十个工作日内提交。</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不低于法律法规规定的最低期限。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（七）争议解决方式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由败诉方承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本协议适用中华人民共和国法律（不含港澳台地区法律）并从其解释。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（八）托管协议的变更与终止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本协议双方当事人经协商一致，可以对协议进行修改。修改后的新协议，其内容不得与基金合同的规定有任何冲突。基金托管协议的变更应报中国证监会备案。</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（4）发生法律法规、中国证监会或基金合同规定的其他终止事项。</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6" w:name="_Toc240548768"/>
      <w:r>
        <w:rPr>
          <w:rFonts w:ascii="Times New Roman" w:hAnsi="Times New Roman"/>
          <w:sz w:val="30"/>
        </w:rPr>
        <w:lastRenderedPageBreak/>
        <w:t>二十三、对基金份额持有人的服务</w:t>
      </w:r>
      <w:bookmarkEnd w:id="26"/>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和定期定额投资等业务。通过网上直销交易平台办理本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7" w:name="_Toc240548769"/>
      <w:r>
        <w:rPr>
          <w:rFonts w:ascii="Times New Roman" w:hAnsi="Times New Roman"/>
          <w:sz w:val="30"/>
        </w:rPr>
        <w:lastRenderedPageBreak/>
        <w:t>二十四、其他应披露事项</w:t>
      </w:r>
      <w:bookmarkEnd w:id="27"/>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交银施罗德基金管理有限公司关于增加东莞证券股份有限公司为旗下基金的销售机构的公告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2025-02-18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6437E9">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交银施罗德内需增长一年持有期混合型证券投资基金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6437E9" w:rsidRDefault="00F4643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8" w:name="_Toc240548770"/>
      <w:r>
        <w:rPr>
          <w:rFonts w:ascii="Times New Roman" w:hAnsi="Times New Roman"/>
          <w:sz w:val="30"/>
        </w:rPr>
        <w:lastRenderedPageBreak/>
        <w:t>二十五、招募说明书的存放及查阅方式</w:t>
      </w:r>
      <w:bookmarkEnd w:id="28"/>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4643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6437E9" w:rsidRDefault="00F4643B">
      <w:pPr>
        <w:pStyle w:val="1"/>
        <w:snapToGrid w:val="0"/>
        <w:spacing w:beforeLines="0" w:before="240" w:after="240"/>
        <w:rPr>
          <w:rFonts w:ascii="宋体" w:hAnsi="宋体"/>
          <w:szCs w:val="30"/>
        </w:rPr>
      </w:pPr>
      <w:bookmarkStart w:id="29" w:name="_Toc240548771"/>
      <w:r>
        <w:rPr>
          <w:rFonts w:ascii="Times New Roman" w:hAnsi="Times New Roman"/>
          <w:sz w:val="30"/>
        </w:rPr>
        <w:lastRenderedPageBreak/>
        <w:t>二十六、备查文件</w:t>
      </w:r>
      <w:bookmarkEnd w:id="29"/>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（一）中国证监会准予交银施罗德内需增长一年持有期混合型证券投资基金募集注册的文件</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（二）《交银施罗德内需增长一年持有期混合型证券投资基金基金合同》</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（三）《交银施罗德内需增长一年持有期混合型证券投资基金托管协议》</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6437E9" w:rsidRDefault="00F4643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（六）关于申请募集注册交银施罗德内需增长一年持有期混合型证券投资基金的法律意见书</w:t>
      </w:r>
    </w:p>
    <w:sectPr w:rsidR="006437E9">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947" w:rsidRDefault="00F4643B">
      <w:r>
        <w:separator/>
      </w:r>
    </w:p>
  </w:endnote>
  <w:endnote w:type="continuationSeparator" w:id="0">
    <w:p w:rsidR="00BC7947" w:rsidRDefault="00F46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6437E9">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451F7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6437E9" w:rsidRDefault="00F4643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51F71">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6437E9">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451F71">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6437E9" w:rsidRDefault="00F4643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451F71">
                  <w:rPr>
                    <w:rFonts w:ascii="Times New Roman" w:hAnsi="Times New Roman"/>
                    <w:noProof/>
                    <w:kern w:val="0"/>
                    <w:sz w:val="18"/>
                    <w:szCs w:val="18"/>
                  </w:rPr>
                  <w:t>158</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947" w:rsidRDefault="00F4643B">
      <w:r>
        <w:separator/>
      </w:r>
    </w:p>
  </w:footnote>
  <w:footnote w:type="continuationSeparator" w:id="0">
    <w:p w:rsidR="00BC7947" w:rsidRDefault="00F464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6437E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F4643B">
    <w:pPr>
      <w:pStyle w:val="a3"/>
      <w:jc w:val="right"/>
      <w:rPr>
        <w:rFonts w:ascii="宋体" w:hAnsi="宋体"/>
      </w:rPr>
    </w:pPr>
    <w:r>
      <w:rPr>
        <w:rFonts w:ascii="宋体" w:hAnsi="宋体" w:hint="eastAsia"/>
      </w:rPr>
      <w:t>交银施罗德内需增长一年持有期混合型证券投资基金招募说明书更新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6437E9">
    <w:pPr>
      <w:pStyle w:val="10"/>
      <w:jc w:val="right"/>
    </w:pPr>
  </w:p>
  <w:p w:rsidR="006437E9" w:rsidRDefault="006437E9">
    <w:pPr>
      <w:pStyle w:val="10"/>
      <w:jc w:val="right"/>
    </w:pPr>
  </w:p>
  <w:p w:rsidR="006437E9" w:rsidRDefault="006437E9">
    <w:pPr>
      <w:pStyle w:val="a3"/>
      <w:jc w:val="right"/>
    </w:pPr>
  </w:p>
  <w:p w:rsidR="006437E9" w:rsidRDefault="00F4643B">
    <w:pPr>
      <w:pStyle w:val="a3"/>
      <w:jc w:val="right"/>
      <w:rPr>
        <w:rFonts w:ascii="宋体" w:hAnsi="宋体"/>
      </w:rPr>
    </w:pPr>
    <w:r>
      <w:rPr>
        <w:rFonts w:ascii="宋体" w:hAnsi="宋体" w:hint="eastAsia"/>
      </w:rPr>
      <w:t>交银施罗德内需增长一年持有期混合型证券投资基金招募说明书更新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7E9" w:rsidRDefault="006437E9">
    <w:pPr>
      <w:pStyle w:val="a3"/>
      <w:jc w:val="right"/>
    </w:pPr>
  </w:p>
  <w:p w:rsidR="006437E9" w:rsidRDefault="006437E9">
    <w:pPr>
      <w:pStyle w:val="a3"/>
      <w:jc w:val="right"/>
    </w:pPr>
  </w:p>
  <w:p w:rsidR="006437E9" w:rsidRDefault="006437E9">
    <w:pPr>
      <w:pStyle w:val="a3"/>
      <w:jc w:val="right"/>
    </w:pPr>
  </w:p>
  <w:p w:rsidR="006437E9" w:rsidRDefault="00F4643B">
    <w:pPr>
      <w:pStyle w:val="a3"/>
      <w:jc w:val="right"/>
      <w:rPr>
        <w:rFonts w:ascii="宋体" w:hAnsi="宋体"/>
      </w:rPr>
    </w:pPr>
    <w:r>
      <w:rPr>
        <w:rFonts w:ascii="宋体" w:hAnsi="宋体" w:hint="eastAsia"/>
      </w:rPr>
      <w:t>交银施罗德内需增长一年持有期混合型证券投资基金招募说明书更新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1F71"/>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37E9"/>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C7947"/>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4643B"/>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EE4C4FC8-E208-4B26-8CC8-E7315F566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159</Pages>
  <Words>16554</Words>
  <Characters>94364</Characters>
  <Application>Microsoft Office Word</Application>
  <DocSecurity>0</DocSecurity>
  <Lines>786</Lines>
  <Paragraphs>221</Paragraphs>
  <ScaleCrop>false</ScaleCrop>
  <Company>Microsoft</Company>
  <LinksUpToDate>false</LinksUpToDate>
  <CharactersWithSpaces>110697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