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交银施罗德新生活力灵活配置混合型证券投资基金（A类份额）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交银新生活力灵活配置混合A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2016-11-11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杨浩</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2016-11-11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2010-02-24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本基金通过深度优选与新生力量息息相关的优质企业，分享中国因新生行业发展所带来的投资新机会，力争为基金份额持有人获得超越业绩比较基准的收益。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本基金投资于与新生活力主题相关证券的比例不低于非现金基金资产的80%；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调整基金大类资产配置和股票行业配置策略，确定债券组合久期和债券类别配置；在严谨深入的股票和债券研究分析基础上，自下而上精选个券。其中，本基金股票投资重点关注与市场新生力量息息相关的优质企业，分享当前中国因新生力量群体发展所带来的投资新机会。新生活力主题是指由于互联网思维的发展和演变，而带来的传统产业中供给改善、产业重塑的新生领域，和新兴产业中触发新消费、创造新需求的新生领域，以及在前述新生领域内具备活力的、公司价值向上流动的优秀投资标的。</w:t>
            </w:r>
          </w:p>
          <w:p>
            <w:pPr>
              <w:ind w:firstLine="420"/>
              <w:jc w:val="left"/>
              <w:rPr>
                <w:rFonts w:ascii="仿宋_GB2312" w:eastAsia="仿宋_GB2312"/>
                <w:szCs w:val="21"/>
              </w:rPr>
            </w:pPr>
            <w:r>
              <w:rPr>
                <w:rFonts w:hint="eastAsia" w:ascii="仿宋_GB2312" w:eastAsia="仿宋_GB2312"/>
                <w:szCs w:val="21"/>
              </w:rPr>
              <w:t>1、资产配置；2、行业配置；3、股票投资；4、债券投资策略；5、权证投资；6、股指期货投资。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沪深300指数收益率×85%+中债-国债总财富（1-3年）指数收益率×15%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详见《交银施罗德新生活力灵活配置混合型证券投资基金招募说明书》“基金的投资”。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2、本基金合同于2016年11月11日生效，合同生效当年净值增长率按实际存续期计算。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●《交银施罗德新生活力灵活配置混合型证券投资基金基金合同》、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《交银施罗德新生活力灵活配置混合型证券投资基金托管协议》、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《交银施罗德新生活力灵活配置混合型证券投资基金招募说明书》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E0232"/>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E830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772</Words>
  <Characters>4406</Characters>
  <Lines>36</Lines>
  <Paragraphs>10</Paragraphs>
  <TotalTime>0</TotalTime>
  <ScaleCrop>false</ScaleCrop>
  <LinksUpToDate>false</LinksUpToDate>
  <CharactersWithSpaces>5168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2026-09-17T09:02:21Z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5CFD675A41E24FF0A398D10C647862A8</vt:lpwstr>
  </property>
</Properties>
</file>