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E0794C">
      <w:pPr>
        <w:rPr>
          <w:sz w:val="32"/>
        </w:rPr>
      </w:pPr>
    </w:p>
    <w:p w:rsidR="00C92FC0" w:rsidRPr="00EB07BC" w:rsidRDefault="00E0794C">
      <w:pPr>
        <w:rPr>
          <w:sz w:val="32"/>
        </w:rPr>
      </w:pPr>
    </w:p>
    <w:p w:rsidR="00C92FC0" w:rsidRPr="00EB07BC" w:rsidRDefault="00E0794C">
      <w:pPr>
        <w:rPr>
          <w:sz w:val="32"/>
        </w:rPr>
      </w:pPr>
    </w:p>
    <w:p w:rsidR="004E0414" w:rsidRDefault="004E0414">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4E0414" w:rsidRDefault="004E0414">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4E0414" w:rsidRDefault="004E0414">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4E0414" w:rsidRDefault="005C4E64">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交银施罗德稳安</w:t>
      </w:r>
      <w:r>
        <w:rPr>
          <w:rFonts w:ascii="Times New Roman" w:hAnsi="Times New Roman"/>
          <w:b/>
          <w:spacing w:val="2"/>
          <w:w w:val="99"/>
          <w:kern w:val="0"/>
          <w:position w:val="-4"/>
          <w:sz w:val="44"/>
          <w:szCs w:val="44"/>
        </w:rPr>
        <w:t>90</w:t>
      </w:r>
      <w:r>
        <w:rPr>
          <w:rFonts w:ascii="Times New Roman" w:hAnsi="Times New Roman"/>
          <w:b/>
          <w:spacing w:val="2"/>
          <w:w w:val="99"/>
          <w:kern w:val="0"/>
          <w:position w:val="-4"/>
          <w:sz w:val="44"/>
          <w:szCs w:val="44"/>
        </w:rPr>
        <w:t>天持有期债券型证券投资基金</w:t>
      </w:r>
    </w:p>
    <w:p w:rsidR="004E0414" w:rsidRDefault="005C4E64">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4E0414" w:rsidRDefault="004E0414">
      <w:pPr>
        <w:snapToGrid w:val="0"/>
        <w:spacing w:line="360" w:lineRule="auto"/>
        <w:jc w:val="center"/>
        <w:rPr>
          <w:rFonts w:ascii="宋体" w:hAnsi="宋体"/>
          <w:b/>
          <w:sz w:val="30"/>
          <w:szCs w:val="30"/>
        </w:rPr>
      </w:pPr>
    </w:p>
    <w:p w:rsidR="004E0414" w:rsidRDefault="004E0414">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4E0414" w:rsidRDefault="004E0414">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4E0414" w:rsidRDefault="004E0414">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4E0414" w:rsidRDefault="004E0414">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4E0414" w:rsidRDefault="004E0414">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4E0414" w:rsidRDefault="004E0414">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4E0414" w:rsidRDefault="005C4E64">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4E0414" w:rsidRDefault="005C4E64">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基金托管人：中国农业银行股份有限公司</w:t>
      </w:r>
    </w:p>
    <w:p w:rsidR="004E0414" w:rsidRDefault="004E0414">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4E0414" w:rsidRDefault="004E0414">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4E0414" w:rsidRDefault="005C4E64">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二〇二六年九月</w:t>
      </w:r>
    </w:p>
    <w:p w:rsidR="004E0414" w:rsidRDefault="004E0414">
      <w:pPr>
        <w:autoSpaceDE w:val="0"/>
        <w:autoSpaceDN w:val="0"/>
        <w:adjustRightInd w:val="0"/>
        <w:snapToGrid w:val="0"/>
        <w:spacing w:line="360" w:lineRule="auto"/>
        <w:ind w:left="1347" w:rightChars="6" w:right="13"/>
        <w:rPr>
          <w:rFonts w:ascii="宋体" w:hAnsi="宋体"/>
          <w:kern w:val="0"/>
          <w:sz w:val="32"/>
          <w:szCs w:val="32"/>
        </w:rPr>
        <w:sectPr w:rsidR="004E0414">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4E0414" w:rsidRDefault="005C4E64">
      <w:pPr>
        <w:pStyle w:val="1"/>
        <w:snapToGrid w:val="0"/>
        <w:spacing w:beforeLines="0" w:before="240" w:after="240"/>
        <w:rPr>
          <w:rFonts w:ascii="宋体" w:hAnsi="宋体"/>
          <w:kern w:val="0"/>
        </w:rPr>
      </w:pPr>
      <w:bookmarkStart w:id="0" w:name="_Toc324920538"/>
      <w:bookmarkStart w:id="1" w:name="_Toc496884613"/>
      <w:bookmarkStart w:id="2" w:name="_Toc240548777"/>
      <w:r>
        <w:rPr>
          <w:rFonts w:ascii="Times New Roman" w:hAnsi="Times New Roman"/>
          <w:kern w:val="0"/>
        </w:rPr>
        <w:lastRenderedPageBreak/>
        <w:t>重要提示</w:t>
      </w:r>
      <w:bookmarkEnd w:id="0"/>
      <w:bookmarkEnd w:id="1"/>
      <w:bookmarkEnd w:id="2"/>
    </w:p>
    <w:p w:rsidR="004E0414" w:rsidRDefault="005C4E64">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交银施罗德稳安</w:t>
      </w:r>
      <w:r>
        <w:rPr>
          <w:rFonts w:ascii="Times New Roman" w:hAnsi="Times New Roman"/>
          <w:kern w:val="0"/>
          <w:sz w:val="24"/>
        </w:rPr>
        <w:t>90</w:t>
      </w:r>
      <w:r>
        <w:rPr>
          <w:rFonts w:ascii="Times New Roman" w:hAnsi="Times New Roman"/>
          <w:kern w:val="0"/>
          <w:sz w:val="24"/>
        </w:rPr>
        <w:t>天持有期债券型证券投资基金（以下简称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2022</w:t>
      </w:r>
      <w:r>
        <w:rPr>
          <w:rFonts w:ascii="Times New Roman" w:hAnsi="Times New Roman"/>
          <w:kern w:val="0"/>
          <w:sz w:val="24"/>
        </w:rPr>
        <w:t>年</w:t>
      </w:r>
      <w:r>
        <w:rPr>
          <w:rFonts w:ascii="Times New Roman" w:hAnsi="Times New Roman"/>
          <w:kern w:val="0"/>
          <w:sz w:val="24"/>
        </w:rPr>
        <w:t>12</w:t>
      </w:r>
      <w:r>
        <w:rPr>
          <w:rFonts w:ascii="Times New Roman" w:hAnsi="Times New Roman"/>
          <w:kern w:val="0"/>
          <w:sz w:val="24"/>
        </w:rPr>
        <w:t>月</w:t>
      </w:r>
      <w:r>
        <w:rPr>
          <w:rFonts w:ascii="Times New Roman" w:hAnsi="Times New Roman"/>
          <w:kern w:val="0"/>
          <w:sz w:val="24"/>
        </w:rPr>
        <w:t>30</w:t>
      </w:r>
      <w:r>
        <w:rPr>
          <w:rFonts w:ascii="Times New Roman" w:hAnsi="Times New Roman"/>
          <w:kern w:val="0"/>
          <w:sz w:val="24"/>
        </w:rPr>
        <w:t>日中国证券监督管理委员会（以下简称</w:t>
      </w:r>
      <w:r>
        <w:rPr>
          <w:rFonts w:ascii="Times New Roman" w:hAnsi="Times New Roman"/>
          <w:kern w:val="0"/>
          <w:sz w:val="24"/>
        </w:rPr>
        <w:t>“</w:t>
      </w:r>
      <w:r>
        <w:rPr>
          <w:rFonts w:ascii="Times New Roman" w:hAnsi="Times New Roman"/>
          <w:kern w:val="0"/>
          <w:sz w:val="24"/>
        </w:rPr>
        <w:t>中国证监会</w:t>
      </w:r>
      <w:r>
        <w:rPr>
          <w:rFonts w:ascii="Times New Roman" w:hAnsi="Times New Roman"/>
          <w:kern w:val="0"/>
          <w:sz w:val="24"/>
        </w:rPr>
        <w:t>”</w:t>
      </w:r>
      <w:r>
        <w:rPr>
          <w:rFonts w:ascii="Times New Roman" w:hAnsi="Times New Roman"/>
          <w:kern w:val="0"/>
          <w:sz w:val="24"/>
        </w:rPr>
        <w:t>）证监许可【</w:t>
      </w:r>
      <w:r>
        <w:rPr>
          <w:rFonts w:ascii="Times New Roman" w:hAnsi="Times New Roman"/>
          <w:kern w:val="0"/>
          <w:sz w:val="24"/>
        </w:rPr>
        <w:t>2022</w:t>
      </w:r>
      <w:r>
        <w:rPr>
          <w:rFonts w:ascii="Times New Roman" w:hAnsi="Times New Roman"/>
          <w:kern w:val="0"/>
          <w:sz w:val="24"/>
        </w:rPr>
        <w:t>】</w:t>
      </w:r>
      <w:r>
        <w:rPr>
          <w:rFonts w:ascii="Times New Roman" w:hAnsi="Times New Roman"/>
          <w:kern w:val="0"/>
          <w:sz w:val="24"/>
        </w:rPr>
        <w:t>3267</w:t>
      </w:r>
      <w:r>
        <w:rPr>
          <w:rFonts w:ascii="Times New Roman" w:hAnsi="Times New Roman"/>
          <w:kern w:val="0"/>
          <w:sz w:val="24"/>
        </w:rPr>
        <w:t>号文准予募集注册。本基金基金合同于</w:t>
      </w:r>
      <w:r>
        <w:rPr>
          <w:rFonts w:ascii="Times New Roman" w:hAnsi="Times New Roman"/>
          <w:kern w:val="0"/>
          <w:sz w:val="24"/>
        </w:rPr>
        <w:t>2023</w:t>
      </w:r>
      <w:r>
        <w:rPr>
          <w:rFonts w:ascii="Times New Roman" w:hAnsi="Times New Roman"/>
          <w:kern w:val="0"/>
          <w:sz w:val="24"/>
        </w:rPr>
        <w:t>年</w:t>
      </w:r>
      <w:r>
        <w:rPr>
          <w:rFonts w:ascii="Times New Roman" w:hAnsi="Times New Roman"/>
          <w:kern w:val="0"/>
          <w:sz w:val="24"/>
        </w:rPr>
        <w:t>4</w:t>
      </w:r>
      <w:r>
        <w:rPr>
          <w:rFonts w:ascii="Times New Roman" w:hAnsi="Times New Roman"/>
          <w:kern w:val="0"/>
          <w:sz w:val="24"/>
        </w:rPr>
        <w:t>月</w:t>
      </w:r>
      <w:r>
        <w:rPr>
          <w:rFonts w:ascii="Times New Roman" w:hAnsi="Times New Roman"/>
          <w:kern w:val="0"/>
          <w:sz w:val="24"/>
        </w:rPr>
        <w:t>25</w:t>
      </w:r>
      <w:r>
        <w:rPr>
          <w:rFonts w:ascii="Times New Roman" w:hAnsi="Times New Roman"/>
          <w:kern w:val="0"/>
          <w:sz w:val="24"/>
        </w:rPr>
        <w:t>日正式生效。</w:t>
      </w:r>
    </w:p>
    <w:p w:rsidR="004E0414" w:rsidRDefault="005C4E64">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投资价值和市场前景作出实质性判断或保证，也不表明投资于本基金没有风险。</w:t>
      </w:r>
    </w:p>
    <w:p w:rsidR="004E0414" w:rsidRDefault="005C4E64">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谨慎勤勉的原则管理和运用基金财产，但不保证投资本基金一定盈利，也不保证基金份额持有人的最低收益；因基金价格可升可跌，亦不保证基金份额持有人能全数取回其原本投资。</w:t>
      </w:r>
    </w:p>
    <w:p w:rsidR="004E0414" w:rsidRDefault="005C4E64">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投资本基金可能遇到的风险包括：因受到经济因素、政治因素、投资心理和交易制度等各种因素的影响而引起的市场风险；基金管理人在基金管理运作过程中产生的基金管理风险；流动性风险（包括实施侧袋机制时的特定风险）；交易对手违约风险；本基金的特有风险；投资国债期货的特定风险；投资资产支持证券的特定风险；连续</w:t>
      </w:r>
      <w:r>
        <w:rPr>
          <w:rFonts w:ascii="Times New Roman" w:hAnsi="Times New Roman"/>
          <w:kern w:val="0"/>
          <w:sz w:val="24"/>
        </w:rPr>
        <w:t>50</w:t>
      </w:r>
      <w:r>
        <w:rPr>
          <w:rFonts w:ascii="Times New Roman" w:hAnsi="Times New Roman"/>
          <w:kern w:val="0"/>
          <w:sz w:val="24"/>
        </w:rPr>
        <w:t>个工作日出现基金份额持有人数量不满</w:t>
      </w:r>
      <w:r>
        <w:rPr>
          <w:rFonts w:ascii="Times New Roman" w:hAnsi="Times New Roman"/>
          <w:kern w:val="0"/>
          <w:sz w:val="24"/>
        </w:rPr>
        <w:t>200</w:t>
      </w:r>
      <w:r>
        <w:rPr>
          <w:rFonts w:ascii="Times New Roman" w:hAnsi="Times New Roman"/>
          <w:kern w:val="0"/>
          <w:sz w:val="24"/>
        </w:rPr>
        <w:t>人或基金资产净值低于</w:t>
      </w:r>
      <w:r>
        <w:rPr>
          <w:rFonts w:ascii="Times New Roman" w:hAnsi="Times New Roman"/>
          <w:kern w:val="0"/>
          <w:sz w:val="24"/>
        </w:rPr>
        <w:t>5000</w:t>
      </w:r>
      <w:r>
        <w:rPr>
          <w:rFonts w:ascii="Times New Roman" w:hAnsi="Times New Roman"/>
          <w:kern w:val="0"/>
          <w:sz w:val="24"/>
        </w:rPr>
        <w:t>万元情形时基金合同终止的风险；投资本基金的其他风险等等。</w:t>
      </w:r>
    </w:p>
    <w:p w:rsidR="004E0414" w:rsidRDefault="005C4E64">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本基金每份基金份额的最短持有期限为</w:t>
      </w:r>
      <w:r>
        <w:rPr>
          <w:rFonts w:ascii="Times New Roman" w:hAnsi="Times New Roman"/>
          <w:kern w:val="0"/>
          <w:sz w:val="24"/>
        </w:rPr>
        <w:t>90</w:t>
      </w:r>
      <w:r>
        <w:rPr>
          <w:rFonts w:ascii="Times New Roman" w:hAnsi="Times New Roman"/>
          <w:kern w:val="0"/>
          <w:sz w:val="24"/>
        </w:rPr>
        <w:t>天，在最短持有期限内该份基金份额不可赎回，自最短持有期限届满日起（含该日）可赎回。即：自基金合同生效日（对认购份额而言）、基金份额申购确认日（对申购份额而言）起的第</w:t>
      </w:r>
      <w:r>
        <w:rPr>
          <w:rFonts w:ascii="Times New Roman" w:hAnsi="Times New Roman"/>
          <w:kern w:val="0"/>
          <w:sz w:val="24"/>
        </w:rPr>
        <w:t>90</w:t>
      </w:r>
      <w:r>
        <w:rPr>
          <w:rFonts w:ascii="Times New Roman" w:hAnsi="Times New Roman"/>
          <w:kern w:val="0"/>
          <w:sz w:val="24"/>
        </w:rPr>
        <w:t>天起（含当日，如为非工作日则顺延至下一工作日），投资者方可提出赎回申请。对于基金份额持有人而言，存在投资本基金后</w:t>
      </w:r>
      <w:r>
        <w:rPr>
          <w:rFonts w:ascii="Times New Roman" w:hAnsi="Times New Roman"/>
          <w:kern w:val="0"/>
          <w:sz w:val="24"/>
        </w:rPr>
        <w:t>90</w:t>
      </w:r>
      <w:r>
        <w:rPr>
          <w:rFonts w:ascii="Times New Roman" w:hAnsi="Times New Roman"/>
          <w:kern w:val="0"/>
          <w:sz w:val="24"/>
        </w:rPr>
        <w:t>天内无法赎回的风险。</w:t>
      </w:r>
    </w:p>
    <w:p w:rsidR="004E0414" w:rsidRDefault="005C4E64">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w:t>
      </w:r>
      <w:r>
        <w:rPr>
          <w:rFonts w:ascii="Times New Roman" w:hAnsi="Times New Roman"/>
          <w:kern w:val="0"/>
          <w:sz w:val="24"/>
        </w:rPr>
        <w:lastRenderedPageBreak/>
        <w:t>波动在内的各项风险。</w:t>
      </w:r>
    </w:p>
    <w:p w:rsidR="004E0414" w:rsidRDefault="005C4E64">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本基金是一只债券型基金，其预期风险与预期收益理论上高于货币市场基金，低于混合型基金和股票型基金。</w:t>
      </w:r>
    </w:p>
    <w:p w:rsidR="004E0414" w:rsidRDefault="005C4E64">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人在投资本基金前应认真阅读本基金的招募说明书、基金合同、基金产品资料概要等信息披露文件，自主判断基金的投资价值，自主作出投资决策，自行承担投资风险。基金的过往业绩并不代表未来表现。基金管理人管理的其他基金的业绩并不构成对本基金业绩表现的保证。基金管理人提醒投资者基金投资的</w:t>
      </w:r>
      <w:r>
        <w:rPr>
          <w:rFonts w:ascii="Times New Roman" w:hAnsi="Times New Roman"/>
          <w:kern w:val="0"/>
          <w:sz w:val="24"/>
        </w:rPr>
        <w:t>“</w:t>
      </w:r>
      <w:r>
        <w:rPr>
          <w:rFonts w:ascii="Times New Roman" w:hAnsi="Times New Roman"/>
          <w:kern w:val="0"/>
          <w:sz w:val="24"/>
        </w:rPr>
        <w:t>买者自负</w:t>
      </w:r>
      <w:r>
        <w:rPr>
          <w:rFonts w:ascii="Times New Roman" w:hAnsi="Times New Roman"/>
          <w:kern w:val="0"/>
          <w:sz w:val="24"/>
        </w:rPr>
        <w:t>”</w:t>
      </w:r>
      <w:r>
        <w:rPr>
          <w:rFonts w:ascii="Times New Roman" w:hAnsi="Times New Roman"/>
          <w:kern w:val="0"/>
          <w:sz w:val="24"/>
        </w:rPr>
        <w:t>原则，在投资者作出投资决策后，基金运营状况与基金净值变化引致的投资风险，由投资者自行负责。</w:t>
      </w:r>
    </w:p>
    <w:p w:rsidR="004E0414" w:rsidRDefault="005C4E64">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本基金单一投资者持有基金份额数不得超过基金份额总数的</w:t>
      </w:r>
      <w:r>
        <w:rPr>
          <w:rFonts w:ascii="Times New Roman" w:hAnsi="Times New Roman"/>
          <w:kern w:val="0"/>
          <w:sz w:val="24"/>
        </w:rPr>
        <w:t>50%</w:t>
      </w:r>
      <w:r>
        <w:rPr>
          <w:rFonts w:ascii="Times New Roman" w:hAnsi="Times New Roman"/>
          <w:kern w:val="0"/>
          <w:sz w:val="24"/>
        </w:rPr>
        <w:t>，但在基金运作过程中因基金份额赎回等情形导致被动超过前述</w:t>
      </w:r>
      <w:r>
        <w:rPr>
          <w:rFonts w:ascii="Times New Roman" w:hAnsi="Times New Roman"/>
          <w:kern w:val="0"/>
          <w:sz w:val="24"/>
        </w:rPr>
        <w:t>50%</w:t>
      </w:r>
      <w:r>
        <w:rPr>
          <w:rFonts w:ascii="Times New Roman" w:hAnsi="Times New Roman"/>
          <w:kern w:val="0"/>
          <w:sz w:val="24"/>
        </w:rPr>
        <w:t>比例的除外。</w:t>
      </w:r>
    </w:p>
    <w:p w:rsidR="004E0414" w:rsidRDefault="005C4E64">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本次更新招募说明书主要对本基金调整业绩比较基准的相关信息进行更新，更新截止日为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09</w:t>
      </w:r>
      <w:r>
        <w:rPr>
          <w:rFonts w:ascii="Times New Roman" w:hAnsi="Times New Roman"/>
          <w:kern w:val="0"/>
          <w:sz w:val="24"/>
        </w:rPr>
        <w:t>月</w:t>
      </w:r>
      <w:r>
        <w:rPr>
          <w:rFonts w:ascii="Times New Roman" w:hAnsi="Times New Roman"/>
          <w:kern w:val="0"/>
          <w:sz w:val="24"/>
        </w:rPr>
        <w:t>21</w:t>
      </w:r>
      <w:r>
        <w:rPr>
          <w:rFonts w:ascii="Times New Roman" w:hAnsi="Times New Roman"/>
          <w:kern w:val="0"/>
          <w:sz w:val="24"/>
        </w:rPr>
        <w:t>日，除非另有说明，本招募说明书其他所载内容截止日为</w:t>
      </w:r>
      <w:r>
        <w:rPr>
          <w:rFonts w:ascii="Times New Roman" w:hAnsi="Times New Roman"/>
          <w:kern w:val="0"/>
          <w:sz w:val="24"/>
        </w:rPr>
        <w:t>2025</w:t>
      </w:r>
      <w:r>
        <w:rPr>
          <w:rFonts w:ascii="Times New Roman" w:hAnsi="Times New Roman"/>
          <w:kern w:val="0"/>
          <w:sz w:val="24"/>
        </w:rPr>
        <w:t>年</w:t>
      </w:r>
      <w:r>
        <w:rPr>
          <w:rFonts w:ascii="Times New Roman" w:hAnsi="Times New Roman"/>
          <w:kern w:val="0"/>
          <w:sz w:val="24"/>
        </w:rPr>
        <w:t>12</w:t>
      </w:r>
      <w:r>
        <w:rPr>
          <w:rFonts w:ascii="Times New Roman" w:hAnsi="Times New Roman"/>
          <w:kern w:val="0"/>
          <w:sz w:val="24"/>
        </w:rPr>
        <w:t>月</w:t>
      </w:r>
      <w:r>
        <w:rPr>
          <w:rFonts w:ascii="Times New Roman" w:hAnsi="Times New Roman"/>
          <w:kern w:val="0"/>
          <w:sz w:val="24"/>
        </w:rPr>
        <w:t>01</w:t>
      </w:r>
      <w:r>
        <w:rPr>
          <w:rFonts w:ascii="Times New Roman" w:hAnsi="Times New Roman"/>
          <w:kern w:val="0"/>
          <w:sz w:val="24"/>
        </w:rPr>
        <w:t>日，有关财务数据和净值表现截止日为</w:t>
      </w:r>
      <w:r>
        <w:rPr>
          <w:rFonts w:ascii="Times New Roman" w:hAnsi="Times New Roman"/>
          <w:kern w:val="0"/>
          <w:sz w:val="24"/>
        </w:rPr>
        <w:t>2025</w:t>
      </w:r>
      <w:r>
        <w:rPr>
          <w:rFonts w:ascii="Times New Roman" w:hAnsi="Times New Roman"/>
          <w:kern w:val="0"/>
          <w:sz w:val="24"/>
        </w:rPr>
        <w:t>年</w:t>
      </w:r>
      <w:r>
        <w:rPr>
          <w:rFonts w:ascii="Times New Roman" w:hAnsi="Times New Roman"/>
          <w:kern w:val="0"/>
          <w:sz w:val="24"/>
        </w:rPr>
        <w:t>09</w:t>
      </w:r>
      <w:r>
        <w:rPr>
          <w:rFonts w:ascii="Times New Roman" w:hAnsi="Times New Roman"/>
          <w:kern w:val="0"/>
          <w:sz w:val="24"/>
        </w:rPr>
        <w:t>月</w:t>
      </w:r>
      <w:r>
        <w:rPr>
          <w:rFonts w:ascii="Times New Roman" w:hAnsi="Times New Roman"/>
          <w:kern w:val="0"/>
          <w:sz w:val="24"/>
        </w:rPr>
        <w:t>30</w:t>
      </w:r>
      <w:r>
        <w:rPr>
          <w:rFonts w:ascii="Times New Roman" w:hAnsi="Times New Roman"/>
          <w:kern w:val="0"/>
          <w:sz w:val="24"/>
        </w:rPr>
        <w:t>日。本招募说明书所载的财务数据未经审计。</w:t>
      </w:r>
    </w:p>
    <w:p w:rsidR="004E0414" w:rsidRDefault="004E0414">
      <w:pPr>
        <w:autoSpaceDE w:val="0"/>
        <w:autoSpaceDN w:val="0"/>
        <w:adjustRightInd w:val="0"/>
        <w:snapToGrid w:val="0"/>
        <w:spacing w:before="51" w:line="360" w:lineRule="auto"/>
        <w:ind w:left="120" w:rightChars="6" w:right="13" w:firstLine="480"/>
        <w:rPr>
          <w:rFonts w:ascii="宋体" w:hAnsi="宋体"/>
          <w:kern w:val="0"/>
          <w:szCs w:val="24"/>
        </w:rPr>
        <w:sectPr w:rsidR="004E0414">
          <w:headerReference w:type="default" r:id="rId14"/>
          <w:pgSz w:w="11920" w:h="16840"/>
          <w:pgMar w:top="1440" w:right="1680" w:bottom="280" w:left="1680" w:header="0" w:footer="1073" w:gutter="0"/>
          <w:pgNumType w:start="1"/>
          <w:cols w:space="720"/>
        </w:sectPr>
      </w:pPr>
    </w:p>
    <w:p w:rsidR="00E0794C" w:rsidRPr="00E0794C" w:rsidRDefault="005C4E64" w:rsidP="00E0794C">
      <w:pPr>
        <w:pStyle w:val="ad"/>
        <w:snapToGrid w:val="0"/>
        <w:spacing w:after="240" w:line="360" w:lineRule="auto"/>
        <w:jc w:val="center"/>
        <w:rPr>
          <w:rFonts w:ascii="宋体" w:hAnsi="宋体"/>
          <w:noProof/>
          <w:sz w:val="24"/>
        </w:rPr>
      </w:pPr>
      <w:r w:rsidRPr="00E0794C">
        <w:rPr>
          <w:rFonts w:ascii="宋体" w:hAnsi="宋体"/>
          <w:color w:val="000000"/>
          <w:position w:val="-4"/>
          <w:sz w:val="24"/>
          <w:szCs w:val="30"/>
        </w:rPr>
        <w:lastRenderedPageBreak/>
        <w:t>目</w:t>
      </w:r>
      <w:r w:rsidRPr="00E0794C">
        <w:rPr>
          <w:rFonts w:ascii="宋体" w:hAnsi="宋体"/>
          <w:color w:val="000000"/>
          <w:position w:val="-4"/>
          <w:sz w:val="24"/>
          <w:szCs w:val="30"/>
        </w:rPr>
        <w:tab/>
        <w:t>录</w:t>
      </w:r>
      <w:r w:rsidR="00E0794C" w:rsidRPr="00E0794C">
        <w:rPr>
          <w:rFonts w:ascii="宋体" w:hAnsi="宋体"/>
          <w:color w:val="000000"/>
          <w:position w:val="-4"/>
          <w:sz w:val="24"/>
          <w:szCs w:val="30"/>
        </w:rPr>
        <w:fldChar w:fldCharType="begin"/>
      </w:r>
      <w:r w:rsidR="00E0794C" w:rsidRPr="00E0794C">
        <w:rPr>
          <w:rFonts w:ascii="宋体" w:hAnsi="宋体"/>
          <w:color w:val="000000"/>
          <w:position w:val="-4"/>
          <w:sz w:val="24"/>
          <w:szCs w:val="30"/>
        </w:rPr>
        <w:instrText xml:space="preserve"> TOC \o "1-3" \f - \h \t "-1" </w:instrText>
      </w:r>
      <w:r w:rsidR="00E0794C" w:rsidRPr="00E0794C">
        <w:rPr>
          <w:rFonts w:ascii="宋体" w:hAnsi="宋体"/>
          <w:color w:val="000000"/>
          <w:position w:val="-4"/>
          <w:sz w:val="24"/>
          <w:szCs w:val="30"/>
        </w:rPr>
        <w:fldChar w:fldCharType="separate"/>
      </w:r>
    </w:p>
    <w:p w:rsidR="00E0794C" w:rsidRPr="00E0794C" w:rsidRDefault="00E0794C" w:rsidP="00E0794C">
      <w:pPr>
        <w:pStyle w:val="10"/>
        <w:tabs>
          <w:tab w:val="right" w:leader="dot" w:pos="8550"/>
        </w:tabs>
        <w:spacing w:line="360" w:lineRule="auto"/>
        <w:rPr>
          <w:rFonts w:ascii="宋体" w:hAnsi="宋体" w:cstheme="minorBidi"/>
          <w:noProof/>
          <w:sz w:val="24"/>
        </w:rPr>
      </w:pPr>
      <w:hyperlink w:anchor="_Toc240548777" w:history="1">
        <w:r w:rsidRPr="00E0794C">
          <w:rPr>
            <w:rStyle w:val="aa"/>
            <w:rFonts w:ascii="宋体" w:hAnsi="宋体" w:hint="eastAsia"/>
            <w:noProof/>
            <w:kern w:val="0"/>
            <w:sz w:val="24"/>
          </w:rPr>
          <w:t>重要提示</w:t>
        </w:r>
        <w:r w:rsidRPr="00E0794C">
          <w:rPr>
            <w:rFonts w:ascii="宋体" w:hAnsi="宋体"/>
            <w:noProof/>
            <w:sz w:val="24"/>
          </w:rPr>
          <w:tab/>
        </w:r>
        <w:r w:rsidRPr="00E0794C">
          <w:rPr>
            <w:rFonts w:ascii="宋体" w:hAnsi="宋体"/>
            <w:noProof/>
            <w:sz w:val="24"/>
          </w:rPr>
          <w:fldChar w:fldCharType="begin"/>
        </w:r>
        <w:r w:rsidRPr="00E0794C">
          <w:rPr>
            <w:rFonts w:ascii="宋体" w:hAnsi="宋体"/>
            <w:noProof/>
            <w:sz w:val="24"/>
          </w:rPr>
          <w:instrText xml:space="preserve"> PAGEREF _Toc240548777 \h </w:instrText>
        </w:r>
        <w:r w:rsidRPr="00E0794C">
          <w:rPr>
            <w:rFonts w:ascii="宋体" w:hAnsi="宋体"/>
            <w:noProof/>
            <w:sz w:val="24"/>
          </w:rPr>
        </w:r>
        <w:r w:rsidRPr="00E0794C">
          <w:rPr>
            <w:rFonts w:ascii="宋体" w:hAnsi="宋体"/>
            <w:noProof/>
            <w:sz w:val="24"/>
          </w:rPr>
          <w:fldChar w:fldCharType="separate"/>
        </w:r>
        <w:r w:rsidRPr="00E0794C">
          <w:rPr>
            <w:rFonts w:ascii="宋体" w:hAnsi="宋体"/>
            <w:noProof/>
            <w:sz w:val="24"/>
          </w:rPr>
          <w:t>1</w:t>
        </w:r>
        <w:r w:rsidRPr="00E0794C">
          <w:rPr>
            <w:rFonts w:ascii="宋体" w:hAnsi="宋体"/>
            <w:noProof/>
            <w:sz w:val="24"/>
          </w:rPr>
          <w:fldChar w:fldCharType="end"/>
        </w:r>
      </w:hyperlink>
    </w:p>
    <w:p w:rsidR="00E0794C" w:rsidRPr="00E0794C" w:rsidRDefault="00E0794C" w:rsidP="00E0794C">
      <w:pPr>
        <w:pStyle w:val="10"/>
        <w:tabs>
          <w:tab w:val="right" w:leader="dot" w:pos="8550"/>
        </w:tabs>
        <w:spacing w:line="360" w:lineRule="auto"/>
        <w:rPr>
          <w:rFonts w:ascii="宋体" w:hAnsi="宋体" w:cstheme="minorBidi"/>
          <w:noProof/>
          <w:sz w:val="24"/>
        </w:rPr>
      </w:pPr>
      <w:hyperlink w:anchor="_Toc240548778" w:history="1">
        <w:r w:rsidRPr="00E0794C">
          <w:rPr>
            <w:rStyle w:val="aa"/>
            <w:rFonts w:ascii="宋体" w:hAnsi="宋体" w:hint="eastAsia"/>
            <w:noProof/>
            <w:sz w:val="24"/>
          </w:rPr>
          <w:t>一、绪言</w:t>
        </w:r>
        <w:r w:rsidRPr="00E0794C">
          <w:rPr>
            <w:rFonts w:ascii="宋体" w:hAnsi="宋体"/>
            <w:noProof/>
            <w:sz w:val="24"/>
          </w:rPr>
          <w:tab/>
        </w:r>
        <w:r w:rsidRPr="00E0794C">
          <w:rPr>
            <w:rFonts w:ascii="宋体" w:hAnsi="宋体"/>
            <w:noProof/>
            <w:sz w:val="24"/>
          </w:rPr>
          <w:fldChar w:fldCharType="begin"/>
        </w:r>
        <w:r w:rsidRPr="00E0794C">
          <w:rPr>
            <w:rFonts w:ascii="宋体" w:hAnsi="宋体"/>
            <w:noProof/>
            <w:sz w:val="24"/>
          </w:rPr>
          <w:instrText xml:space="preserve"> PAGEREF _Toc240548778 \h </w:instrText>
        </w:r>
        <w:r w:rsidRPr="00E0794C">
          <w:rPr>
            <w:rFonts w:ascii="宋体" w:hAnsi="宋体"/>
            <w:noProof/>
            <w:sz w:val="24"/>
          </w:rPr>
        </w:r>
        <w:r w:rsidRPr="00E0794C">
          <w:rPr>
            <w:rFonts w:ascii="宋体" w:hAnsi="宋体"/>
            <w:noProof/>
            <w:sz w:val="24"/>
          </w:rPr>
          <w:fldChar w:fldCharType="separate"/>
        </w:r>
        <w:r w:rsidRPr="00E0794C">
          <w:rPr>
            <w:rFonts w:ascii="宋体" w:hAnsi="宋体"/>
            <w:noProof/>
            <w:sz w:val="24"/>
          </w:rPr>
          <w:t>4</w:t>
        </w:r>
        <w:r w:rsidRPr="00E0794C">
          <w:rPr>
            <w:rFonts w:ascii="宋体" w:hAnsi="宋体"/>
            <w:noProof/>
            <w:sz w:val="24"/>
          </w:rPr>
          <w:fldChar w:fldCharType="end"/>
        </w:r>
      </w:hyperlink>
    </w:p>
    <w:p w:rsidR="00E0794C" w:rsidRPr="00E0794C" w:rsidRDefault="00E0794C" w:rsidP="00E0794C">
      <w:pPr>
        <w:pStyle w:val="10"/>
        <w:tabs>
          <w:tab w:val="right" w:leader="dot" w:pos="8550"/>
        </w:tabs>
        <w:spacing w:line="360" w:lineRule="auto"/>
        <w:rPr>
          <w:rFonts w:ascii="宋体" w:hAnsi="宋体" w:cstheme="minorBidi"/>
          <w:noProof/>
          <w:sz w:val="24"/>
        </w:rPr>
      </w:pPr>
      <w:hyperlink w:anchor="_Toc240548779" w:history="1">
        <w:r w:rsidRPr="00E0794C">
          <w:rPr>
            <w:rStyle w:val="aa"/>
            <w:rFonts w:ascii="宋体" w:hAnsi="宋体" w:hint="eastAsia"/>
            <w:noProof/>
            <w:sz w:val="24"/>
          </w:rPr>
          <w:t>二、释义</w:t>
        </w:r>
        <w:r w:rsidRPr="00E0794C">
          <w:rPr>
            <w:rFonts w:ascii="宋体" w:hAnsi="宋体"/>
            <w:noProof/>
            <w:sz w:val="24"/>
          </w:rPr>
          <w:tab/>
        </w:r>
        <w:r w:rsidRPr="00E0794C">
          <w:rPr>
            <w:rFonts w:ascii="宋体" w:hAnsi="宋体"/>
            <w:noProof/>
            <w:sz w:val="24"/>
          </w:rPr>
          <w:fldChar w:fldCharType="begin"/>
        </w:r>
        <w:r w:rsidRPr="00E0794C">
          <w:rPr>
            <w:rFonts w:ascii="宋体" w:hAnsi="宋体"/>
            <w:noProof/>
            <w:sz w:val="24"/>
          </w:rPr>
          <w:instrText xml:space="preserve"> PAGEREF _Toc240548779 \h </w:instrText>
        </w:r>
        <w:r w:rsidRPr="00E0794C">
          <w:rPr>
            <w:rFonts w:ascii="宋体" w:hAnsi="宋体"/>
            <w:noProof/>
            <w:sz w:val="24"/>
          </w:rPr>
        </w:r>
        <w:r w:rsidRPr="00E0794C">
          <w:rPr>
            <w:rFonts w:ascii="宋体" w:hAnsi="宋体"/>
            <w:noProof/>
            <w:sz w:val="24"/>
          </w:rPr>
          <w:fldChar w:fldCharType="separate"/>
        </w:r>
        <w:r w:rsidRPr="00E0794C">
          <w:rPr>
            <w:rFonts w:ascii="宋体" w:hAnsi="宋体"/>
            <w:noProof/>
            <w:sz w:val="24"/>
          </w:rPr>
          <w:t>5</w:t>
        </w:r>
        <w:r w:rsidRPr="00E0794C">
          <w:rPr>
            <w:rFonts w:ascii="宋体" w:hAnsi="宋体"/>
            <w:noProof/>
            <w:sz w:val="24"/>
          </w:rPr>
          <w:fldChar w:fldCharType="end"/>
        </w:r>
      </w:hyperlink>
    </w:p>
    <w:p w:rsidR="00E0794C" w:rsidRPr="00E0794C" w:rsidRDefault="00E0794C" w:rsidP="00E0794C">
      <w:pPr>
        <w:pStyle w:val="10"/>
        <w:tabs>
          <w:tab w:val="right" w:leader="dot" w:pos="8550"/>
        </w:tabs>
        <w:spacing w:line="360" w:lineRule="auto"/>
        <w:rPr>
          <w:rFonts w:ascii="宋体" w:hAnsi="宋体" w:cstheme="minorBidi"/>
          <w:noProof/>
          <w:sz w:val="24"/>
        </w:rPr>
      </w:pPr>
      <w:hyperlink w:anchor="_Toc240548780" w:history="1">
        <w:r w:rsidRPr="00E0794C">
          <w:rPr>
            <w:rStyle w:val="aa"/>
            <w:rFonts w:ascii="宋体" w:hAnsi="宋体" w:hint="eastAsia"/>
            <w:noProof/>
            <w:sz w:val="24"/>
          </w:rPr>
          <w:t>三、基金管理人</w:t>
        </w:r>
        <w:r w:rsidRPr="00E0794C">
          <w:rPr>
            <w:rFonts w:ascii="宋体" w:hAnsi="宋体"/>
            <w:noProof/>
            <w:sz w:val="24"/>
          </w:rPr>
          <w:tab/>
        </w:r>
        <w:r w:rsidRPr="00E0794C">
          <w:rPr>
            <w:rFonts w:ascii="宋体" w:hAnsi="宋体"/>
            <w:noProof/>
            <w:sz w:val="24"/>
          </w:rPr>
          <w:fldChar w:fldCharType="begin"/>
        </w:r>
        <w:r w:rsidRPr="00E0794C">
          <w:rPr>
            <w:rFonts w:ascii="宋体" w:hAnsi="宋体"/>
            <w:noProof/>
            <w:sz w:val="24"/>
          </w:rPr>
          <w:instrText xml:space="preserve"> PAGEREF _Toc240548780 \h </w:instrText>
        </w:r>
        <w:r w:rsidRPr="00E0794C">
          <w:rPr>
            <w:rFonts w:ascii="宋体" w:hAnsi="宋体"/>
            <w:noProof/>
            <w:sz w:val="24"/>
          </w:rPr>
        </w:r>
        <w:r w:rsidRPr="00E0794C">
          <w:rPr>
            <w:rFonts w:ascii="宋体" w:hAnsi="宋体"/>
            <w:noProof/>
            <w:sz w:val="24"/>
          </w:rPr>
          <w:fldChar w:fldCharType="separate"/>
        </w:r>
        <w:r w:rsidRPr="00E0794C">
          <w:rPr>
            <w:rFonts w:ascii="宋体" w:hAnsi="宋体"/>
            <w:noProof/>
            <w:sz w:val="24"/>
          </w:rPr>
          <w:t>10</w:t>
        </w:r>
        <w:r w:rsidRPr="00E0794C">
          <w:rPr>
            <w:rFonts w:ascii="宋体" w:hAnsi="宋体"/>
            <w:noProof/>
            <w:sz w:val="24"/>
          </w:rPr>
          <w:fldChar w:fldCharType="end"/>
        </w:r>
      </w:hyperlink>
    </w:p>
    <w:p w:rsidR="00E0794C" w:rsidRPr="00E0794C" w:rsidRDefault="00E0794C" w:rsidP="00E0794C">
      <w:pPr>
        <w:pStyle w:val="10"/>
        <w:tabs>
          <w:tab w:val="right" w:leader="dot" w:pos="8550"/>
        </w:tabs>
        <w:spacing w:line="360" w:lineRule="auto"/>
        <w:rPr>
          <w:rFonts w:ascii="宋体" w:hAnsi="宋体" w:cstheme="minorBidi"/>
          <w:noProof/>
          <w:sz w:val="24"/>
        </w:rPr>
      </w:pPr>
      <w:hyperlink w:anchor="_Toc240548781" w:history="1">
        <w:r w:rsidRPr="00E0794C">
          <w:rPr>
            <w:rStyle w:val="aa"/>
            <w:rFonts w:ascii="宋体" w:hAnsi="宋体" w:hint="eastAsia"/>
            <w:noProof/>
            <w:sz w:val="24"/>
          </w:rPr>
          <w:t>四、基金托管人</w:t>
        </w:r>
        <w:r w:rsidRPr="00E0794C">
          <w:rPr>
            <w:rFonts w:ascii="宋体" w:hAnsi="宋体"/>
            <w:noProof/>
            <w:sz w:val="24"/>
          </w:rPr>
          <w:tab/>
        </w:r>
        <w:r w:rsidRPr="00E0794C">
          <w:rPr>
            <w:rFonts w:ascii="宋体" w:hAnsi="宋体"/>
            <w:noProof/>
            <w:sz w:val="24"/>
          </w:rPr>
          <w:fldChar w:fldCharType="begin"/>
        </w:r>
        <w:r w:rsidRPr="00E0794C">
          <w:rPr>
            <w:rFonts w:ascii="宋体" w:hAnsi="宋体"/>
            <w:noProof/>
            <w:sz w:val="24"/>
          </w:rPr>
          <w:instrText xml:space="preserve"> PAGEREF _Toc240548781 \h </w:instrText>
        </w:r>
        <w:r w:rsidRPr="00E0794C">
          <w:rPr>
            <w:rFonts w:ascii="宋体" w:hAnsi="宋体"/>
            <w:noProof/>
            <w:sz w:val="24"/>
          </w:rPr>
        </w:r>
        <w:r w:rsidRPr="00E0794C">
          <w:rPr>
            <w:rFonts w:ascii="宋体" w:hAnsi="宋体"/>
            <w:noProof/>
            <w:sz w:val="24"/>
          </w:rPr>
          <w:fldChar w:fldCharType="separate"/>
        </w:r>
        <w:r w:rsidRPr="00E0794C">
          <w:rPr>
            <w:rFonts w:ascii="宋体" w:hAnsi="宋体"/>
            <w:noProof/>
            <w:sz w:val="24"/>
          </w:rPr>
          <w:t>17</w:t>
        </w:r>
        <w:r w:rsidRPr="00E0794C">
          <w:rPr>
            <w:rFonts w:ascii="宋体" w:hAnsi="宋体"/>
            <w:noProof/>
            <w:sz w:val="24"/>
          </w:rPr>
          <w:fldChar w:fldCharType="end"/>
        </w:r>
      </w:hyperlink>
    </w:p>
    <w:p w:rsidR="00E0794C" w:rsidRPr="00E0794C" w:rsidRDefault="00E0794C" w:rsidP="00E0794C">
      <w:pPr>
        <w:pStyle w:val="10"/>
        <w:tabs>
          <w:tab w:val="right" w:leader="dot" w:pos="8550"/>
        </w:tabs>
        <w:spacing w:line="360" w:lineRule="auto"/>
        <w:rPr>
          <w:rFonts w:ascii="宋体" w:hAnsi="宋体" w:cstheme="minorBidi"/>
          <w:noProof/>
          <w:sz w:val="24"/>
        </w:rPr>
      </w:pPr>
      <w:hyperlink w:anchor="_Toc240548782" w:history="1">
        <w:r w:rsidRPr="00E0794C">
          <w:rPr>
            <w:rStyle w:val="aa"/>
            <w:rFonts w:ascii="宋体" w:hAnsi="宋体" w:hint="eastAsia"/>
            <w:noProof/>
            <w:sz w:val="24"/>
          </w:rPr>
          <w:t>五、相关服务机构</w:t>
        </w:r>
        <w:r w:rsidRPr="00E0794C">
          <w:rPr>
            <w:rFonts w:ascii="宋体" w:hAnsi="宋体"/>
            <w:noProof/>
            <w:sz w:val="24"/>
          </w:rPr>
          <w:tab/>
        </w:r>
        <w:r w:rsidRPr="00E0794C">
          <w:rPr>
            <w:rFonts w:ascii="宋体" w:hAnsi="宋体"/>
            <w:noProof/>
            <w:sz w:val="24"/>
          </w:rPr>
          <w:fldChar w:fldCharType="begin"/>
        </w:r>
        <w:r w:rsidRPr="00E0794C">
          <w:rPr>
            <w:rFonts w:ascii="宋体" w:hAnsi="宋体"/>
            <w:noProof/>
            <w:sz w:val="24"/>
          </w:rPr>
          <w:instrText xml:space="preserve"> PAGEREF _Toc240548782 \h </w:instrText>
        </w:r>
        <w:r w:rsidRPr="00E0794C">
          <w:rPr>
            <w:rFonts w:ascii="宋体" w:hAnsi="宋体"/>
            <w:noProof/>
            <w:sz w:val="24"/>
          </w:rPr>
        </w:r>
        <w:r w:rsidRPr="00E0794C">
          <w:rPr>
            <w:rFonts w:ascii="宋体" w:hAnsi="宋体"/>
            <w:noProof/>
            <w:sz w:val="24"/>
          </w:rPr>
          <w:fldChar w:fldCharType="separate"/>
        </w:r>
        <w:r w:rsidRPr="00E0794C">
          <w:rPr>
            <w:rFonts w:ascii="宋体" w:hAnsi="宋体"/>
            <w:noProof/>
            <w:sz w:val="24"/>
          </w:rPr>
          <w:t>20</w:t>
        </w:r>
        <w:r w:rsidRPr="00E0794C">
          <w:rPr>
            <w:rFonts w:ascii="宋体" w:hAnsi="宋体"/>
            <w:noProof/>
            <w:sz w:val="24"/>
          </w:rPr>
          <w:fldChar w:fldCharType="end"/>
        </w:r>
      </w:hyperlink>
    </w:p>
    <w:p w:rsidR="00E0794C" w:rsidRPr="00E0794C" w:rsidRDefault="00E0794C" w:rsidP="00E0794C">
      <w:pPr>
        <w:pStyle w:val="10"/>
        <w:tabs>
          <w:tab w:val="right" w:leader="dot" w:pos="8550"/>
        </w:tabs>
        <w:spacing w:line="360" w:lineRule="auto"/>
        <w:rPr>
          <w:rFonts w:ascii="宋体" w:hAnsi="宋体" w:cstheme="minorBidi"/>
          <w:noProof/>
          <w:sz w:val="24"/>
        </w:rPr>
      </w:pPr>
      <w:hyperlink w:anchor="_Toc240548783" w:history="1">
        <w:r w:rsidRPr="00E0794C">
          <w:rPr>
            <w:rStyle w:val="aa"/>
            <w:rFonts w:ascii="宋体" w:hAnsi="宋体" w:hint="eastAsia"/>
            <w:noProof/>
            <w:sz w:val="24"/>
          </w:rPr>
          <w:t>六、基金的募集</w:t>
        </w:r>
        <w:r w:rsidRPr="00E0794C">
          <w:rPr>
            <w:rFonts w:ascii="宋体" w:hAnsi="宋体"/>
            <w:noProof/>
            <w:sz w:val="24"/>
          </w:rPr>
          <w:tab/>
        </w:r>
        <w:r w:rsidRPr="00E0794C">
          <w:rPr>
            <w:rFonts w:ascii="宋体" w:hAnsi="宋体"/>
            <w:noProof/>
            <w:sz w:val="24"/>
          </w:rPr>
          <w:fldChar w:fldCharType="begin"/>
        </w:r>
        <w:r w:rsidRPr="00E0794C">
          <w:rPr>
            <w:rFonts w:ascii="宋体" w:hAnsi="宋体"/>
            <w:noProof/>
            <w:sz w:val="24"/>
          </w:rPr>
          <w:instrText xml:space="preserve"> PAGEREF _Toc240548783 \h </w:instrText>
        </w:r>
        <w:r w:rsidRPr="00E0794C">
          <w:rPr>
            <w:rFonts w:ascii="宋体" w:hAnsi="宋体"/>
            <w:noProof/>
            <w:sz w:val="24"/>
          </w:rPr>
        </w:r>
        <w:r w:rsidRPr="00E0794C">
          <w:rPr>
            <w:rFonts w:ascii="宋体" w:hAnsi="宋体"/>
            <w:noProof/>
            <w:sz w:val="24"/>
          </w:rPr>
          <w:fldChar w:fldCharType="separate"/>
        </w:r>
        <w:r w:rsidRPr="00E0794C">
          <w:rPr>
            <w:rFonts w:ascii="宋体" w:hAnsi="宋体"/>
            <w:noProof/>
            <w:sz w:val="24"/>
          </w:rPr>
          <w:t>32</w:t>
        </w:r>
        <w:r w:rsidRPr="00E0794C">
          <w:rPr>
            <w:rFonts w:ascii="宋体" w:hAnsi="宋体"/>
            <w:noProof/>
            <w:sz w:val="24"/>
          </w:rPr>
          <w:fldChar w:fldCharType="end"/>
        </w:r>
      </w:hyperlink>
    </w:p>
    <w:p w:rsidR="00E0794C" w:rsidRPr="00E0794C" w:rsidRDefault="00E0794C" w:rsidP="00E0794C">
      <w:pPr>
        <w:pStyle w:val="10"/>
        <w:tabs>
          <w:tab w:val="right" w:leader="dot" w:pos="8550"/>
        </w:tabs>
        <w:spacing w:line="360" w:lineRule="auto"/>
        <w:rPr>
          <w:rFonts w:ascii="宋体" w:hAnsi="宋体" w:cstheme="minorBidi"/>
          <w:noProof/>
          <w:sz w:val="24"/>
        </w:rPr>
      </w:pPr>
      <w:hyperlink w:anchor="_Toc240548784" w:history="1">
        <w:r w:rsidRPr="00E0794C">
          <w:rPr>
            <w:rStyle w:val="aa"/>
            <w:rFonts w:ascii="宋体" w:hAnsi="宋体" w:hint="eastAsia"/>
            <w:noProof/>
            <w:sz w:val="24"/>
          </w:rPr>
          <w:t>七、基金合同的生效</w:t>
        </w:r>
        <w:r w:rsidRPr="00E0794C">
          <w:rPr>
            <w:rFonts w:ascii="宋体" w:hAnsi="宋体"/>
            <w:noProof/>
            <w:sz w:val="24"/>
          </w:rPr>
          <w:tab/>
        </w:r>
        <w:r w:rsidRPr="00E0794C">
          <w:rPr>
            <w:rFonts w:ascii="宋体" w:hAnsi="宋体"/>
            <w:noProof/>
            <w:sz w:val="24"/>
          </w:rPr>
          <w:fldChar w:fldCharType="begin"/>
        </w:r>
        <w:r w:rsidRPr="00E0794C">
          <w:rPr>
            <w:rFonts w:ascii="宋体" w:hAnsi="宋体"/>
            <w:noProof/>
            <w:sz w:val="24"/>
          </w:rPr>
          <w:instrText xml:space="preserve"> PAGEREF _Toc240548784 \h </w:instrText>
        </w:r>
        <w:r w:rsidRPr="00E0794C">
          <w:rPr>
            <w:rFonts w:ascii="宋体" w:hAnsi="宋体"/>
            <w:noProof/>
            <w:sz w:val="24"/>
          </w:rPr>
        </w:r>
        <w:r w:rsidRPr="00E0794C">
          <w:rPr>
            <w:rFonts w:ascii="宋体" w:hAnsi="宋体"/>
            <w:noProof/>
            <w:sz w:val="24"/>
          </w:rPr>
          <w:fldChar w:fldCharType="separate"/>
        </w:r>
        <w:r w:rsidRPr="00E0794C">
          <w:rPr>
            <w:rFonts w:ascii="宋体" w:hAnsi="宋体"/>
            <w:noProof/>
            <w:sz w:val="24"/>
          </w:rPr>
          <w:t>33</w:t>
        </w:r>
        <w:r w:rsidRPr="00E0794C">
          <w:rPr>
            <w:rFonts w:ascii="宋体" w:hAnsi="宋体"/>
            <w:noProof/>
            <w:sz w:val="24"/>
          </w:rPr>
          <w:fldChar w:fldCharType="end"/>
        </w:r>
      </w:hyperlink>
    </w:p>
    <w:p w:rsidR="00E0794C" w:rsidRPr="00E0794C" w:rsidRDefault="00E0794C" w:rsidP="00E0794C">
      <w:pPr>
        <w:pStyle w:val="10"/>
        <w:tabs>
          <w:tab w:val="right" w:leader="dot" w:pos="8550"/>
        </w:tabs>
        <w:spacing w:line="360" w:lineRule="auto"/>
        <w:rPr>
          <w:rFonts w:ascii="宋体" w:hAnsi="宋体" w:cstheme="minorBidi"/>
          <w:noProof/>
          <w:sz w:val="24"/>
        </w:rPr>
      </w:pPr>
      <w:hyperlink w:anchor="_Toc240548785" w:history="1">
        <w:r w:rsidRPr="00E0794C">
          <w:rPr>
            <w:rStyle w:val="aa"/>
            <w:rFonts w:ascii="宋体" w:hAnsi="宋体" w:hint="eastAsia"/>
            <w:noProof/>
            <w:sz w:val="24"/>
          </w:rPr>
          <w:t>八、基金份额的申购与赎回</w:t>
        </w:r>
        <w:r w:rsidRPr="00E0794C">
          <w:rPr>
            <w:rFonts w:ascii="宋体" w:hAnsi="宋体"/>
            <w:noProof/>
            <w:sz w:val="24"/>
          </w:rPr>
          <w:tab/>
        </w:r>
        <w:r w:rsidRPr="00E0794C">
          <w:rPr>
            <w:rFonts w:ascii="宋体" w:hAnsi="宋体"/>
            <w:noProof/>
            <w:sz w:val="24"/>
          </w:rPr>
          <w:fldChar w:fldCharType="begin"/>
        </w:r>
        <w:r w:rsidRPr="00E0794C">
          <w:rPr>
            <w:rFonts w:ascii="宋体" w:hAnsi="宋体"/>
            <w:noProof/>
            <w:sz w:val="24"/>
          </w:rPr>
          <w:instrText xml:space="preserve"> PAGEREF _Toc240548785 \h </w:instrText>
        </w:r>
        <w:r w:rsidRPr="00E0794C">
          <w:rPr>
            <w:rFonts w:ascii="宋体" w:hAnsi="宋体"/>
            <w:noProof/>
            <w:sz w:val="24"/>
          </w:rPr>
        </w:r>
        <w:r w:rsidRPr="00E0794C">
          <w:rPr>
            <w:rFonts w:ascii="宋体" w:hAnsi="宋体"/>
            <w:noProof/>
            <w:sz w:val="24"/>
          </w:rPr>
          <w:fldChar w:fldCharType="separate"/>
        </w:r>
        <w:r w:rsidRPr="00E0794C">
          <w:rPr>
            <w:rFonts w:ascii="宋体" w:hAnsi="宋体"/>
            <w:noProof/>
            <w:sz w:val="24"/>
          </w:rPr>
          <w:t>34</w:t>
        </w:r>
        <w:r w:rsidRPr="00E0794C">
          <w:rPr>
            <w:rFonts w:ascii="宋体" w:hAnsi="宋体"/>
            <w:noProof/>
            <w:sz w:val="24"/>
          </w:rPr>
          <w:fldChar w:fldCharType="end"/>
        </w:r>
      </w:hyperlink>
    </w:p>
    <w:p w:rsidR="00E0794C" w:rsidRPr="00E0794C" w:rsidRDefault="00E0794C" w:rsidP="00E0794C">
      <w:pPr>
        <w:pStyle w:val="10"/>
        <w:tabs>
          <w:tab w:val="right" w:leader="dot" w:pos="8550"/>
        </w:tabs>
        <w:spacing w:line="360" w:lineRule="auto"/>
        <w:rPr>
          <w:rFonts w:ascii="宋体" w:hAnsi="宋体" w:cstheme="minorBidi"/>
          <w:noProof/>
          <w:sz w:val="24"/>
        </w:rPr>
      </w:pPr>
      <w:hyperlink w:anchor="_Toc240548786" w:history="1">
        <w:r w:rsidRPr="00E0794C">
          <w:rPr>
            <w:rStyle w:val="aa"/>
            <w:rFonts w:ascii="宋体" w:hAnsi="宋体" w:hint="eastAsia"/>
            <w:noProof/>
            <w:sz w:val="24"/>
          </w:rPr>
          <w:t>九、基金的投资</w:t>
        </w:r>
        <w:r w:rsidRPr="00E0794C">
          <w:rPr>
            <w:rFonts w:ascii="宋体" w:hAnsi="宋体"/>
            <w:noProof/>
            <w:sz w:val="24"/>
          </w:rPr>
          <w:tab/>
        </w:r>
        <w:r w:rsidRPr="00E0794C">
          <w:rPr>
            <w:rFonts w:ascii="宋体" w:hAnsi="宋体"/>
            <w:noProof/>
            <w:sz w:val="24"/>
          </w:rPr>
          <w:fldChar w:fldCharType="begin"/>
        </w:r>
        <w:r w:rsidRPr="00E0794C">
          <w:rPr>
            <w:rFonts w:ascii="宋体" w:hAnsi="宋体"/>
            <w:noProof/>
            <w:sz w:val="24"/>
          </w:rPr>
          <w:instrText xml:space="preserve"> PAGEREF _Toc240548786 \h </w:instrText>
        </w:r>
        <w:r w:rsidRPr="00E0794C">
          <w:rPr>
            <w:rFonts w:ascii="宋体" w:hAnsi="宋体"/>
            <w:noProof/>
            <w:sz w:val="24"/>
          </w:rPr>
        </w:r>
        <w:r w:rsidRPr="00E0794C">
          <w:rPr>
            <w:rFonts w:ascii="宋体" w:hAnsi="宋体"/>
            <w:noProof/>
            <w:sz w:val="24"/>
          </w:rPr>
          <w:fldChar w:fldCharType="separate"/>
        </w:r>
        <w:r w:rsidRPr="00E0794C">
          <w:rPr>
            <w:rFonts w:ascii="宋体" w:hAnsi="宋体"/>
            <w:noProof/>
            <w:sz w:val="24"/>
          </w:rPr>
          <w:t>47</w:t>
        </w:r>
        <w:r w:rsidRPr="00E0794C">
          <w:rPr>
            <w:rFonts w:ascii="宋体" w:hAnsi="宋体"/>
            <w:noProof/>
            <w:sz w:val="24"/>
          </w:rPr>
          <w:fldChar w:fldCharType="end"/>
        </w:r>
      </w:hyperlink>
    </w:p>
    <w:p w:rsidR="00E0794C" w:rsidRPr="00E0794C" w:rsidRDefault="00E0794C" w:rsidP="00E0794C">
      <w:pPr>
        <w:pStyle w:val="10"/>
        <w:tabs>
          <w:tab w:val="right" w:leader="dot" w:pos="8550"/>
        </w:tabs>
        <w:spacing w:line="360" w:lineRule="auto"/>
        <w:rPr>
          <w:rFonts w:ascii="宋体" w:hAnsi="宋体" w:cstheme="minorBidi"/>
          <w:noProof/>
          <w:sz w:val="24"/>
        </w:rPr>
      </w:pPr>
      <w:hyperlink w:anchor="_Toc240548787" w:history="1">
        <w:r w:rsidRPr="00E0794C">
          <w:rPr>
            <w:rStyle w:val="aa"/>
            <w:rFonts w:ascii="宋体" w:hAnsi="宋体" w:hint="eastAsia"/>
            <w:noProof/>
            <w:sz w:val="24"/>
          </w:rPr>
          <w:t>十、基金的业绩</w:t>
        </w:r>
        <w:r w:rsidRPr="00E0794C">
          <w:rPr>
            <w:rFonts w:ascii="宋体" w:hAnsi="宋体"/>
            <w:noProof/>
            <w:sz w:val="24"/>
          </w:rPr>
          <w:tab/>
        </w:r>
        <w:r w:rsidRPr="00E0794C">
          <w:rPr>
            <w:rFonts w:ascii="宋体" w:hAnsi="宋体"/>
            <w:noProof/>
            <w:sz w:val="24"/>
          </w:rPr>
          <w:fldChar w:fldCharType="begin"/>
        </w:r>
        <w:r w:rsidRPr="00E0794C">
          <w:rPr>
            <w:rFonts w:ascii="宋体" w:hAnsi="宋体"/>
            <w:noProof/>
            <w:sz w:val="24"/>
          </w:rPr>
          <w:instrText xml:space="preserve"> PAGEREF _Toc240548787 \h </w:instrText>
        </w:r>
        <w:r w:rsidRPr="00E0794C">
          <w:rPr>
            <w:rFonts w:ascii="宋体" w:hAnsi="宋体"/>
            <w:noProof/>
            <w:sz w:val="24"/>
          </w:rPr>
        </w:r>
        <w:r w:rsidRPr="00E0794C">
          <w:rPr>
            <w:rFonts w:ascii="宋体" w:hAnsi="宋体"/>
            <w:noProof/>
            <w:sz w:val="24"/>
          </w:rPr>
          <w:fldChar w:fldCharType="separate"/>
        </w:r>
        <w:r w:rsidRPr="00E0794C">
          <w:rPr>
            <w:rFonts w:ascii="宋体" w:hAnsi="宋体"/>
            <w:noProof/>
            <w:sz w:val="24"/>
          </w:rPr>
          <w:t>59</w:t>
        </w:r>
        <w:r w:rsidRPr="00E0794C">
          <w:rPr>
            <w:rFonts w:ascii="宋体" w:hAnsi="宋体"/>
            <w:noProof/>
            <w:sz w:val="24"/>
          </w:rPr>
          <w:fldChar w:fldCharType="end"/>
        </w:r>
      </w:hyperlink>
    </w:p>
    <w:p w:rsidR="00E0794C" w:rsidRPr="00E0794C" w:rsidRDefault="00E0794C" w:rsidP="00E0794C">
      <w:pPr>
        <w:pStyle w:val="10"/>
        <w:tabs>
          <w:tab w:val="right" w:leader="dot" w:pos="8550"/>
        </w:tabs>
        <w:spacing w:line="360" w:lineRule="auto"/>
        <w:rPr>
          <w:rFonts w:ascii="宋体" w:hAnsi="宋体" w:cstheme="minorBidi"/>
          <w:noProof/>
          <w:sz w:val="24"/>
        </w:rPr>
      </w:pPr>
      <w:hyperlink w:anchor="_Toc240548788" w:history="1">
        <w:r w:rsidRPr="00E0794C">
          <w:rPr>
            <w:rStyle w:val="aa"/>
            <w:rFonts w:ascii="宋体" w:hAnsi="宋体" w:hint="eastAsia"/>
            <w:noProof/>
            <w:sz w:val="24"/>
          </w:rPr>
          <w:t>十一、基金的财产</w:t>
        </w:r>
        <w:r w:rsidRPr="00E0794C">
          <w:rPr>
            <w:rFonts w:ascii="宋体" w:hAnsi="宋体"/>
            <w:noProof/>
            <w:sz w:val="24"/>
          </w:rPr>
          <w:tab/>
        </w:r>
        <w:r w:rsidRPr="00E0794C">
          <w:rPr>
            <w:rFonts w:ascii="宋体" w:hAnsi="宋体"/>
            <w:noProof/>
            <w:sz w:val="24"/>
          </w:rPr>
          <w:fldChar w:fldCharType="begin"/>
        </w:r>
        <w:r w:rsidRPr="00E0794C">
          <w:rPr>
            <w:rFonts w:ascii="宋体" w:hAnsi="宋体"/>
            <w:noProof/>
            <w:sz w:val="24"/>
          </w:rPr>
          <w:instrText xml:space="preserve"> PAGEREF _Toc240548788 \h </w:instrText>
        </w:r>
        <w:r w:rsidRPr="00E0794C">
          <w:rPr>
            <w:rFonts w:ascii="宋体" w:hAnsi="宋体"/>
            <w:noProof/>
            <w:sz w:val="24"/>
          </w:rPr>
        </w:r>
        <w:r w:rsidRPr="00E0794C">
          <w:rPr>
            <w:rFonts w:ascii="宋体" w:hAnsi="宋体"/>
            <w:noProof/>
            <w:sz w:val="24"/>
          </w:rPr>
          <w:fldChar w:fldCharType="separate"/>
        </w:r>
        <w:r w:rsidRPr="00E0794C">
          <w:rPr>
            <w:rFonts w:ascii="宋体" w:hAnsi="宋体"/>
            <w:noProof/>
            <w:sz w:val="24"/>
          </w:rPr>
          <w:t>62</w:t>
        </w:r>
        <w:r w:rsidRPr="00E0794C">
          <w:rPr>
            <w:rFonts w:ascii="宋体" w:hAnsi="宋体"/>
            <w:noProof/>
            <w:sz w:val="24"/>
          </w:rPr>
          <w:fldChar w:fldCharType="end"/>
        </w:r>
      </w:hyperlink>
    </w:p>
    <w:p w:rsidR="00E0794C" w:rsidRPr="00E0794C" w:rsidRDefault="00E0794C" w:rsidP="00E0794C">
      <w:pPr>
        <w:pStyle w:val="10"/>
        <w:tabs>
          <w:tab w:val="right" w:leader="dot" w:pos="8550"/>
        </w:tabs>
        <w:spacing w:line="360" w:lineRule="auto"/>
        <w:rPr>
          <w:rFonts w:ascii="宋体" w:hAnsi="宋体" w:cstheme="minorBidi"/>
          <w:noProof/>
          <w:sz w:val="24"/>
        </w:rPr>
      </w:pPr>
      <w:hyperlink w:anchor="_Toc240548789" w:history="1">
        <w:r w:rsidRPr="00E0794C">
          <w:rPr>
            <w:rStyle w:val="aa"/>
            <w:rFonts w:ascii="宋体" w:hAnsi="宋体" w:hint="eastAsia"/>
            <w:noProof/>
            <w:sz w:val="24"/>
          </w:rPr>
          <w:t>十二、基金资产的估值</w:t>
        </w:r>
        <w:r w:rsidRPr="00E0794C">
          <w:rPr>
            <w:rFonts w:ascii="宋体" w:hAnsi="宋体"/>
            <w:noProof/>
            <w:sz w:val="24"/>
          </w:rPr>
          <w:tab/>
        </w:r>
        <w:r w:rsidRPr="00E0794C">
          <w:rPr>
            <w:rFonts w:ascii="宋体" w:hAnsi="宋体"/>
            <w:noProof/>
            <w:sz w:val="24"/>
          </w:rPr>
          <w:fldChar w:fldCharType="begin"/>
        </w:r>
        <w:r w:rsidRPr="00E0794C">
          <w:rPr>
            <w:rFonts w:ascii="宋体" w:hAnsi="宋体"/>
            <w:noProof/>
            <w:sz w:val="24"/>
          </w:rPr>
          <w:instrText xml:space="preserve"> PAGEREF _Toc240548789 \h </w:instrText>
        </w:r>
        <w:r w:rsidRPr="00E0794C">
          <w:rPr>
            <w:rFonts w:ascii="宋体" w:hAnsi="宋体"/>
            <w:noProof/>
            <w:sz w:val="24"/>
          </w:rPr>
        </w:r>
        <w:r w:rsidRPr="00E0794C">
          <w:rPr>
            <w:rFonts w:ascii="宋体" w:hAnsi="宋体"/>
            <w:noProof/>
            <w:sz w:val="24"/>
          </w:rPr>
          <w:fldChar w:fldCharType="separate"/>
        </w:r>
        <w:r w:rsidRPr="00E0794C">
          <w:rPr>
            <w:rFonts w:ascii="宋体" w:hAnsi="宋体"/>
            <w:noProof/>
            <w:sz w:val="24"/>
          </w:rPr>
          <w:t>63</w:t>
        </w:r>
        <w:r w:rsidRPr="00E0794C">
          <w:rPr>
            <w:rFonts w:ascii="宋体" w:hAnsi="宋体"/>
            <w:noProof/>
            <w:sz w:val="24"/>
          </w:rPr>
          <w:fldChar w:fldCharType="end"/>
        </w:r>
      </w:hyperlink>
    </w:p>
    <w:p w:rsidR="00E0794C" w:rsidRPr="00E0794C" w:rsidRDefault="00E0794C" w:rsidP="00E0794C">
      <w:pPr>
        <w:pStyle w:val="10"/>
        <w:tabs>
          <w:tab w:val="right" w:leader="dot" w:pos="8550"/>
        </w:tabs>
        <w:spacing w:line="360" w:lineRule="auto"/>
        <w:rPr>
          <w:rFonts w:ascii="宋体" w:hAnsi="宋体" w:cstheme="minorBidi"/>
          <w:noProof/>
          <w:sz w:val="24"/>
        </w:rPr>
      </w:pPr>
      <w:hyperlink w:anchor="_Toc240548790" w:history="1">
        <w:r w:rsidRPr="00E0794C">
          <w:rPr>
            <w:rStyle w:val="aa"/>
            <w:rFonts w:ascii="宋体" w:hAnsi="宋体" w:hint="eastAsia"/>
            <w:noProof/>
            <w:sz w:val="24"/>
          </w:rPr>
          <w:t>十三、基金收益与分配</w:t>
        </w:r>
        <w:r w:rsidRPr="00E0794C">
          <w:rPr>
            <w:rFonts w:ascii="宋体" w:hAnsi="宋体"/>
            <w:noProof/>
            <w:sz w:val="24"/>
          </w:rPr>
          <w:tab/>
        </w:r>
        <w:r w:rsidRPr="00E0794C">
          <w:rPr>
            <w:rFonts w:ascii="宋体" w:hAnsi="宋体"/>
            <w:noProof/>
            <w:sz w:val="24"/>
          </w:rPr>
          <w:fldChar w:fldCharType="begin"/>
        </w:r>
        <w:r w:rsidRPr="00E0794C">
          <w:rPr>
            <w:rFonts w:ascii="宋体" w:hAnsi="宋体"/>
            <w:noProof/>
            <w:sz w:val="24"/>
          </w:rPr>
          <w:instrText xml:space="preserve"> PAGEREF _Toc240548790 \h </w:instrText>
        </w:r>
        <w:r w:rsidRPr="00E0794C">
          <w:rPr>
            <w:rFonts w:ascii="宋体" w:hAnsi="宋体"/>
            <w:noProof/>
            <w:sz w:val="24"/>
          </w:rPr>
        </w:r>
        <w:r w:rsidRPr="00E0794C">
          <w:rPr>
            <w:rFonts w:ascii="宋体" w:hAnsi="宋体"/>
            <w:noProof/>
            <w:sz w:val="24"/>
          </w:rPr>
          <w:fldChar w:fldCharType="separate"/>
        </w:r>
        <w:r w:rsidRPr="00E0794C">
          <w:rPr>
            <w:rFonts w:ascii="宋体" w:hAnsi="宋体"/>
            <w:noProof/>
            <w:sz w:val="24"/>
          </w:rPr>
          <w:t>69</w:t>
        </w:r>
        <w:r w:rsidRPr="00E0794C">
          <w:rPr>
            <w:rFonts w:ascii="宋体" w:hAnsi="宋体"/>
            <w:noProof/>
            <w:sz w:val="24"/>
          </w:rPr>
          <w:fldChar w:fldCharType="end"/>
        </w:r>
      </w:hyperlink>
    </w:p>
    <w:p w:rsidR="00E0794C" w:rsidRPr="00E0794C" w:rsidRDefault="00E0794C" w:rsidP="00E0794C">
      <w:pPr>
        <w:pStyle w:val="10"/>
        <w:tabs>
          <w:tab w:val="right" w:leader="dot" w:pos="8550"/>
        </w:tabs>
        <w:spacing w:line="360" w:lineRule="auto"/>
        <w:rPr>
          <w:rFonts w:ascii="宋体" w:hAnsi="宋体" w:cstheme="minorBidi"/>
          <w:noProof/>
          <w:sz w:val="24"/>
        </w:rPr>
      </w:pPr>
      <w:hyperlink w:anchor="_Toc240548791" w:history="1">
        <w:r w:rsidRPr="00E0794C">
          <w:rPr>
            <w:rStyle w:val="aa"/>
            <w:rFonts w:ascii="宋体" w:hAnsi="宋体" w:hint="eastAsia"/>
            <w:noProof/>
            <w:sz w:val="24"/>
          </w:rPr>
          <w:t>十四、基金的费用与税收</w:t>
        </w:r>
        <w:r w:rsidRPr="00E0794C">
          <w:rPr>
            <w:rFonts w:ascii="宋体" w:hAnsi="宋体"/>
            <w:noProof/>
            <w:sz w:val="24"/>
          </w:rPr>
          <w:tab/>
        </w:r>
        <w:r w:rsidRPr="00E0794C">
          <w:rPr>
            <w:rFonts w:ascii="宋体" w:hAnsi="宋体"/>
            <w:noProof/>
            <w:sz w:val="24"/>
          </w:rPr>
          <w:fldChar w:fldCharType="begin"/>
        </w:r>
        <w:r w:rsidRPr="00E0794C">
          <w:rPr>
            <w:rFonts w:ascii="宋体" w:hAnsi="宋体"/>
            <w:noProof/>
            <w:sz w:val="24"/>
          </w:rPr>
          <w:instrText xml:space="preserve"> PAGEREF _Toc240548791 \h </w:instrText>
        </w:r>
        <w:r w:rsidRPr="00E0794C">
          <w:rPr>
            <w:rFonts w:ascii="宋体" w:hAnsi="宋体"/>
            <w:noProof/>
            <w:sz w:val="24"/>
          </w:rPr>
        </w:r>
        <w:r w:rsidRPr="00E0794C">
          <w:rPr>
            <w:rFonts w:ascii="宋体" w:hAnsi="宋体"/>
            <w:noProof/>
            <w:sz w:val="24"/>
          </w:rPr>
          <w:fldChar w:fldCharType="separate"/>
        </w:r>
        <w:r w:rsidRPr="00E0794C">
          <w:rPr>
            <w:rFonts w:ascii="宋体" w:hAnsi="宋体"/>
            <w:noProof/>
            <w:sz w:val="24"/>
          </w:rPr>
          <w:t>71</w:t>
        </w:r>
        <w:r w:rsidRPr="00E0794C">
          <w:rPr>
            <w:rFonts w:ascii="宋体" w:hAnsi="宋体"/>
            <w:noProof/>
            <w:sz w:val="24"/>
          </w:rPr>
          <w:fldChar w:fldCharType="end"/>
        </w:r>
      </w:hyperlink>
    </w:p>
    <w:p w:rsidR="00E0794C" w:rsidRPr="00E0794C" w:rsidRDefault="00E0794C" w:rsidP="00E0794C">
      <w:pPr>
        <w:pStyle w:val="10"/>
        <w:tabs>
          <w:tab w:val="right" w:leader="dot" w:pos="8550"/>
        </w:tabs>
        <w:spacing w:line="360" w:lineRule="auto"/>
        <w:rPr>
          <w:rFonts w:ascii="宋体" w:hAnsi="宋体" w:cstheme="minorBidi"/>
          <w:noProof/>
          <w:sz w:val="24"/>
        </w:rPr>
      </w:pPr>
      <w:hyperlink w:anchor="_Toc240548792" w:history="1">
        <w:r w:rsidRPr="00E0794C">
          <w:rPr>
            <w:rStyle w:val="aa"/>
            <w:rFonts w:ascii="宋体" w:hAnsi="宋体" w:hint="eastAsia"/>
            <w:noProof/>
            <w:sz w:val="24"/>
          </w:rPr>
          <w:t>十五、基金的会计与审计</w:t>
        </w:r>
        <w:r w:rsidRPr="00E0794C">
          <w:rPr>
            <w:rFonts w:ascii="宋体" w:hAnsi="宋体"/>
            <w:noProof/>
            <w:sz w:val="24"/>
          </w:rPr>
          <w:tab/>
        </w:r>
        <w:r w:rsidRPr="00E0794C">
          <w:rPr>
            <w:rFonts w:ascii="宋体" w:hAnsi="宋体"/>
            <w:noProof/>
            <w:sz w:val="24"/>
          </w:rPr>
          <w:fldChar w:fldCharType="begin"/>
        </w:r>
        <w:r w:rsidRPr="00E0794C">
          <w:rPr>
            <w:rFonts w:ascii="宋体" w:hAnsi="宋体"/>
            <w:noProof/>
            <w:sz w:val="24"/>
          </w:rPr>
          <w:instrText xml:space="preserve"> PAGEREF _Toc240548792 \h </w:instrText>
        </w:r>
        <w:r w:rsidRPr="00E0794C">
          <w:rPr>
            <w:rFonts w:ascii="宋体" w:hAnsi="宋体"/>
            <w:noProof/>
            <w:sz w:val="24"/>
          </w:rPr>
        </w:r>
        <w:r w:rsidRPr="00E0794C">
          <w:rPr>
            <w:rFonts w:ascii="宋体" w:hAnsi="宋体"/>
            <w:noProof/>
            <w:sz w:val="24"/>
          </w:rPr>
          <w:fldChar w:fldCharType="separate"/>
        </w:r>
        <w:r w:rsidRPr="00E0794C">
          <w:rPr>
            <w:rFonts w:ascii="宋体" w:hAnsi="宋体"/>
            <w:noProof/>
            <w:sz w:val="24"/>
          </w:rPr>
          <w:t>74</w:t>
        </w:r>
        <w:r w:rsidRPr="00E0794C">
          <w:rPr>
            <w:rFonts w:ascii="宋体" w:hAnsi="宋体"/>
            <w:noProof/>
            <w:sz w:val="24"/>
          </w:rPr>
          <w:fldChar w:fldCharType="end"/>
        </w:r>
      </w:hyperlink>
    </w:p>
    <w:p w:rsidR="00E0794C" w:rsidRPr="00E0794C" w:rsidRDefault="00E0794C" w:rsidP="00E0794C">
      <w:pPr>
        <w:pStyle w:val="10"/>
        <w:tabs>
          <w:tab w:val="right" w:leader="dot" w:pos="8550"/>
        </w:tabs>
        <w:spacing w:line="360" w:lineRule="auto"/>
        <w:rPr>
          <w:rFonts w:ascii="宋体" w:hAnsi="宋体" w:cstheme="minorBidi"/>
          <w:noProof/>
          <w:sz w:val="24"/>
        </w:rPr>
      </w:pPr>
      <w:hyperlink w:anchor="_Toc240548793" w:history="1">
        <w:r w:rsidRPr="00E0794C">
          <w:rPr>
            <w:rStyle w:val="aa"/>
            <w:rFonts w:ascii="宋体" w:hAnsi="宋体" w:hint="eastAsia"/>
            <w:noProof/>
            <w:sz w:val="24"/>
          </w:rPr>
          <w:t>十六、基金的信息披露</w:t>
        </w:r>
        <w:r w:rsidRPr="00E0794C">
          <w:rPr>
            <w:rFonts w:ascii="宋体" w:hAnsi="宋体"/>
            <w:noProof/>
            <w:sz w:val="24"/>
          </w:rPr>
          <w:tab/>
        </w:r>
        <w:r w:rsidRPr="00E0794C">
          <w:rPr>
            <w:rFonts w:ascii="宋体" w:hAnsi="宋体"/>
            <w:noProof/>
            <w:sz w:val="24"/>
          </w:rPr>
          <w:fldChar w:fldCharType="begin"/>
        </w:r>
        <w:r w:rsidRPr="00E0794C">
          <w:rPr>
            <w:rFonts w:ascii="宋体" w:hAnsi="宋体"/>
            <w:noProof/>
            <w:sz w:val="24"/>
          </w:rPr>
          <w:instrText xml:space="preserve"> PAGEREF _Toc240548793 \h </w:instrText>
        </w:r>
        <w:r w:rsidRPr="00E0794C">
          <w:rPr>
            <w:rFonts w:ascii="宋体" w:hAnsi="宋体"/>
            <w:noProof/>
            <w:sz w:val="24"/>
          </w:rPr>
        </w:r>
        <w:r w:rsidRPr="00E0794C">
          <w:rPr>
            <w:rFonts w:ascii="宋体" w:hAnsi="宋体"/>
            <w:noProof/>
            <w:sz w:val="24"/>
          </w:rPr>
          <w:fldChar w:fldCharType="separate"/>
        </w:r>
        <w:r w:rsidRPr="00E0794C">
          <w:rPr>
            <w:rFonts w:ascii="宋体" w:hAnsi="宋体"/>
            <w:noProof/>
            <w:sz w:val="24"/>
          </w:rPr>
          <w:t>75</w:t>
        </w:r>
        <w:r w:rsidRPr="00E0794C">
          <w:rPr>
            <w:rFonts w:ascii="宋体" w:hAnsi="宋体"/>
            <w:noProof/>
            <w:sz w:val="24"/>
          </w:rPr>
          <w:fldChar w:fldCharType="end"/>
        </w:r>
      </w:hyperlink>
    </w:p>
    <w:p w:rsidR="00E0794C" w:rsidRPr="00E0794C" w:rsidRDefault="00E0794C" w:rsidP="00E0794C">
      <w:pPr>
        <w:pStyle w:val="10"/>
        <w:tabs>
          <w:tab w:val="right" w:leader="dot" w:pos="8550"/>
        </w:tabs>
        <w:spacing w:line="360" w:lineRule="auto"/>
        <w:rPr>
          <w:rFonts w:ascii="宋体" w:hAnsi="宋体" w:cstheme="minorBidi"/>
          <w:noProof/>
          <w:sz w:val="24"/>
        </w:rPr>
      </w:pPr>
      <w:hyperlink w:anchor="_Toc240548794" w:history="1">
        <w:r w:rsidRPr="00E0794C">
          <w:rPr>
            <w:rStyle w:val="aa"/>
            <w:rFonts w:ascii="宋体" w:hAnsi="宋体" w:hint="eastAsia"/>
            <w:noProof/>
            <w:sz w:val="24"/>
          </w:rPr>
          <w:t>十七、侧袋机制</w:t>
        </w:r>
        <w:r w:rsidRPr="00E0794C">
          <w:rPr>
            <w:rFonts w:ascii="宋体" w:hAnsi="宋体"/>
            <w:noProof/>
            <w:sz w:val="24"/>
          </w:rPr>
          <w:tab/>
        </w:r>
        <w:r w:rsidRPr="00E0794C">
          <w:rPr>
            <w:rFonts w:ascii="宋体" w:hAnsi="宋体"/>
            <w:noProof/>
            <w:sz w:val="24"/>
          </w:rPr>
          <w:fldChar w:fldCharType="begin"/>
        </w:r>
        <w:r w:rsidRPr="00E0794C">
          <w:rPr>
            <w:rFonts w:ascii="宋体" w:hAnsi="宋体"/>
            <w:noProof/>
            <w:sz w:val="24"/>
          </w:rPr>
          <w:instrText xml:space="preserve"> PAGEREF _Toc240548794 \h </w:instrText>
        </w:r>
        <w:r w:rsidRPr="00E0794C">
          <w:rPr>
            <w:rFonts w:ascii="宋体" w:hAnsi="宋体"/>
            <w:noProof/>
            <w:sz w:val="24"/>
          </w:rPr>
        </w:r>
        <w:r w:rsidRPr="00E0794C">
          <w:rPr>
            <w:rFonts w:ascii="宋体" w:hAnsi="宋体"/>
            <w:noProof/>
            <w:sz w:val="24"/>
          </w:rPr>
          <w:fldChar w:fldCharType="separate"/>
        </w:r>
        <w:r w:rsidRPr="00E0794C">
          <w:rPr>
            <w:rFonts w:ascii="宋体" w:hAnsi="宋体"/>
            <w:noProof/>
            <w:sz w:val="24"/>
          </w:rPr>
          <w:t>82</w:t>
        </w:r>
        <w:r w:rsidRPr="00E0794C">
          <w:rPr>
            <w:rFonts w:ascii="宋体" w:hAnsi="宋体"/>
            <w:noProof/>
            <w:sz w:val="24"/>
          </w:rPr>
          <w:fldChar w:fldCharType="end"/>
        </w:r>
      </w:hyperlink>
    </w:p>
    <w:p w:rsidR="00E0794C" w:rsidRPr="00E0794C" w:rsidRDefault="00E0794C" w:rsidP="00E0794C">
      <w:pPr>
        <w:pStyle w:val="10"/>
        <w:tabs>
          <w:tab w:val="right" w:leader="dot" w:pos="8550"/>
        </w:tabs>
        <w:spacing w:line="360" w:lineRule="auto"/>
        <w:rPr>
          <w:rFonts w:ascii="宋体" w:hAnsi="宋体" w:cstheme="minorBidi"/>
          <w:noProof/>
          <w:sz w:val="24"/>
        </w:rPr>
      </w:pPr>
      <w:hyperlink w:anchor="_Toc240548795" w:history="1">
        <w:r w:rsidRPr="00E0794C">
          <w:rPr>
            <w:rStyle w:val="aa"/>
            <w:rFonts w:ascii="宋体" w:hAnsi="宋体" w:hint="eastAsia"/>
            <w:noProof/>
            <w:sz w:val="24"/>
          </w:rPr>
          <w:t>十八、风险揭示</w:t>
        </w:r>
        <w:r w:rsidRPr="00E0794C">
          <w:rPr>
            <w:rFonts w:ascii="宋体" w:hAnsi="宋体"/>
            <w:noProof/>
            <w:sz w:val="24"/>
          </w:rPr>
          <w:tab/>
        </w:r>
        <w:r w:rsidRPr="00E0794C">
          <w:rPr>
            <w:rFonts w:ascii="宋体" w:hAnsi="宋体"/>
            <w:noProof/>
            <w:sz w:val="24"/>
          </w:rPr>
          <w:fldChar w:fldCharType="begin"/>
        </w:r>
        <w:r w:rsidRPr="00E0794C">
          <w:rPr>
            <w:rFonts w:ascii="宋体" w:hAnsi="宋体"/>
            <w:noProof/>
            <w:sz w:val="24"/>
          </w:rPr>
          <w:instrText xml:space="preserve"> PAGEREF _Toc240548795 \h </w:instrText>
        </w:r>
        <w:r w:rsidRPr="00E0794C">
          <w:rPr>
            <w:rFonts w:ascii="宋体" w:hAnsi="宋体"/>
            <w:noProof/>
            <w:sz w:val="24"/>
          </w:rPr>
        </w:r>
        <w:r w:rsidRPr="00E0794C">
          <w:rPr>
            <w:rFonts w:ascii="宋体" w:hAnsi="宋体"/>
            <w:noProof/>
            <w:sz w:val="24"/>
          </w:rPr>
          <w:fldChar w:fldCharType="separate"/>
        </w:r>
        <w:r w:rsidRPr="00E0794C">
          <w:rPr>
            <w:rFonts w:ascii="宋体" w:hAnsi="宋体"/>
            <w:noProof/>
            <w:sz w:val="24"/>
          </w:rPr>
          <w:t>85</w:t>
        </w:r>
        <w:r w:rsidRPr="00E0794C">
          <w:rPr>
            <w:rFonts w:ascii="宋体" w:hAnsi="宋体"/>
            <w:noProof/>
            <w:sz w:val="24"/>
          </w:rPr>
          <w:fldChar w:fldCharType="end"/>
        </w:r>
      </w:hyperlink>
    </w:p>
    <w:p w:rsidR="00E0794C" w:rsidRPr="00E0794C" w:rsidRDefault="00E0794C" w:rsidP="00E0794C">
      <w:pPr>
        <w:pStyle w:val="10"/>
        <w:tabs>
          <w:tab w:val="right" w:leader="dot" w:pos="8550"/>
        </w:tabs>
        <w:spacing w:line="360" w:lineRule="auto"/>
        <w:rPr>
          <w:rFonts w:ascii="宋体" w:hAnsi="宋体" w:cstheme="minorBidi"/>
          <w:noProof/>
          <w:sz w:val="24"/>
        </w:rPr>
      </w:pPr>
      <w:hyperlink w:anchor="_Toc240548796" w:history="1">
        <w:r w:rsidRPr="00E0794C">
          <w:rPr>
            <w:rStyle w:val="aa"/>
            <w:rFonts w:ascii="宋体" w:hAnsi="宋体" w:hint="eastAsia"/>
            <w:noProof/>
            <w:sz w:val="24"/>
          </w:rPr>
          <w:t>十九、基金合同的变更、终止与基金财产的清算</w:t>
        </w:r>
        <w:r w:rsidRPr="00E0794C">
          <w:rPr>
            <w:rFonts w:ascii="宋体" w:hAnsi="宋体"/>
            <w:noProof/>
            <w:sz w:val="24"/>
          </w:rPr>
          <w:tab/>
        </w:r>
        <w:r w:rsidRPr="00E0794C">
          <w:rPr>
            <w:rFonts w:ascii="宋体" w:hAnsi="宋体"/>
            <w:noProof/>
            <w:sz w:val="24"/>
          </w:rPr>
          <w:fldChar w:fldCharType="begin"/>
        </w:r>
        <w:r w:rsidRPr="00E0794C">
          <w:rPr>
            <w:rFonts w:ascii="宋体" w:hAnsi="宋体"/>
            <w:noProof/>
            <w:sz w:val="24"/>
          </w:rPr>
          <w:instrText xml:space="preserve"> PAGEREF _Toc240548796 \h </w:instrText>
        </w:r>
        <w:r w:rsidRPr="00E0794C">
          <w:rPr>
            <w:rFonts w:ascii="宋体" w:hAnsi="宋体"/>
            <w:noProof/>
            <w:sz w:val="24"/>
          </w:rPr>
        </w:r>
        <w:r w:rsidRPr="00E0794C">
          <w:rPr>
            <w:rFonts w:ascii="宋体" w:hAnsi="宋体"/>
            <w:noProof/>
            <w:sz w:val="24"/>
          </w:rPr>
          <w:fldChar w:fldCharType="separate"/>
        </w:r>
        <w:r w:rsidRPr="00E0794C">
          <w:rPr>
            <w:rFonts w:ascii="宋体" w:hAnsi="宋体"/>
            <w:noProof/>
            <w:sz w:val="24"/>
          </w:rPr>
          <w:t>92</w:t>
        </w:r>
        <w:r w:rsidRPr="00E0794C">
          <w:rPr>
            <w:rFonts w:ascii="宋体" w:hAnsi="宋体"/>
            <w:noProof/>
            <w:sz w:val="24"/>
          </w:rPr>
          <w:fldChar w:fldCharType="end"/>
        </w:r>
      </w:hyperlink>
    </w:p>
    <w:p w:rsidR="00E0794C" w:rsidRPr="00E0794C" w:rsidRDefault="00E0794C" w:rsidP="00E0794C">
      <w:pPr>
        <w:pStyle w:val="10"/>
        <w:tabs>
          <w:tab w:val="right" w:leader="dot" w:pos="8550"/>
        </w:tabs>
        <w:spacing w:line="360" w:lineRule="auto"/>
        <w:rPr>
          <w:rFonts w:ascii="宋体" w:hAnsi="宋体" w:cstheme="minorBidi"/>
          <w:noProof/>
          <w:sz w:val="24"/>
        </w:rPr>
      </w:pPr>
      <w:hyperlink w:anchor="_Toc240548797" w:history="1">
        <w:r w:rsidRPr="00E0794C">
          <w:rPr>
            <w:rStyle w:val="aa"/>
            <w:rFonts w:ascii="宋体" w:hAnsi="宋体" w:hint="eastAsia"/>
            <w:noProof/>
            <w:sz w:val="24"/>
          </w:rPr>
          <w:t>二十、基金合同内容摘要</w:t>
        </w:r>
        <w:r w:rsidRPr="00E0794C">
          <w:rPr>
            <w:rFonts w:ascii="宋体" w:hAnsi="宋体"/>
            <w:noProof/>
            <w:sz w:val="24"/>
          </w:rPr>
          <w:tab/>
        </w:r>
        <w:r w:rsidRPr="00E0794C">
          <w:rPr>
            <w:rFonts w:ascii="宋体" w:hAnsi="宋体"/>
            <w:noProof/>
            <w:sz w:val="24"/>
          </w:rPr>
          <w:fldChar w:fldCharType="begin"/>
        </w:r>
        <w:r w:rsidRPr="00E0794C">
          <w:rPr>
            <w:rFonts w:ascii="宋体" w:hAnsi="宋体"/>
            <w:noProof/>
            <w:sz w:val="24"/>
          </w:rPr>
          <w:instrText xml:space="preserve"> PAGEREF _Toc240548797 \h </w:instrText>
        </w:r>
        <w:r w:rsidRPr="00E0794C">
          <w:rPr>
            <w:rFonts w:ascii="宋体" w:hAnsi="宋体"/>
            <w:noProof/>
            <w:sz w:val="24"/>
          </w:rPr>
        </w:r>
        <w:r w:rsidRPr="00E0794C">
          <w:rPr>
            <w:rFonts w:ascii="宋体" w:hAnsi="宋体"/>
            <w:noProof/>
            <w:sz w:val="24"/>
          </w:rPr>
          <w:fldChar w:fldCharType="separate"/>
        </w:r>
        <w:r w:rsidRPr="00E0794C">
          <w:rPr>
            <w:rFonts w:ascii="宋体" w:hAnsi="宋体"/>
            <w:noProof/>
            <w:sz w:val="24"/>
          </w:rPr>
          <w:t>94</w:t>
        </w:r>
        <w:r w:rsidRPr="00E0794C">
          <w:rPr>
            <w:rFonts w:ascii="宋体" w:hAnsi="宋体"/>
            <w:noProof/>
            <w:sz w:val="24"/>
          </w:rPr>
          <w:fldChar w:fldCharType="end"/>
        </w:r>
      </w:hyperlink>
    </w:p>
    <w:p w:rsidR="00E0794C" w:rsidRPr="00E0794C" w:rsidRDefault="00E0794C" w:rsidP="00E0794C">
      <w:pPr>
        <w:pStyle w:val="10"/>
        <w:tabs>
          <w:tab w:val="right" w:leader="dot" w:pos="8550"/>
        </w:tabs>
        <w:spacing w:line="360" w:lineRule="auto"/>
        <w:rPr>
          <w:rFonts w:ascii="宋体" w:hAnsi="宋体" w:cstheme="minorBidi"/>
          <w:noProof/>
          <w:sz w:val="24"/>
        </w:rPr>
      </w:pPr>
      <w:hyperlink w:anchor="_Toc240548798" w:history="1">
        <w:r w:rsidRPr="00E0794C">
          <w:rPr>
            <w:rStyle w:val="aa"/>
            <w:rFonts w:ascii="宋体" w:hAnsi="宋体" w:hint="eastAsia"/>
            <w:noProof/>
            <w:sz w:val="24"/>
          </w:rPr>
          <w:t>二十一、托管协议的内容摘要</w:t>
        </w:r>
        <w:r w:rsidRPr="00E0794C">
          <w:rPr>
            <w:rFonts w:ascii="宋体" w:hAnsi="宋体"/>
            <w:noProof/>
            <w:sz w:val="24"/>
          </w:rPr>
          <w:tab/>
        </w:r>
        <w:r w:rsidRPr="00E0794C">
          <w:rPr>
            <w:rFonts w:ascii="宋体" w:hAnsi="宋体"/>
            <w:noProof/>
            <w:sz w:val="24"/>
          </w:rPr>
          <w:fldChar w:fldCharType="begin"/>
        </w:r>
        <w:r w:rsidRPr="00E0794C">
          <w:rPr>
            <w:rFonts w:ascii="宋体" w:hAnsi="宋体"/>
            <w:noProof/>
            <w:sz w:val="24"/>
          </w:rPr>
          <w:instrText xml:space="preserve"> PAGEREF _Toc240548798 \h </w:instrText>
        </w:r>
        <w:r w:rsidRPr="00E0794C">
          <w:rPr>
            <w:rFonts w:ascii="宋体" w:hAnsi="宋体"/>
            <w:noProof/>
            <w:sz w:val="24"/>
          </w:rPr>
        </w:r>
        <w:r w:rsidRPr="00E0794C">
          <w:rPr>
            <w:rFonts w:ascii="宋体" w:hAnsi="宋体"/>
            <w:noProof/>
            <w:sz w:val="24"/>
          </w:rPr>
          <w:fldChar w:fldCharType="separate"/>
        </w:r>
        <w:r w:rsidRPr="00E0794C">
          <w:rPr>
            <w:rFonts w:ascii="宋体" w:hAnsi="宋体"/>
            <w:noProof/>
            <w:sz w:val="24"/>
          </w:rPr>
          <w:t>111</w:t>
        </w:r>
        <w:r w:rsidRPr="00E0794C">
          <w:rPr>
            <w:rFonts w:ascii="宋体" w:hAnsi="宋体"/>
            <w:noProof/>
            <w:sz w:val="24"/>
          </w:rPr>
          <w:fldChar w:fldCharType="end"/>
        </w:r>
      </w:hyperlink>
    </w:p>
    <w:p w:rsidR="00E0794C" w:rsidRPr="00E0794C" w:rsidRDefault="00E0794C" w:rsidP="00E0794C">
      <w:pPr>
        <w:pStyle w:val="10"/>
        <w:tabs>
          <w:tab w:val="right" w:leader="dot" w:pos="8550"/>
        </w:tabs>
        <w:spacing w:line="360" w:lineRule="auto"/>
        <w:rPr>
          <w:rFonts w:ascii="宋体" w:hAnsi="宋体" w:cstheme="minorBidi"/>
          <w:noProof/>
          <w:sz w:val="24"/>
        </w:rPr>
      </w:pPr>
      <w:hyperlink w:anchor="_Toc240548799" w:history="1">
        <w:r w:rsidRPr="00E0794C">
          <w:rPr>
            <w:rStyle w:val="aa"/>
            <w:rFonts w:ascii="宋体" w:hAnsi="宋体" w:hint="eastAsia"/>
            <w:noProof/>
            <w:sz w:val="24"/>
          </w:rPr>
          <w:t>二十二、对基金份额持有人的服务</w:t>
        </w:r>
        <w:r w:rsidRPr="00E0794C">
          <w:rPr>
            <w:rFonts w:ascii="宋体" w:hAnsi="宋体"/>
            <w:noProof/>
            <w:sz w:val="24"/>
          </w:rPr>
          <w:tab/>
        </w:r>
        <w:r w:rsidRPr="00E0794C">
          <w:rPr>
            <w:rFonts w:ascii="宋体" w:hAnsi="宋体"/>
            <w:noProof/>
            <w:sz w:val="24"/>
          </w:rPr>
          <w:fldChar w:fldCharType="begin"/>
        </w:r>
        <w:r w:rsidRPr="00E0794C">
          <w:rPr>
            <w:rFonts w:ascii="宋体" w:hAnsi="宋体"/>
            <w:noProof/>
            <w:sz w:val="24"/>
          </w:rPr>
          <w:instrText xml:space="preserve"> PAGEREF _Toc240548799 \h </w:instrText>
        </w:r>
        <w:r w:rsidRPr="00E0794C">
          <w:rPr>
            <w:rFonts w:ascii="宋体" w:hAnsi="宋体"/>
            <w:noProof/>
            <w:sz w:val="24"/>
          </w:rPr>
        </w:r>
        <w:r w:rsidRPr="00E0794C">
          <w:rPr>
            <w:rFonts w:ascii="宋体" w:hAnsi="宋体"/>
            <w:noProof/>
            <w:sz w:val="24"/>
          </w:rPr>
          <w:fldChar w:fldCharType="separate"/>
        </w:r>
        <w:r w:rsidRPr="00E0794C">
          <w:rPr>
            <w:rFonts w:ascii="宋体" w:hAnsi="宋体"/>
            <w:noProof/>
            <w:sz w:val="24"/>
          </w:rPr>
          <w:t>122</w:t>
        </w:r>
        <w:r w:rsidRPr="00E0794C">
          <w:rPr>
            <w:rFonts w:ascii="宋体" w:hAnsi="宋体"/>
            <w:noProof/>
            <w:sz w:val="24"/>
          </w:rPr>
          <w:fldChar w:fldCharType="end"/>
        </w:r>
      </w:hyperlink>
    </w:p>
    <w:p w:rsidR="00E0794C" w:rsidRPr="00E0794C" w:rsidRDefault="00E0794C" w:rsidP="00E0794C">
      <w:pPr>
        <w:pStyle w:val="10"/>
        <w:tabs>
          <w:tab w:val="right" w:leader="dot" w:pos="8550"/>
        </w:tabs>
        <w:spacing w:line="360" w:lineRule="auto"/>
        <w:rPr>
          <w:rFonts w:ascii="宋体" w:hAnsi="宋体" w:cstheme="minorBidi"/>
          <w:noProof/>
          <w:sz w:val="24"/>
        </w:rPr>
      </w:pPr>
      <w:hyperlink w:anchor="_Toc240548800" w:history="1">
        <w:r w:rsidRPr="00E0794C">
          <w:rPr>
            <w:rStyle w:val="aa"/>
            <w:rFonts w:ascii="宋体" w:hAnsi="宋体" w:hint="eastAsia"/>
            <w:noProof/>
            <w:sz w:val="24"/>
          </w:rPr>
          <w:t>二十三、其他应披露事项</w:t>
        </w:r>
        <w:r w:rsidRPr="00E0794C">
          <w:rPr>
            <w:rFonts w:ascii="宋体" w:hAnsi="宋体"/>
            <w:noProof/>
            <w:sz w:val="24"/>
          </w:rPr>
          <w:tab/>
        </w:r>
        <w:r w:rsidRPr="00E0794C">
          <w:rPr>
            <w:rFonts w:ascii="宋体" w:hAnsi="宋体"/>
            <w:noProof/>
            <w:sz w:val="24"/>
          </w:rPr>
          <w:fldChar w:fldCharType="begin"/>
        </w:r>
        <w:r w:rsidRPr="00E0794C">
          <w:rPr>
            <w:rFonts w:ascii="宋体" w:hAnsi="宋体"/>
            <w:noProof/>
            <w:sz w:val="24"/>
          </w:rPr>
          <w:instrText xml:space="preserve"> PAGEREF _Toc240548800 \h </w:instrText>
        </w:r>
        <w:r w:rsidRPr="00E0794C">
          <w:rPr>
            <w:rFonts w:ascii="宋体" w:hAnsi="宋体"/>
            <w:noProof/>
            <w:sz w:val="24"/>
          </w:rPr>
        </w:r>
        <w:r w:rsidRPr="00E0794C">
          <w:rPr>
            <w:rFonts w:ascii="宋体" w:hAnsi="宋体"/>
            <w:noProof/>
            <w:sz w:val="24"/>
          </w:rPr>
          <w:fldChar w:fldCharType="separate"/>
        </w:r>
        <w:r w:rsidRPr="00E0794C">
          <w:rPr>
            <w:rFonts w:ascii="宋体" w:hAnsi="宋体"/>
            <w:noProof/>
            <w:sz w:val="24"/>
          </w:rPr>
          <w:t>124</w:t>
        </w:r>
        <w:r w:rsidRPr="00E0794C">
          <w:rPr>
            <w:rFonts w:ascii="宋体" w:hAnsi="宋体"/>
            <w:noProof/>
            <w:sz w:val="24"/>
          </w:rPr>
          <w:fldChar w:fldCharType="end"/>
        </w:r>
      </w:hyperlink>
    </w:p>
    <w:p w:rsidR="00E0794C" w:rsidRPr="00E0794C" w:rsidRDefault="00E0794C" w:rsidP="00E0794C">
      <w:pPr>
        <w:pStyle w:val="10"/>
        <w:tabs>
          <w:tab w:val="right" w:leader="dot" w:pos="8550"/>
        </w:tabs>
        <w:spacing w:line="360" w:lineRule="auto"/>
        <w:rPr>
          <w:rFonts w:ascii="宋体" w:hAnsi="宋体" w:cstheme="minorBidi"/>
          <w:noProof/>
          <w:sz w:val="24"/>
        </w:rPr>
      </w:pPr>
      <w:hyperlink w:anchor="_Toc240548801" w:history="1">
        <w:r w:rsidRPr="00E0794C">
          <w:rPr>
            <w:rStyle w:val="aa"/>
            <w:rFonts w:ascii="宋体" w:hAnsi="宋体" w:hint="eastAsia"/>
            <w:noProof/>
            <w:sz w:val="24"/>
          </w:rPr>
          <w:t>二十四、招募说明书的存放及查阅方式</w:t>
        </w:r>
        <w:r w:rsidRPr="00E0794C">
          <w:rPr>
            <w:rFonts w:ascii="宋体" w:hAnsi="宋体"/>
            <w:noProof/>
            <w:sz w:val="24"/>
          </w:rPr>
          <w:tab/>
        </w:r>
        <w:r w:rsidRPr="00E0794C">
          <w:rPr>
            <w:rFonts w:ascii="宋体" w:hAnsi="宋体"/>
            <w:noProof/>
            <w:sz w:val="24"/>
          </w:rPr>
          <w:fldChar w:fldCharType="begin"/>
        </w:r>
        <w:r w:rsidRPr="00E0794C">
          <w:rPr>
            <w:rFonts w:ascii="宋体" w:hAnsi="宋体"/>
            <w:noProof/>
            <w:sz w:val="24"/>
          </w:rPr>
          <w:instrText xml:space="preserve"> PAGEREF _Toc240548801 \h </w:instrText>
        </w:r>
        <w:r w:rsidRPr="00E0794C">
          <w:rPr>
            <w:rFonts w:ascii="宋体" w:hAnsi="宋体"/>
            <w:noProof/>
            <w:sz w:val="24"/>
          </w:rPr>
        </w:r>
        <w:r w:rsidRPr="00E0794C">
          <w:rPr>
            <w:rFonts w:ascii="宋体" w:hAnsi="宋体"/>
            <w:noProof/>
            <w:sz w:val="24"/>
          </w:rPr>
          <w:fldChar w:fldCharType="separate"/>
        </w:r>
        <w:r w:rsidRPr="00E0794C">
          <w:rPr>
            <w:rFonts w:ascii="宋体" w:hAnsi="宋体"/>
            <w:noProof/>
            <w:sz w:val="24"/>
          </w:rPr>
          <w:t>126</w:t>
        </w:r>
        <w:r w:rsidRPr="00E0794C">
          <w:rPr>
            <w:rFonts w:ascii="宋体" w:hAnsi="宋体"/>
            <w:noProof/>
            <w:sz w:val="24"/>
          </w:rPr>
          <w:fldChar w:fldCharType="end"/>
        </w:r>
      </w:hyperlink>
    </w:p>
    <w:p w:rsidR="00E0794C" w:rsidRPr="00E0794C" w:rsidRDefault="00E0794C" w:rsidP="00E0794C">
      <w:pPr>
        <w:pStyle w:val="10"/>
        <w:tabs>
          <w:tab w:val="right" w:leader="dot" w:pos="8550"/>
        </w:tabs>
        <w:spacing w:line="360" w:lineRule="auto"/>
        <w:rPr>
          <w:rFonts w:ascii="宋体" w:hAnsi="宋体" w:cstheme="minorBidi"/>
          <w:noProof/>
          <w:sz w:val="24"/>
        </w:rPr>
      </w:pPr>
      <w:hyperlink w:anchor="_Toc240548802" w:history="1">
        <w:r w:rsidRPr="00E0794C">
          <w:rPr>
            <w:rStyle w:val="aa"/>
            <w:rFonts w:ascii="宋体" w:hAnsi="宋体" w:hint="eastAsia"/>
            <w:noProof/>
            <w:sz w:val="24"/>
          </w:rPr>
          <w:t>二十五、备查文件</w:t>
        </w:r>
        <w:r w:rsidRPr="00E0794C">
          <w:rPr>
            <w:rFonts w:ascii="宋体" w:hAnsi="宋体"/>
            <w:noProof/>
            <w:sz w:val="24"/>
          </w:rPr>
          <w:tab/>
        </w:r>
        <w:r w:rsidRPr="00E0794C">
          <w:rPr>
            <w:rFonts w:ascii="宋体" w:hAnsi="宋体"/>
            <w:noProof/>
            <w:sz w:val="24"/>
          </w:rPr>
          <w:fldChar w:fldCharType="begin"/>
        </w:r>
        <w:r w:rsidRPr="00E0794C">
          <w:rPr>
            <w:rFonts w:ascii="宋体" w:hAnsi="宋体"/>
            <w:noProof/>
            <w:sz w:val="24"/>
          </w:rPr>
          <w:instrText xml:space="preserve"> PAGEREF _Toc240548802 \h </w:instrText>
        </w:r>
        <w:r w:rsidRPr="00E0794C">
          <w:rPr>
            <w:rFonts w:ascii="宋体" w:hAnsi="宋体"/>
            <w:noProof/>
            <w:sz w:val="24"/>
          </w:rPr>
        </w:r>
        <w:r w:rsidRPr="00E0794C">
          <w:rPr>
            <w:rFonts w:ascii="宋体" w:hAnsi="宋体"/>
            <w:noProof/>
            <w:sz w:val="24"/>
          </w:rPr>
          <w:fldChar w:fldCharType="separate"/>
        </w:r>
        <w:r w:rsidRPr="00E0794C">
          <w:rPr>
            <w:rFonts w:ascii="宋体" w:hAnsi="宋体"/>
            <w:noProof/>
            <w:sz w:val="24"/>
          </w:rPr>
          <w:t>127</w:t>
        </w:r>
        <w:r w:rsidRPr="00E0794C">
          <w:rPr>
            <w:rFonts w:ascii="宋体" w:hAnsi="宋体"/>
            <w:noProof/>
            <w:sz w:val="24"/>
          </w:rPr>
          <w:fldChar w:fldCharType="end"/>
        </w:r>
      </w:hyperlink>
    </w:p>
    <w:p w:rsidR="004E0414" w:rsidRPr="00E0794C" w:rsidRDefault="00E0794C" w:rsidP="00E0794C">
      <w:pPr>
        <w:pStyle w:val="ad"/>
        <w:snapToGrid w:val="0"/>
        <w:spacing w:after="240" w:line="360" w:lineRule="auto"/>
        <w:jc w:val="center"/>
        <w:rPr>
          <w:rFonts w:ascii="宋体" w:hAnsi="宋体"/>
          <w:color w:val="000000"/>
          <w:sz w:val="24"/>
        </w:rPr>
      </w:pPr>
      <w:r w:rsidRPr="00E0794C">
        <w:rPr>
          <w:rFonts w:ascii="宋体" w:hAnsi="宋体"/>
          <w:color w:val="000000"/>
          <w:position w:val="-4"/>
          <w:sz w:val="24"/>
          <w:szCs w:val="30"/>
        </w:rPr>
        <w:fldChar w:fldCharType="end"/>
      </w:r>
      <w:bookmarkStart w:id="3" w:name="_GoBack"/>
      <w:bookmarkEnd w:id="3"/>
    </w:p>
    <w:p w:rsidR="004E0414" w:rsidRDefault="004E0414">
      <w:pPr>
        <w:autoSpaceDE w:val="0"/>
        <w:autoSpaceDN w:val="0"/>
        <w:adjustRightInd w:val="0"/>
        <w:snapToGrid w:val="0"/>
        <w:spacing w:line="360" w:lineRule="auto"/>
        <w:ind w:left="120" w:rightChars="6" w:right="13"/>
        <w:rPr>
          <w:rFonts w:ascii="宋体" w:hAnsi="宋体"/>
          <w:kern w:val="0"/>
          <w:szCs w:val="24"/>
        </w:rPr>
        <w:sectPr w:rsidR="004E0414">
          <w:pgSz w:w="11920" w:h="16840"/>
          <w:pgMar w:top="1480" w:right="1680" w:bottom="280" w:left="1680" w:header="0" w:footer="1073" w:gutter="0"/>
          <w:cols w:space="720"/>
        </w:sectPr>
      </w:pPr>
    </w:p>
    <w:p w:rsidR="004E0414" w:rsidRDefault="005C4E64">
      <w:pPr>
        <w:pStyle w:val="1"/>
        <w:snapToGrid w:val="0"/>
        <w:spacing w:beforeLines="0" w:before="240" w:after="240"/>
        <w:rPr>
          <w:rFonts w:ascii="宋体" w:hAnsi="宋体"/>
          <w:szCs w:val="30"/>
        </w:rPr>
      </w:pPr>
      <w:bookmarkStart w:id="4" w:name="_Toc240548778"/>
      <w:r>
        <w:rPr>
          <w:rFonts w:ascii="Times New Roman" w:hAnsi="Times New Roman"/>
          <w:sz w:val="30"/>
        </w:rPr>
        <w:lastRenderedPageBreak/>
        <w:t>一、绪言</w:t>
      </w:r>
      <w:bookmarkEnd w:id="4"/>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稳安90天持有期债券型证券投资基金招募说明书》（以下简称“本招募说明书”）依据《中华人民共和国证券投资基金法》（以下简称“《基金法》”）、《公开募集证券投资基金运作管理办法》（以下简称“《运作办法》”）、《公开募集证券投资基金销售机构监督管理办法》（以下简称“《销售办法》”）、《公开募集证券投资基金信息披露管理办法》（以下简称“《信息披露办法》”）、《公开募集开放式证券投资基金流动性风险管理规定》（以下简称“《流动性风险管理规定》”）和其他相关法律法规的规定以及《交银施罗德稳安90天持有期债券型证券投资基金基金合同》（以下简称“基金合同”）编写。</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rsidR="00B439CC" w:rsidRDefault="005C4E6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4E0414" w:rsidRDefault="005C4E64">
      <w:pPr>
        <w:pStyle w:val="1"/>
        <w:snapToGrid w:val="0"/>
        <w:spacing w:beforeLines="0" w:before="240" w:after="240"/>
        <w:rPr>
          <w:rFonts w:ascii="宋体" w:hAnsi="宋体"/>
          <w:szCs w:val="30"/>
        </w:rPr>
      </w:pPr>
      <w:bookmarkStart w:id="5" w:name="_Toc240548779"/>
      <w:r>
        <w:rPr>
          <w:rFonts w:ascii="Times New Roman" w:hAnsi="Times New Roman"/>
          <w:sz w:val="30"/>
        </w:rPr>
        <w:lastRenderedPageBreak/>
        <w:t>二、释义</w:t>
      </w:r>
      <w:bookmarkEnd w:id="5"/>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1、基金或本基金：指交银施罗德稳安90天持有期债券型证券投资基金</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2、基金管理人或本基金管理人：指交银施罗德基金管理有限公司</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3、基金托管人或本基金托管人：指中国农业银行股份有限公司</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4、基金合同、《基金合同》：指《交银施罗德稳安90天持有期债券型证券投资基金基金合同》及对基金合同的任何有效修订和补充</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5、托管协议：指基金管理人与基金托管人就本基金签订之《交银施罗德稳安90天持有期债券型证券投资基金托管协议》及对该托管协议的任何有效修订和补充</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6、招募说明书、《招募说明书》或本招募说明书：指《交银施罗德稳安90天持有期债券型证券投资基金招募说明书》及其更新</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7、基金产品资料概要：指《交银施罗德稳安90天持有期债券型证券投资基金基金产品资料概要》及其更新</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8、基金份额发售公告：指《交银施罗德稳安90天持有期债券型证券投资基金基金份额发售公告》</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10、《基金法》：指《中华人民共和国证券投资基金法》及颁布机关对其不时做出的修订</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11、《销售办法》：指《公开募集证券投资基金销售机构监督管理办法》及颁布机关对其不时做出的修订</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12、《信息披露办法》：指《公开募集证券投资基金信息披露管理办法》及颁布机关对其不时做出的修订</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13、《运作办法》：指《公开募集证券投资基金运作管理办法》及颁布机关对其不时做出的修订</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14、《流动性风险管理规定》：指《公开募集开放式证券投资基金流动性风险管理规定》及颁布机关对其不时做出的修订</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15、中国证监会：指中国证券监督管理委员会</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16、银行业监督管理机构：指中国人民银行和/或中国银行保险监督管理委员</w:t>
      </w:r>
      <w:r>
        <w:rPr>
          <w:rFonts w:ascii="宋体" w:hAnsi="宋体"/>
          <w:sz w:val="24"/>
        </w:rPr>
        <w:lastRenderedPageBreak/>
        <w:t>会</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17、基金合同当事人：指受基金合同约束，根据基金合同享有权利并承担义务的法律主体，包括基金管理人、基金托管人和基金份额持有人</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18、个人投资者：指依据有关法律法规规定可投资于证券投资基金的自然人</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19、机构投资者：指依法可以投资证券投资基金的、在中华人民共和国境内合法登记并存续或经有关政府部门批准设立并存续的企业法人、事业法人、社会团体或其他组织</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合格境外投资者：指符合《合格境外机构投资者和人民币合格境外机构投资者境内证券期货投资管理办法》（包括其不时修订）及相关法律法规规定使用来自境外的资金进行境内证券期货投资的境外机构投资者，包括合格境外机构投资者和人民币合格境外机构投资者</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21、投资人、投资者：指个人投资者、机构投资者、合格境外投资者以及法律法规或中国证监会允许购买证券投资基金的其他投资人的合称</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22、基金份额持有人：指依基金合同和招募说明书合法取得基金份额的投资人</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23、基金销售业务：指基金管理人或销售机构宣传推介基金，发售基金份额，办理基金份额的申购、赎回、转换、转托管及定期定额投资等业务</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24、销售机构：指交银施罗德基金管理有限公司以及符合《销售办法》和中国证监会规定的其他条件，取得基金销售业务资格并与基金管理人签订了基金销售服务协议，办理基金销售业务的机构</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登记业务：指基金登记、存管、过户、清算和结算业务，具体内容包括投资人基金账户的建立和管理、基金份额登记、基金销售业务的确认、清算和结算、代理发放红利、建立并保管基金份额持有人名册和办理非交易过户等</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26、登记机构：指办理登记业务的机构。基金的登记机构为交银施罗德基金管理有限公司或接受交银施罗德基金管理有限公司委托代为办理登记业务的机构</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27、基金账户：指登记机构为投资人开立的、记录其持有的、基金管理人所管理的基金份额余额及其变动情况的账户</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28、基金交易账户：指销售机构为投资人开立的、记录投资人通过该销售机构办理认购、申购、赎回、转换及转托管等业务而引起的基金份额变动及结余情况的账户</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29、基金合同生效日：指基金募集达到法律法规规定及基金合同规定的条件，</w:t>
      </w:r>
      <w:r>
        <w:rPr>
          <w:rFonts w:ascii="宋体" w:hAnsi="宋体"/>
          <w:sz w:val="24"/>
        </w:rPr>
        <w:lastRenderedPageBreak/>
        <w:t>基金管理人向中国证监会办理基金备案手续完毕，并获得中国证监会书面确认的日期</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30、基金合同终止日：指基金合同规定的基金合同终止事由出现后，基金财产清算完毕，清算结果报中国证监会备案并予以公告的日期</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31、基金募集期：指自基金份额发售之日起至发售结束之日止的期间，最长不得超过3个月</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32、存续期：指基金合同生效至终止之间的不定期期限</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最短持有期限：本基金每份基金份额的最短持有期限为90天，在最短持有期限内该份基金份额不可赎回，自最短持有期限届满日起（含该日）可赎回。即：自基金合同生效日（对认购份额而言）、基金份额申购确认日（对申购份额而言）起的第90天起（含当日，如为非工作日则顺延至下一工作日），投资者方可提出赎回申请。</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34、工作日：指上海证券交易所、深圳证券交易所的正常交易日</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35、T日：指销售机构在规定时间受理投资人申购、赎回或其他业务申请的开放日</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36、T+n日：指自T日起第n个工作日（不包含T日）</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37、开放日：指为投资人办理基金份额申购、赎回或其他业务的工作日</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38、开放时间：指开放日基金接受申购、赎回或其他交易的时间段</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39、《业务规则》：指《交银施罗德基金管理有限公司开放式基金业务规则》，是规范基金管理人所管理的开放式证券投资基金登记方面的业务规则，由基金管理人和投资人共同遵守</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40、认购：指在基金募集期内，投资人根据基金合同和招募说明书的规定申请购买基金份额的行为</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41、申购：指基金合同生效后，投资人根据基金合同和招募说明书的规定申请购买基金份额的行为</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42、赎回：指基金合同生效后，基金份额持有人按基金合同和招募说明书规定的条件要求将基金份额兑换为现金的行为</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43、基金转换：指基金份额持有人按照基金合同和基金管理人届时有效公告规定的条件，申请将其持有基金管理人管理的、某一基金的基金份额转换为基金管理人管理的其他基金基金份额的行为</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44、转托管：指基金份额持有人在本基金的不同销售机构之间实施的变更所持基金份额销售机构的操作</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巨额赎回：指本基金单个开放日，基金净赎回申请（赎回申请份额总数加上基金转换中转出申请份额总数后扣除申购申请份额总数及基金转换中转入申请份额总数后的余额）超过上一开放日基金总份额的10%的情形</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47、元：指人民币元</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48、基金收益：指基金投资所得债券利息、买卖证券价差、银行存款利息、已实现的其他合法收入及因运用基金财产带来的成本和费用的节约</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49、基金资产总值：指基金拥有的各类有价证券、国债期货合约、银行存款本息、基金应收款项及其他资产的价值总和</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50、基金资产净值：指基金资产总值减去基金负债后的价值</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51、基金份额净值：指计算日基金资产净值除以计算日基金份额总数</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52、基金资产估值：指计算评估基金资产和负债的价值，以确定基金资产净值和基金份额净值的过程</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53、规定媒介：指符合中国证监会规定条件的用以进行信息披露的全国性报刊及《信息披露办法》规定的互联网网站（包括基金管理人网站、基金托管人网站、中国证监会基金电子披露网站）等媒介</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54、销售服务费：指从基金财产中计提的，用于本基金市场推广、销售以及基金份额持有人服务的费用</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55、A类基金份额：指在投资人认购/申购时收取认购/申购费用且不从本类别基金资产中计提销售服务费的基金份额</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56、C类基金份额：指在投资人认购/申购时不收取认购/申购费用并从本类别基金资产中计提销售服务费的基金份额</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w:t>
      </w:r>
      <w:r>
        <w:rPr>
          <w:rFonts w:ascii="宋体" w:hAnsi="宋体"/>
          <w:sz w:val="24"/>
        </w:rPr>
        <w:lastRenderedPageBreak/>
        <w:t>等</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摆动定价机制：指当开放式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61、不可抗力：指基金合同当事人不能预见、不能避免且不能克服的客观事件</w:t>
      </w:r>
    </w:p>
    <w:p w:rsidR="00B439CC" w:rsidRDefault="005C4E6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4E0414" w:rsidRDefault="005C4E64">
      <w:pPr>
        <w:pStyle w:val="1"/>
        <w:snapToGrid w:val="0"/>
        <w:spacing w:beforeLines="0" w:before="240" w:after="240"/>
        <w:rPr>
          <w:rFonts w:ascii="宋体" w:hAnsi="宋体"/>
          <w:szCs w:val="30"/>
        </w:rPr>
      </w:pPr>
      <w:bookmarkStart w:id="6" w:name="_Toc240548780"/>
      <w:r>
        <w:rPr>
          <w:rFonts w:ascii="Times New Roman" w:hAnsi="Times New Roman"/>
          <w:sz w:val="30"/>
        </w:rPr>
        <w:lastRenderedPageBreak/>
        <w:t>三、基金管理人</w:t>
      </w:r>
      <w:bookmarkEnd w:id="6"/>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4E041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4E041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4E041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4E041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代任董事长，硕士。历任交通银行乌鲁木齐分行财务会计处副处长、会计结算部高级经理，交通银行总行资产托管业务中心（资产托管部）副总裁、总裁，交通银行总行金融机构部总经理、资产管理业务中心总裁等职务。</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w:t>
      </w:r>
      <w:r>
        <w:rPr>
          <w:rFonts w:ascii="宋体" w:hAnsi="宋体"/>
          <w:sz w:val="24"/>
        </w:rPr>
        <w:lastRenderedPageBreak/>
        <w:t>总行托管部基金业务部内控综合处副处长、资产委托高级经理、保险及养老金高级经理、资产托管部副总经理，交银施罗德基金管理有限公司党委委员、副总经理、首席信息官，交通银行总行养老金融部总经理。</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许颖女士，职工董事，学士。现任交银施罗德基金管理有限公司基金运营部总经理、工会副主席职务。历任交银施罗德基金管理有限公司财务部总经理、财务总监，交银施罗德资产管理有限公司执行监事。</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姬静女士:基金经理。北京大学经济学硕士、对外经济贸易大学经济学学士。13年证券投资相关工作经验。2013年至2015年任中国工商银行总行资产管理部投资经理 ，2015年至2016年任法国巴黎银行（中国）有限公司全球市场部信用分析师。2016年加入交银施罗德基金管理有限公司，曾任固定收益部高级研究员、基金经理助理，现任固定收益部基金经理。曾任交银施罗德裕盈纯债债券型证券投资基金(2022年11月12日至2025年01月15日)的基金经理。现任交银施罗德境尚收益债券型证券投资基金(2022年08月20日至今)、交银施罗德稳鑫短债债券型证券投资基金(2022年08月20日至今)、交银施罗德稳安60天滚动持有债券型证券投资基金(2023年01月09日至今)、交银施罗德稳安90天持有期债券型证券投资基金(2023年04月25日至今)、交银施罗德120天滚动持有债券型证券投资基金(2025年09月02日至今)的基金经理。</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委员：马俊（副总经理）</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迟鑫（权益部总经理兼任跨境投资部总经理）</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黄莹洁（固定收益（公募）投资助理总监、基金经理）</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樊继拓（多资产研究部副总经理）</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上述人员之间不存在近亲属关系。</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w:t>
      </w:r>
      <w:r>
        <w:rPr>
          <w:rFonts w:ascii="宋体" w:hAnsi="宋体"/>
          <w:sz w:val="24"/>
        </w:rPr>
        <w:lastRenderedPageBreak/>
        <w:t>收益；</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9、按照规定召集基金份额持有人大会；</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（5）侵占、挪用基金财产；</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（6）法律、行政法规和中国证监会禁止的其他行为。</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2、不利用职务之便为自己、受雇人或任何第三者谋取利益；</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3、不泄露在任职期间知悉的有关证券、基金的商业秘密，尚未依法公开的基金投资内容、基金投资计划等信息，或利用该信息从事或者明示、暗示他人从事相关的交易活动；</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w:t>
      </w:r>
      <w:r>
        <w:rPr>
          <w:rFonts w:ascii="宋体" w:hAnsi="宋体"/>
          <w:sz w:val="24"/>
        </w:rPr>
        <w:lastRenderedPageBreak/>
        <w:t>法性、合规性和风险状况进行检查和评估，对公司监察稽核制度的有效性进行评价，监督检查公司财务状况，审计公司的财务报表，评估公司的财务表现，保证公司的财务运作符合法律的要求和通行的会计标准。</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公司建立、健全了内控体系，通过高管人员关于内控的明确分工，确保各项业务活动有恰当的组织和授权，确保监察活动独立，并得到高管人员的支持，同时置备操作手册，并定期更新。</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采取数量化、技术化的风险控制手段，建立数量化的风险管理模型，用以提示指数趋势、行业及个股的风险，以便公司及时采取有效的措施，对风险进行分散、控制和规避，尽可能地减少损失。</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5C4E6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4E0414" w:rsidRDefault="005C4E64">
      <w:pPr>
        <w:pStyle w:val="1"/>
        <w:snapToGrid w:val="0"/>
        <w:spacing w:beforeLines="0" w:before="240" w:after="240"/>
        <w:rPr>
          <w:rFonts w:ascii="宋体" w:hAnsi="宋体"/>
          <w:szCs w:val="30"/>
        </w:rPr>
      </w:pPr>
      <w:bookmarkStart w:id="7" w:name="_Toc240548781"/>
      <w:r>
        <w:rPr>
          <w:rFonts w:ascii="Times New Roman" w:hAnsi="Times New Roman"/>
          <w:sz w:val="30"/>
        </w:rPr>
        <w:lastRenderedPageBreak/>
        <w:t>四、基金托管人</w:t>
      </w:r>
      <w:bookmarkEnd w:id="7"/>
    </w:p>
    <w:p w:rsidR="004E0414" w:rsidRDefault="005C4E6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（一）基金托管人情况</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1、基本情况</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名称：中国农业银行股份有限公司（简称中国农业银行）</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住所：北京市东城区建国门内大街69号</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法定代表人：谷澍</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成立日期：2009年1月15日</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批准设立机关和批准设立文号：中国银监会银监复[2009]13号</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基金托管资格批文及文号：中国证监会证监基字[1998]23号</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注册资本：34,998,303.4万元人民币</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联系电话：010-66060069</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传真：010-68121816</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联系人：任航</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股份有限公司是中国金融体系的重要组成部分,总行设在北京。经国务院批准，中国农业银行整体改制为中国农业银行股份有限公司并于2009年1月15日依法成立。中国农业银行股份有限公司承继原中国农业银行全部资产、负债、业务、机构网点和员工。中国农业银行网点遍布中国城乡，成为国内网点最多、业务辐射范围最广，服务领域最广，服务对象最多，业务功能齐全的大型国有商业银行之一。在海外，中国农业银行同样通过自己的努力赢得了良好的信誉，每年位居《财富》世界500强企业之列。作为一家城乡并举、联通国际、功能齐备的大型国有商业银行，中国农业银行一贯秉承以客户为中心的经营理念，坚持审慎稳健经营、可持续发展，立足县域和城市两大市场，实施差异化竞争策略，着力打造“伴你成长”服务品牌，依托覆盖全国的分支机构、庞大的电子化网络和多元化的金融产品，致力为广大客户提供优质的金融服务，与广大客户共创价值、共同成长。</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中国农业银行是中国第一批开展托管业务的国内商业银行，经验丰富，服务优质，业绩突出，2004年被英国《全球托管人》评为中国“最佳托管银行”。2007年</w:t>
      </w:r>
      <w:r>
        <w:rPr>
          <w:rFonts w:ascii="宋体" w:hAnsi="宋体"/>
          <w:sz w:val="24"/>
        </w:rPr>
        <w:lastRenderedPageBreak/>
        <w:t>中国农业银行通过了美国SAS70内部控制审计，并获得无保留意见的SAS70审计报告。自2010年起中国农业银行连续通过托管业务国际内控标准（ISAE3402）认证，表明了独立公正第三方对中国农业银行托管服务运作流程的风险管理、内部控制的健全有效性的全面认可。中国农业银行着力加强能力建设，品牌声誉进一步提升，在2010年首届“‘金牌理财’TOP10颁奖盛典”中成绩突出，获“最佳托管银行”奖。2010年再次荣获《首席财务官》杂志颁发的“最佳资产托管奖”。2012年荣获第十届中国财经风云榜“最佳资产托管银行”称号；2013年至2017年连续荣获上海清算所授予的“托管银行优秀奖”和中央国债登记结算有限责任公司授予的“优秀托管机构奖”称号；2015年、2016年荣获中国银行业协会授予的“养老金业务最佳发展奖”称号；2018年荣获中国基金报授予的公募基金20年“最佳基金托管银行”奖；2019年荣获证券时报授予的“2019年度资产托管银行天玑奖”称号；2020年被美国《环球金融》评为中国“最佳托管银行”；2021年荣获全国银行间同业拆借中心首次设立的“银行间本币市场优秀托管行”奖；2022年在权威杂志《财资》年度评选中首次荣获“中国最佳保险托管银行”。</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证券投资基金托管部于1998年5月经中国证监会和中国人民银行批准成立，2004年更名为中国农业银行托管业务部。目前内设风险合规部/综合管理部、业务管理部、客户一部、客户二部、客户三部、客户四部、系统与信息管理部、营运管理部、营运一部、营运二部，拥有先进的安全防范设施和基金托管业务系统。</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2、主要人员情况</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托管业务部现有员工302名，其中具有高级职称的专家60名，服务团队成员专业水平高、业务素质好、服务能力强，高级管理层均有20年以上金融从业经验和高级技术职称，精通国内外证券市场的运作。</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3、基金托管业务经营情况</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截止到2025年9月30日，中国农业银行托管的封闭式证券投资基金和开放式证券投资基金共982只。</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（二）基金托管人的内部风险控制制度说明</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1、内部控制目标</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严格遵守国家有关托管业务的法律法规、行业监管规章和行内有关管理规定，守法经营、规范运作、严格监察，确保业务的稳健运行，保证基金财产的安全完</w:t>
      </w:r>
      <w:r>
        <w:rPr>
          <w:rFonts w:ascii="宋体" w:hAnsi="宋体"/>
          <w:sz w:val="24"/>
        </w:rPr>
        <w:lastRenderedPageBreak/>
        <w:t>整，确保有关信息的真实、准确、完整、及时，保护基金份额持有人的合法权益。</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2、内部控制组织结构</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委员会总体负责中国农业银行的风险管理与内部控制工作，对托管业务风险管理和内部控制工作进行监督和评价。托管业务部专门设置了风险管理处，配备了专职内控监督人员负责托管业务的内控监督工作，独立行使监督稽核职权。</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3、内部控制制度及措施</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备系统、完善的制度控制体系，建立了管理制度、控制制度、岗位职责、业务操作流程，可以保证托管业务的规范操作和顺利进行；业务人员具备从业资格；业务管理实行严格的复核、审核、检查制度，授权工作实行集中控制，业务印章按规程保管、存放、使用，账户资料严格保管，制约机制严格有效；业务操作区专门设置，封闭管理，实施音像监控；业务信息由专职信息披露人负责，防止泄密；业务实现自动化操作，防止人为事故的发生，技术系统完整、独立。</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（三）基金托管人对基金管理人运作基金进行监督的方法和程序</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通过参数设置将《基金法》、《运作办法》、基金合同、托管协议规定的投资比例和禁止投资品种输入监控系统，每日登录监控系统监督基金管理人的投资运作，并通过基金资金账户、基金管理人的投资指令等监督基金管理人的其他行为。</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当基金出现异常交易行为时，基金托管人应当针对不同情况进行以下方式的处理：</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1、电话提示。对媒体和舆论反映集中的问题，电话提示基金管理人；</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2、书面警示。对本基金投资比例接近超标、资金头寸不足等问题，以书面方式对基金管理人进行提示；</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3、书面报告。对投资比例超标、清算资金透支以及其他涉嫌违规交易等行为，书面提示有关基金管理人并报中国证监会。</w:t>
      </w:r>
    </w:p>
    <w:p w:rsidR="00B439CC" w:rsidRDefault="005C4E6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4E0414" w:rsidRDefault="005C4E64">
      <w:pPr>
        <w:pStyle w:val="1"/>
        <w:snapToGrid w:val="0"/>
        <w:spacing w:beforeLines="0" w:before="240" w:after="240"/>
        <w:rPr>
          <w:rFonts w:ascii="宋体" w:hAnsi="宋体"/>
          <w:szCs w:val="30"/>
        </w:rPr>
      </w:pPr>
      <w:bookmarkStart w:id="8" w:name="_Toc240548782"/>
      <w:r>
        <w:rPr>
          <w:rFonts w:ascii="Times New Roman" w:hAnsi="Times New Roman"/>
          <w:sz w:val="30"/>
        </w:rPr>
        <w:lastRenderedPageBreak/>
        <w:t>五、相关服务机构</w:t>
      </w:r>
      <w:bookmarkEnd w:id="8"/>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本基金直销机构为本公司直销柜台以及本公司的网上直销交易平台（网站及APP，下同）。</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个人投资者可以通过基金管理人网上直销交易平台办理开户、本基金的申购、赎回、定期定额投资等业务，具体交易细则请参阅基金管理人网站。</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 fund001.com。</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2、其他销售机构</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（1）名称：交通银行股份有限公司</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（2）名称：中国农业银行股份有限公司</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住所：北京市东城区建国门内大街69号</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法定代表人：周慕冰</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联系电话：010-66060069</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传真：010-68121816</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联系人：贺倩</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客户服务电话：95599</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网址：www.abchina.com</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（3）名称：招商银行股份有限公司</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住所：深圳市福田区深南大道7088号</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传真：（0755）83195109</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（4）名称：国信证券股份有限公司</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住所：深圳市罗湖区红岭中路1012号国信证券大厦16-26楼</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办公地址：深圳市罗湖区红岭中路1012号国信证券大厦16-26楼</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法定代表人：张纳沙</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电话：（0755）82130833</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传真：（0755）82133952</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联系人：于智勇</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客户服务电话：95536</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网址：www.guosen.com.cn</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（5）名称：南京证券股份有限公司</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住所：南京市江东中路389号</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办公地址：南京市江东中路389号</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法定代表人：李剑锋</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电话：（025）58519529</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传真：（025）83369725</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联系人：曹梦媛</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客户服务电话：95386</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网址：www.nizq.com.cn</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（6）名称：中信建投证券股份有限公司</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法定代表人：刘成</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电话：（010）56135784</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联系人：刘芸</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（7）名称：东方财富证券股份有限公司</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住所：西藏自治区拉萨市柳梧新区国际总部城10栋楼</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办公地址：上海市徐汇区宛平南路88号东方财富大厦</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法定代表人：戴彦</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电话：（021）021-23586603</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传真：（021）021-23586860</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联系人：付佳</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客户服务电话：95357</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网址：http://www.18.cn</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（8）名称：国金证券股份有限公司</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网址：www.gjzq.com.cn</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（9）名称：平安证券股份有限公司</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住所：深圳市福田区金田路大中华国际交易广场裙楼8楼</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办公地址：深圳市福田区金田路大中华国际交易广场裙楼8楼(518048)</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法定代表人：杨宇翔</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电话：（0755）22627802</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传真：（0755）82400862</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联系人：郑舒丽</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客户服务电话：95511-8</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网址：www.pingan.com</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（10）名称：兴业证券股份有限公司</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住所：福州市湖东路268号</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办公地址：上海市浦东新区长柳路36号</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法定代表人：杨华辉</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021-38565547</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联系人：乔琳雪</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www.xyzq.com.cn</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客户服务电话：95562</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（11）名称：中信证券（山东）有限责任公司</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法定代表人：肖海峰</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联系人：赵如意</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（12）名称：中信证券华南股份有限公司</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法定代表人：陈可可</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传真：020-88836984</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联系人：郭杏燕</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（13）名称：中信证券股份有限公司</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（14）名称：上海联泰基金销售有限公司</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（15）名称：京东肯特瑞基金销售有限公司</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客服热线：95118</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（16）名称：腾安基金销售（深圳）有限公司</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网址：http://www.tenganxinxi.com/</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（17）名称：北京度小满基金销售有限公司</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注册地址：北京市海淀区西北旺东路10号院西区4号楼1层103室</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（18）名称：北京汇成基金销售有限公司</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（19）名称：北京雪球基金销售有限公司</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住所：北京市朝阳区创远路 34 号院6号楼15层1501室</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（20）名称：中证金牛（北京）基金销售有限公司</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北京市丰台区东管头1号2号楼2-45室</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北京市西城区宣武门外大街甲一号环球财讯中心A座5层</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钱昊旻</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电话：（010）59336512</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传真：（010）59336586</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沈晨</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客户服务电话：4008-909-998</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www.jnlc.com</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（21）名称：北京创金启富基金销售有限公司</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北京市西城区白纸坊东街2号院6号楼712室</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北京市西城区白纸坊东街2号院6号楼712室</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梁蓉</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电话：010-66154828-8047</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传真：010-63583991</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魏素清</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客户服务电话：010-66154828</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https://www.5irich.com</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（22）名称：上海天天基金销售有限公司</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电话：（021）54509998</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（23）名称：上海好买基金销售有限公司</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（24）名称：蚂蚁（杭州）基金销售有限公司</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（25）名称：上海基煜基金销售有限公司</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客户服务电话：（021）65370077</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（26）名称：博时财富基金销售有限公司</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（27）名称：深圳众禄基金销售股份有限公司</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办公地址：深圳市罗湖区梨园路物资控股置地大厦8楼</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（28）名称：玄元保险代理有限公司</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住所：中国(上海)自由贸易试验区张杨路707号1105室</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办公地址：中国(上海)自由贸易试验区张杨路707号1105室</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法定代表人：马永谙</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电话：（021）50701053</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传真：（021）50701053</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客户服务电话：400-080-8208</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网址：www.licaimofang.cn</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（29）名称：珠海盈米基金销售有限公司</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办公地址：广州市海珠区琶洲大道东1号保利国际广场南塔12楼B1201-1203</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（30）名称：上海利得基金销售有限公司</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（31）名称：上海华夏财富投资管理有限公司</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住所：上海市虹口区东大名路687号1幢2楼268室</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北京市西城区金融大街33号通泰大厦B座8层</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毛淮平</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电话：010-88066632</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传真：010-63136184</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张静怡</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客户服务电话：400-817-5666</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www.amcfortune.com</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（32）名称：嘉实财富管理有限公司</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住所：海南省三亚市天涯区三亚湾路国际客运港区国际养生度假中心酒店B座(2＃楼)27楼2714室</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办公地址及其联系方式：北京市朝阳区建国门外大街21号北京国际俱乐部C座</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 010-85097302</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（33）名称：中信期货有限公司</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住所：深圳市福田区中心三路8号卓越时代广场（二期）北座13层1301-1305室、14层</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办公地址：深圳市福田区中心三路8号卓越时代广场（二期）北座13层1301-1305室、14层</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电话：010-60833754</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（二）登记机构</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办公地址：上海浦东新区世纪大道8号国金中心二期21-22楼</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电话：（021）61055461</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传真：（021）61055064</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联系人：陈方强</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办公地址：上海市银城中路68号时代金融中心19楼</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负责人：韩炯</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传真：（021）31358600</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联系人：丁媛</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经办律师：黎明、丁媛</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名称：毕马威华振会计师事务所(特殊普通合伙)</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住所：北京市东城区东长安街1号东方广场2座办公楼8层</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办公地址：中国上海南京西路1266号恒隆广场2期25楼</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执行事务合伙人：邹俊</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电话：+86 (21) 2212 2888</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传真：+86 (21) 6288 1889</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联系人：侯雯</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经办注册会计师：王国蓓、侯雯</w:t>
      </w:r>
    </w:p>
    <w:p w:rsidR="00B439CC" w:rsidRDefault="005C4E6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4E0414" w:rsidRDefault="005C4E64">
      <w:pPr>
        <w:pStyle w:val="1"/>
        <w:snapToGrid w:val="0"/>
        <w:spacing w:beforeLines="0" w:before="240" w:after="240"/>
        <w:rPr>
          <w:rFonts w:ascii="宋体" w:hAnsi="宋体"/>
          <w:szCs w:val="30"/>
        </w:rPr>
      </w:pPr>
      <w:bookmarkStart w:id="9" w:name="_Toc240548783"/>
      <w:r>
        <w:rPr>
          <w:rFonts w:ascii="Times New Roman" w:hAnsi="Times New Roman"/>
          <w:sz w:val="30"/>
        </w:rPr>
        <w:lastRenderedPageBreak/>
        <w:t>六、基金的募集</w:t>
      </w:r>
      <w:bookmarkEnd w:id="9"/>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本基金由基金管理人依照《基金法》、《运作办法》、《销售办法》、基金合同及其他有关规定，并经中国证监会2022年12月30日证监许可【2022】3267号文准予募集注册。</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本基金为契约型开放式债券型证券投资基金。基金存续期间为不定期。</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本基金募集期间基金份额净值为人民币1.00元，按初始面值发售。</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本基金于2023年4月10日至2023年4月21日进行发售，本基金设立募集期共募集1,939,578,138.25份基金份额，有效认购户数为6,444户。</w:t>
      </w:r>
    </w:p>
    <w:p w:rsidR="00B439CC" w:rsidRDefault="005C4E6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4E0414" w:rsidRDefault="005C4E64">
      <w:pPr>
        <w:pStyle w:val="1"/>
        <w:snapToGrid w:val="0"/>
        <w:spacing w:beforeLines="0" w:before="240" w:after="240"/>
        <w:rPr>
          <w:rFonts w:ascii="宋体" w:hAnsi="宋体"/>
          <w:szCs w:val="30"/>
        </w:rPr>
      </w:pPr>
      <w:bookmarkStart w:id="10" w:name="_Toc240548784"/>
      <w:r>
        <w:rPr>
          <w:rFonts w:ascii="Times New Roman" w:hAnsi="Times New Roman"/>
          <w:sz w:val="30"/>
        </w:rPr>
        <w:lastRenderedPageBreak/>
        <w:t>七、基金合同的生效</w:t>
      </w:r>
      <w:bookmarkEnd w:id="10"/>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根据有关规定，本基金满足基金合同生效条件，基金合同已于2023年4月25日正式生效。自基金合同生效之日起，本基金管理人正式开始管理本基金。</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法律法规或中国证监会另有规定时，从其规定。</w:t>
      </w:r>
    </w:p>
    <w:p w:rsidR="00B439CC" w:rsidRDefault="005C4E6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4E0414" w:rsidRDefault="005C4E64">
      <w:pPr>
        <w:pStyle w:val="1"/>
        <w:snapToGrid w:val="0"/>
        <w:spacing w:beforeLines="0" w:before="240" w:after="240"/>
        <w:rPr>
          <w:rFonts w:ascii="宋体" w:hAnsi="宋体"/>
          <w:szCs w:val="30"/>
        </w:rPr>
      </w:pPr>
      <w:bookmarkStart w:id="11" w:name="_Toc240548785"/>
      <w:r>
        <w:rPr>
          <w:rFonts w:ascii="Times New Roman" w:hAnsi="Times New Roman"/>
          <w:sz w:val="30"/>
        </w:rPr>
        <w:lastRenderedPageBreak/>
        <w:t>八、基金份额的申购与赎回</w:t>
      </w:r>
      <w:bookmarkEnd w:id="11"/>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（一）申购和赎回的场所</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投资人可通过下述场所按照规定的方式进行申购或赎回：</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1、本基金管理人的直销机构</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本基金直销机构为基金管理人直销柜台以及基金管理人的网上直销交易平台。</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个人投资者可以通过基金管理人网上直销交易平台办理开户、本基金的申购、赎回、定期定额投资等业务，具体交易细则请参阅基金管理人网站。网上直销交易平台网址：www.fund001.com</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2、除基金管理人之外的其他销售机构</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本基金除基金管理人之外的其他销售机构参见本招募说明书“五、相关服务机构”章节或拨打基金管理人客户服务电话进行咨询。</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投资人应当通过上述销售机构办理基金申购、赎回业务的营业场所或按上述销售机构提供的其他方式进行申购或赎回。本基金管理人可根据情况变更或增减基金销售机构，并在基金管理人网站公示。</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若基金管理人或其指定的销售机构开通电话、传真或网上等交易方式，投资人可以通过上述方式进行申购与赎回。</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（二）申购和赎回的开放日及时间</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开放日办理基金份额的申购和赎回，但对于每份基金份额，基金份额持有人仅可在该份额最短持有期限届满日起（含该日）申请赎回，具体办理时间为上海证券交易所、深圳证券交易所的正常交易日的交易时间，但基金管理人根据法</w:t>
      </w:r>
      <w:r>
        <w:rPr>
          <w:rFonts w:ascii="宋体" w:hAnsi="宋体"/>
          <w:sz w:val="24"/>
        </w:rPr>
        <w:lastRenderedPageBreak/>
        <w:t>律法规、中国证监会的要求或基金合同的规定公告暂停申购、赎回时除外。</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若出现新的证券/期货交易市场、证券/期货交易所交易时间变更或其他特殊情况，基金管理人将视情况对前述开放日及开放时间进行相应的调整，但应在实施日前依照《信息披露办法》的有关规定在规定媒介上公告。</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2、申购、赎回开始日及业务办理时间</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本基金已于2023年6月19日起开放申购业务。</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本基金已于2023年7月24日起开放赎回业务。</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对于每份基金份额，自其最短持有期限届满日起（含该日），基金份额持有人方可就该基金份额提出赎回申请。</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或转换价格为下一开放日基金份额申购、赎回或转换的价格。投资人在最短持有期限内提出的赎回或转换申请，视为无效申请。</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（三）申购与赎回的原则</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1、“未知价”原则，即申购、赎回价格以申请当日收市后计算的基金份额净值为基准进行计算；</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3、当日的申购与赎回申请可以在基金管理人规定的时间以内撤销，但申请经登记机构受理的不得撤销；</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4、赎回遵循“先进先出”原则，即按照投资人认购、申购的先后次序进行顺序赎回；</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5、办理申购、赎回业务时，应当遵循基金份额持有人利益优先原则，确保投资者的合法权益不受损害并得到公平对待。</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基金管理人可在法律法规允许的情况下，对上述原则进行调整。基金管理人必须在新规则开始实施前依照《信息披露办法》的有关规定在规定媒介上公告。</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（四）申购和赎回的数额限定</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直销机构首次申购的最低金额为单笔100万元，追加申购的最低金额为单笔10万元；已在直销机构有认购或申购过本基金管理人管理的任一基金（包括本基金）</w:t>
      </w:r>
      <w:r>
        <w:rPr>
          <w:rFonts w:ascii="宋体" w:hAnsi="宋体"/>
          <w:sz w:val="24"/>
        </w:rPr>
        <w:lastRenderedPageBreak/>
        <w:t>记录的投资人不受首次申购最低金额的限制。通过基金管理人网上直销交易平台办理基金申购业务的不受直销机构单笔申购最低金额的限制，申购最低金额为单笔1元。本基金直销机构单笔申购最低金额可由基金管理人酌情调整。其他销售机构接受申购申请的最低金额为单笔1元，如果销售机构业务规则规定的最低单笔申购金额高于1元，以该销售机构的规定为准。</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本基金暂不向金融机构自营账户销售（基金管理人自有资金除外），如未来本基金开放向金融机构自营账户公开销售或对销售对象的范围予以进一步限定，基金管理人将另行公告。</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单一投资者单日申购金额不超过1000万元（个人投资者、公募资产管理产品、职业年金计划、企业年金计划、养老金产品和基金管理人自有资金除外）。基金管理人可以调整单一投资者单日申购金额上限，具体规定请参见更新的招募说明书或相关公告。</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3、最低基金份额余额的限制</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本基金暂无最低保留余额限制。</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基金管理人届时发布的相关公告。</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5、基金管理人可在法律法规允许的情况下，调整申购金额和赎回份额的数量限制。基金管理人必须在调整实施前依照《信息披露办法》的有关规定在规定媒介上公告。</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（五）申购和赎回的程序</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w:t>
      </w:r>
      <w:r>
        <w:rPr>
          <w:rFonts w:ascii="宋体" w:hAnsi="宋体"/>
          <w:sz w:val="24"/>
        </w:rPr>
        <w:lastRenderedPageBreak/>
        <w:t>回申请不成立。</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2、申购和赎回的款项支付</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投资人申购基金份额时，必须全额交付申购款项，若申购资金在规定时间内未全额到账则申购不成立。投资人全额交付申购款项，申购成立；登记机构确认基金份额时，申购生效。</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递交赎回申请，赎回成立；登记机构确认赎回时，赎回生效。投资者赎回申请生效后，基金管理人将在T＋7日（包括该日）内支付赎回款项。在发生巨额赎回或基金合同载明的其他暂停赎回或延缓支付赎回款项的情形时，款项的支付办法参照基金合同有关条款处理。</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3、申购和赎回申请的确认</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T日），在正常情况下，本基金登记机构在T+1日（包括该日）内对该交易的有效性进行确认。T日提交的有效申请，投资人应在T+2日后（包括该日）及时到销售网点柜台或以销售机构规定的其他方式查询申请的确认情况。若申购不成功，则申购款项本金退还给投资人。</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基金管理人可在法律法规允许的范围内，依法对上述申购和赎回申请的确认时间进行调整，并必须在调整实施日前按照《信息披露办法》的有关规定在规定媒介上公告。</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（六）基金的申购费和赎回费</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本基金基金份额分为A类基金份额和C类基金份额。投资人申购A类基金份额在申购时支付申购费用；申购C类基金份额不支付申购费用，并从该类别基金资产中计提销售服务费。</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A类基金份额的申购费用由A类基金份额申购人承担，不列入基金财产，主要用于本基金的市场推广、销售、登记结算等各项费用。</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投资人可以多次申购本基金，申购费用按每笔申购申请单独计算。</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本基金A类基金份额（非养老金客户）的申购费率如下：</w:t>
      </w:r>
    </w:p>
    <w:tbl>
      <w:tblPr>
        <w:tblW w:w="5000" w:type="pct"/>
        <w:tblCellMar>
          <w:left w:w="0" w:type="dxa"/>
          <w:right w:w="0" w:type="dxa"/>
        </w:tblCellMar>
        <w:tblLook w:val="0000" w:firstRow="0" w:lastRow="0" w:firstColumn="0" w:lastColumn="0" w:noHBand="0" w:noVBand="0"/>
      </w:tblPr>
      <w:tblGrid>
        <w:gridCol w:w="2167"/>
        <w:gridCol w:w="6503"/>
      </w:tblGrid>
      <w:tr w:rsidR="004E041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类基金份额申购费率</w:t>
            </w:r>
          </w:p>
        </w:tc>
      </w:tr>
      <w:tr w:rsidR="004E041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0.3%</w:t>
            </w:r>
          </w:p>
        </w:tc>
      </w:tr>
      <w:tr w:rsidR="004E041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0.2%</w:t>
            </w:r>
          </w:p>
        </w:tc>
      </w:tr>
      <w:tr w:rsidR="004E041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0.1%</w:t>
            </w:r>
          </w:p>
        </w:tc>
      </w:tr>
      <w:tr w:rsidR="004E041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持有A类基金份额的投资人因红利自动再投资而产生的A类基金份额，不收取相应的申购费用。</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本基金对通过基金管理人直销柜台申购A类基金份额的养老金客户实施特定申购费率。</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1）全国社会保障基金；</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2）可以投资基金的地方社会保障基金；</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3）企业年金单一计划以及集合计划；</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4）企业年金理事会委托的特定客户资产管理计划；</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5）企业年金养老金产品。</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如将来出现经养老基金监管部门认可的新的养老基金类型，基金管理人可在招募说明书更新或发布临时公告将其纳入养老金客户范围。</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通过基金管理人直销柜台申购本基金A类基金份额的养老金客户特定申购费率如下表：</w:t>
      </w:r>
    </w:p>
    <w:tbl>
      <w:tblPr>
        <w:tblW w:w="5000" w:type="pct"/>
        <w:tblCellMar>
          <w:left w:w="0" w:type="dxa"/>
          <w:right w:w="0" w:type="dxa"/>
        </w:tblCellMar>
        <w:tblLook w:val="0000" w:firstRow="0" w:lastRow="0" w:firstColumn="0" w:lastColumn="0" w:noHBand="0" w:noVBand="0"/>
      </w:tblPr>
      <w:tblGrid>
        <w:gridCol w:w="2167"/>
        <w:gridCol w:w="6503"/>
      </w:tblGrid>
      <w:tr w:rsidR="004E041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类基金份额特定申购费率</w:t>
            </w:r>
          </w:p>
        </w:tc>
      </w:tr>
      <w:tr w:rsidR="004E041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0.12%</w:t>
            </w:r>
          </w:p>
        </w:tc>
      </w:tr>
      <w:tr w:rsidR="004E041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0.06%</w:t>
            </w:r>
          </w:p>
        </w:tc>
      </w:tr>
      <w:tr w:rsidR="004E041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w:t>
            </w:r>
          </w:p>
        </w:tc>
      </w:tr>
      <w:tr w:rsidR="004E041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w:t>
      </w:r>
      <w:r>
        <w:rPr>
          <w:rFonts w:ascii="宋体" w:hAnsi="宋体"/>
          <w:sz w:val="24"/>
        </w:rPr>
        <w:lastRenderedPageBreak/>
        <w:t>卡交易金额限额请参阅本基金管理人网站。</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持有的每份基金份额最短持有期限为90天，最短持有期限届满后，本基金不收取赎回费。其中，对于不受最短持有期限制的红利再投资所得基金份额，对持续持有期少于7日的投资者收取1.5%的赎回费，并全额计入基金财产。</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3、基金管理人可以在基金合同约定的范围内调整费率或收费方式，并最迟应于新的费率或收费方式实施日前依照《信息披露办法》的有关规定在规定媒介上公告。</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销售费用。</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5、当本基金发生大额申购或赎回情形时，基金管理人可以采用摆动定价机制，以确保基金估值的公平性。具体处理原则与操作规范遵循相关法律法规以及监管部门、自律规则的规定。</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（七）申购和赎回的数额和价格</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A类基金份额或C类基金份额的有效份额为净申购金额除以当日该类基金份额的基金份额净值，有效份额单位为份，申购份额计算结果按四舍五入方法，保留到小数点后2位，由此产生的收益或损失由基金财产承担。</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A类基金份额或C类基金份额的赎回金额为按实际确认的有效赎回份额乘以当日该类基金份额的基金份额净值并扣除相应的费用（如有），赎回金额单位为元。赎回金额计算结果按四舍五入方法，保留到小数点后2位，由此产生的收益或损失由基金财产承担。</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（1）A类基金份额的申购</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申购费用=申购总金额-净申购金额</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（注：对于适用固定金额申购费用的申购，申购费用＝固定申购费用金额）</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申购份额=（申购总金额-申购费用）/T日A类基金份额净值</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例四：某投资者（非养老金客户）投资100,000元申购本基金的A类基金份额，假设申购当日A类基金份额净值为1.0400元，申购费率为0.3%，则其可得到的申购份额为：</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净申购金额=100,000/（1+0.3%）=99,700.90元</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申购费用=100,000-99,700.90=299.10元</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申购份额=（100,000-299.10）/1.0400=95,866.25份</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即：某投资者（非养老金客户）投资100,000元申购本基金的A类基金份额，假设申购当日A类基金份额净值为1.0400元，则其可得到95,866.25份A类基金份额。</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例五：某养老金客户投资1,000,000元通过基金管理人的直销柜台申购本基金的A类基金份额，假设申购当日A类基金份额净值为1.0400元，申购费率为0.06%，则其可得到的申购份额为：</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申购总金额＝1,000,000元</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净申购金额=1,000,000/（1+0.06%）=999,400.36元</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申购费用=1,000,000-999,400.36=599.64元</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申购份额=（1,000,000-599.64）/1.0400=960,961.88份</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即：该养老金客户投资1,000,000元通过基金管理人的直销柜台申购本基金的A类基金份额，假设申购当日A类基金份额净值为1.0400元，则其可得到960,961.88份A类基金份额。</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（2）C类基金份额的申购</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如果投资者选择申购C类基金份额，则申购份额的计算方法如下：</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申购份额=申购总金额/T日C类基金份额净值</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例六：某投资者投资100,000元申购本基金的C类基金份额，假设申购当日C类基金份额净值为1.0400元，则其可得到的申购份额为：</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申购份额＝100,000/1.0400＝96,153.85份</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即：投资者投资100,000元申购本基金的C类基金份额，假设申购当日C类基金</w:t>
      </w:r>
      <w:r>
        <w:rPr>
          <w:rFonts w:ascii="宋体" w:hAnsi="宋体"/>
          <w:sz w:val="24"/>
        </w:rPr>
        <w:lastRenderedPageBreak/>
        <w:t>份额净值为1.0400元，则其可得到96,153.85份C类基金份额。</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赎回费用=赎回份额×T日该类基金份额净值×赎回费率</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赎回金额=赎回份额×T日该类基金份额净值-赎回费用</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例七：某投资者赎回持有100天的10,000份A类基金份额，对应的赎回费率为0，假设赎回当日A类基金份额净值是1.0025元，则其可得到的赎回金额为：</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赎回费用=0元</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赎回金额=10,000×1.0025-0＝10,025.00元</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即：投资者赎回持有100天的本基金10,000份A类基金份额，对应的赎回费率为0，假设赎回当日A类基金份额净值是1.0025元，则其可得到的赎回金额为10,025.00元。</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A类基金份额净值＝A类基金份额的基金资产净值总额/发行在外的A类基金份额总数</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C类基金份额净值＝C类基金份额的基金资产净值总额/发行在外的C类基金份额总数</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和C类基金份额的份额净值的计算，保留到小数点后4位，小数点后第5位四舍五入，由此产生的收益或损失由基金财产承担。T日的基金份额净值在当天收市后计算，并在T+1日（包括该日）内公告。遇特殊情况，经履行适当程序，可以适当延迟计算或公告。</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（八）拒绝或暂停申购的情形</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发生下列情况时，基金管理人可拒绝或暂停接受投资人的申购申请：</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2、发生基金合同规定的暂停基金资产估值情况时，基金管理人可暂停接受投资人的申购申请。</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3、证券/期货交易所交易时间非正常停市，导致基金管理人无法计算当日基金资产净值。</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4、接受某笔或某些申购申请可能会影响或损害现有基金份额持有人利益时。</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5、基金资产规模过大，使基金管理人无法找到合适的投资品种，或其他可能对基金业绩产生负面影响，或发生其他损害现有基金份额持有人利益的情形。</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6、基金销售机构、基金销售支付结算机构或登记机构的异常情况导致基金销售系统、基金销售支付结算系统、基金注册登记系统或基金会计系统无法正常运行。</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7、当前一估值日基金资产净值50%以上的资产出现无可参考的活跃市场价格且采用估值技术仍导致公允价值存在重大不确定性时，经与基金托管人协商确认后，基金管理人应当暂停接受基金申购申请。</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8、基金管理人接受某笔或者某些申购申请有可能导致单一投资者持有基金份额的比例超过50%，或者变相规避50%集中度的。出现上述情形时，基金管理人有权将上述申购申请全部或部分确认失败。</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9、法律法规规定、中国证监会认定或基金合同约定的其他情形。</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第1、2、3、5、6、7、9项暂停申购情形之一且基金管理人决定暂停接受投资人申购申请时，基金管理人应当根据有关规定在规定媒介上刊登暂停申购公告。如果投资人的申购申请被拒绝，被拒绝的申购款项将退还给投资人。在暂停申购的情况消除时，基金管理人应及时恢复申购业务的办理。</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（九）暂停赎回或延缓支付赎回款项的情形</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发生下列情形时，基金管理人可暂停接受投资人的赎回申请或延缓支付赎回款项：</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1、因不可抗力导致基金管理人不能支付赎回款项。</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3、证券/期货交易所交易时间非正常停市，导致基金管理人无法计算当日基金资产净值。</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4、连续两个或两个以上开放日发生巨额赎回。</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5、发生继续接受赎回申请将损害现有基金份额持有人利益的情形时，基金管理人可暂停接受基金份额持有人的赎回申请。</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6、基金管理人、基金托管人、基金销售机构、基金销售支付结算机构或登记机构的异常情况导致基金销售系统、基金销售支付结算系统、基金注册登记系统或基金会计系统无法正常运行。</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7、当前一估值日基金资产净值50%以上的资产出现无可参考的活跃市场价格且采用估值技术仍导致公允价值存在重大不确定性时，经与基金托管人协商确认后，</w:t>
      </w:r>
      <w:r>
        <w:rPr>
          <w:rFonts w:ascii="宋体" w:hAnsi="宋体"/>
          <w:sz w:val="24"/>
        </w:rPr>
        <w:lastRenderedPageBreak/>
        <w:t>基金管理人应当延缓支付赎回款项或暂停接受基金赎回申请。</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8、法律法规规定、中国证监会认定或基金合同约定的其他情形。</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之一且基金管理人决定暂停接受基金份额持有人的赎回申请或延缓支付赎回款项时，基金管理人应及时报中国证监会备案，已确认的赎回申请，基金管理人应足额支付；如暂时不能足额支付，应将可支付部分按单个账户申请量占申请总量的比例分配给赎回申请人，未支付部分可延期支付。若出现上述第4项所述情形，按基金合同的相关条款处理。基金份额持有人在申请赎回时可事先选择将当日可能未获受理部分予以撤销。在暂停赎回的情况消除时，基金管理人应及时恢复赎回业务的办理并公告。</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（十）巨额赎回的情形及处理方式</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如投资人在提交赎回申请时未作明确选择，投资人未能赎回部分作自动延期赎回处理。</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（3）本基金如发生巨额赎回且单个开放日内单个基金份额持有人申请赎回的基金份额超过前一开放日的基金总份额的20%时，本基金管理人有权采取如下措施：</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当发生上述巨额赎回并延期办理时，基金管理人应当通过邮寄、传真、刊登公告或者通知销售机构代为告知等方式在3个交易日内通知基金份额持有人，说明有关处理方法，并在两日内在规定媒介上刊登公告。</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（十一）暂停申购或赎回的公告和重新开放申购或赎回的公告</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1、发生上述暂停申购或赎回情况的，基金管理人应在规定期限内在规定媒介上刊登暂停公告。</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2、如发生暂停的时间为1日，基金管理人应于重新开放日，在规定媒介上刊登基金重新开放申购或赎回公告，并公布最近1个开放日的各类基金份额净值。</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发生暂停的时间超过1日，基金管理人可以根据暂停申购或赎回的时间，依照《信息披露办法》的有关规定，最迟于重新开放日在规定媒介上刊登重新开放申购或赎回的公告；也可以根据实际情况在暂停公告中明确重新开放申购或赎回的时间，届时不再另行发布重新开放的公告。</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（十二）基金转换</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可以根据相关法律法规以及基金合同的规定决定开办本基金与基金管理人管理的其他基金之间的转换业务，基金转换可以收取一定的转换费，相关规则由基金管理人届时根据相关法律法规及基金合同的规定制定并公告，并提前告知基金托管人与相关机构。</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（十三）基金的非交易过户</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（十四）基金的转托管</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（十五）定期定额投资计划</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本基金2023年6月15日刊登公告自2023年6月19日起开通定期定额投资计划业务，具体开通销售机构名单和业务规则参见相关公告。</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（十六）基金份额的冻结和解冻</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基金登记机构只受理国家有权机关依法要求的基金份额的冻结与解冻，以及登记机构认可、符合法律法规的其他情况下的冻结与解冻。</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（十七）基金份额的转让</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在法律法规允许且条件具备的情况下，基金管理人可受理基金份额持有人通过</w:t>
      </w:r>
      <w:r>
        <w:rPr>
          <w:rFonts w:ascii="宋体" w:hAnsi="宋体"/>
          <w:sz w:val="24"/>
        </w:rPr>
        <w:lastRenderedPageBreak/>
        <w:t>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（十八）实施侧袋机制期间本基金的申购与赎回</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本基金实施侧袋机制的，本基金的申购和赎回安排详见本招募说明书“侧袋机制”部分的规定或相关公告。</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（十九）其他业务</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rsidR="00B439CC" w:rsidRDefault="005C4E6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4E0414" w:rsidRDefault="005C4E64">
      <w:pPr>
        <w:pStyle w:val="1"/>
        <w:snapToGrid w:val="0"/>
        <w:spacing w:beforeLines="0" w:before="240" w:after="240"/>
        <w:rPr>
          <w:rFonts w:ascii="宋体" w:hAnsi="宋体"/>
          <w:szCs w:val="30"/>
        </w:rPr>
      </w:pPr>
      <w:bookmarkStart w:id="12" w:name="_Toc240548786"/>
      <w:r>
        <w:rPr>
          <w:rFonts w:ascii="Times New Roman" w:hAnsi="Times New Roman"/>
          <w:sz w:val="30"/>
        </w:rPr>
        <w:lastRenderedPageBreak/>
        <w:t>九、基金的投资</w:t>
      </w:r>
      <w:bookmarkEnd w:id="12"/>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（一）投资目标</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在严格控制风险和保持较高流动性的前提下，力求获得高于业绩比较基准的投资收益。</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（二）投资范围</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债券（含国债、金融债、央行票据、地方政府债、政府支持债、政府支持机构债、企业债、公司债、公开发行的次级债、短期融资券、超短期融资券、中期票据）、资产支持证券、债券回购、银行存款（包括定期存款、协议存款、通知存款等）、同业存单、货币市场工具、国债期货以及法律法规或中国证监会允许基金投资的其他金融工具（但须符合中国证监会相关规定）。本基金不投资于股票等权益类资产，也不投资于可转换债券、可交换债券。</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组合比例为：本基金投资于债券资产的比例不低于基金资产的80%。每个交易日日终在扣除国债期货合约需缴纳的交易保证金后，本基金持有的现金或到期日在一年以内的政府债券的比例合计不低于基金资产净值的5%，其中现金不包括结算备付金、存出保证金、应收申购款等。</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（三）投资策略</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充分发挥基金管理人的研究优势，融合规范化的基本面研究和严谨的信用分析，在分析和判断宏观经济运行状况和金融市场运行趋势的基础上，动态调整大类金融资产比例，自上而下决定类属资产配置和债券组合久期、期限结构；在严谨深入的信用分析基础上，综合考量信用债券的信用评级，以及各类债券的流动性、供求关系和收益率水平等，自下而上精选投资标的。本基金采用的主要策略包括：</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（1）久期调整策略</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本基金根据中长期宏观经济走势和经济周期波动趋势，判断债券市场未来的走</w:t>
      </w:r>
      <w:r>
        <w:rPr>
          <w:rFonts w:ascii="宋体" w:hAnsi="宋体"/>
          <w:sz w:val="24"/>
        </w:rPr>
        <w:lastRenderedPageBreak/>
        <w:t>势，并形成对未来市场利率变动方向的预期，动态调整组合久期。当预期收益率曲线下移时，适当提高组合久期，以分享债券市场上涨的收益；当预期收益率曲线上移时，适当降低组合久期，以规避债券市场下跌风险。</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（2）债券的类属配置策略</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定性和定量地分析不同类属债券类资产的信用风险、流动性风险、市场风险等因素及其经风险调整后的收益率水平或盈利能力，通过比较并合理预期不同类属债券类资产的风险与收益率变化，确定不同类属债券类资产间的配置。</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（3）期限结构配置策略</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预期收益率曲线形态变化来调整投资组合的期限结构配置策略。根据债券收益率曲线形态、各期限段品种收益率变动、结合短期资金利率水平与变动趋势，分析预测收益率曲线的变化，测算子弹、哑铃或梯形等不同期限结构配置策略的风险收益，形成具体的期限结构配置策略。</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（4）回购策略</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当回购利率低于债券收益率时，本基金将实施正回购融入资金并投资于信用债券等可投资标的，从而获取收益率超出回购资金成本（即回购利率）的套利价值。</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（5）信用债券（含资产支持证券，下同）投资策略</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通过宏观经济运行、发行主体的发展前景和偿债能力、国家信用支撑等多重因素的综合考量对信用债券进行信用评级，并在信用评级的基础上，建立信用债券池；然后基于既定的目标久期、信用利差精选个券进行投资。具体而言，本基金信用债券的投资遵循以下流程：</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①信用债券研究</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信用分析师通过系统的案头研究、走访发行主体、咨询发行中介等各种形式，“自上而下”地分析宏观经济运行趋势、行业（或产业）经济前景，“自下而上”地分析发行主体的发展前景、偿债能力、国家信用支撑等。通过交银施罗德的信用债券信用评级指标体系，对信用债券进行信用评级，并在信用评级的基础上，建立本基金的信用债券池。</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②信用债券筛选</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本基金从信用债券池中精选债券构建信用债券投资组合。</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本基金主动投资的信用债（含资产支持证券，下同）为信用评级在AA+级（含）以上的信用债，对信用评级的认定参照基金管理人选定的评级机构出具的信</w:t>
      </w:r>
      <w:r>
        <w:rPr>
          <w:rFonts w:ascii="宋体" w:hAnsi="宋体"/>
          <w:sz w:val="24"/>
        </w:rPr>
        <w:lastRenderedPageBreak/>
        <w:t>用评级，其中，信用债的信用评级依照评级机构出具的债项信用评级，若无债项信用评级的，依照其主体信用评级。本基金投资于评级AA+的信用债比例不高于信用债资产的50%，投资于评级AAA的信用债比例不低于信用债资产的50%。因信用评级下降、证券市场波动、基金规模变动等基金管理人之外的因素致使基金投资比例不符合上述规定的，基金管理人应当在评级报告发布之日或不符合上述规定之日起3个月内调整至符合规定。</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本基金构建和管理信用债券投资组合时主要考虑以下因素：</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a、信用债券信用评级的变化。</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不同信用等级的信用债券，以及同一信用等级不同标的债券之间的信用利差变化。本基金密切关注供求关系、税收、利率、投资人结构与行为以及市场的深度、广度和制度建设等因素对信用利差的影响，对个券进行有效的信用利差交易。</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（6）国债期货投资策略</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进行国债期货投资时，将根据风险管理的原则，以套期保值为目的，并积极采用流动性好、交易活跃的期货合约，通过对国债市场和期货市场运行趋势的研究，结合国债期货的定价模型寻求其合理的估值水平，通过多头或空头套期保值等策略进行套期保值操作。基金管理人将充分考虑国债期货的收益性、流动性及风险性特征，利用金融衍生品的杠杆作用，以达到降低投资组合的整体风险的目的。</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未来，随着投资工具的发展和丰富，基金管理人可以在不改变投资目标的前提下，在履行适当程序之后，相应调整和更新相关投资策略，并在招募说明书中更新，而无需召开基金份额持有人大会。</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（四）投资限制</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1、组合限制</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（1）本基金投资于债券资产的比例不低于基金资产的80%；</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每个交易日日终在扣除国债期货合约需缴纳的交易保证金后，本基金持有的现金或到期日在一年以内的政府债券的比例合计不低于基金资产净值的5%，其中现金不包括结算备付金、存出保证金、应收申购款等；</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（3）本基金持有一家公司发行的证券，其市值不超过基金资产净值的10%；</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（4）本基金管理人管理的全部基金持有一家公司发行的证券，不超过该证券的10％，完全按照有关指数的构成比例进行证券投资的基金品种可以不受此条款规</w:t>
      </w:r>
      <w:r>
        <w:rPr>
          <w:rFonts w:ascii="宋体" w:hAnsi="宋体"/>
          <w:sz w:val="24"/>
        </w:rPr>
        <w:lastRenderedPageBreak/>
        <w:t>定的比例限制；</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（5）本基金投资于同一原始权益人的各类资产支持证券的比例，不得超过基金资产净值的10％；</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（6）本基金持有的全部资产支持证券，其市值不得超过基金资产净值的20％；</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（7）本基金持有的同一（指同一信用级别）资产支持证券的比例，不得超过该资产支持证券规模的10％；</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（8）本基金管理人管理的全部基金投资于同一原始权益人的各类资产支持证券，不得超过其各类资产支持证券合计规模的10％；</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（9）本基金应投资于信用级别评级为AA+以上（含AA+）的资产支持证券。基金持有资产支持证券期间，如果其信用等级下降、不再符合投资标准，应在评级报告发布之日起3个月内予以全部卖出；</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（10）本基金进入全国银行间同业市场进行债券回购的资金余额不得超过基金资产净值的40%，进入全国银行间同业市场进行债券回购的最长期限为1年，债券回购到期后不得展期；</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（11）本基金参与国债期货交易，需遵守下列投资比例限制：</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1）在任何交易日日终，持有的买入国债期货合约价值，不得超过基金资产净值的15%；</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2）在任何交易日日终，持有的卖出国债期货合约价值不得超过基金持有的债券总市值的30%；</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3）基金在任何交易日内交易（不包括平仓）的国债期货合约的成交金额不得超过上一交易日基金资产净值的30%；</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4）本基金所持有的债券（不含到期日在一年以内的政府债券）市值和买入、卖出国债期货合约价值，合计（轧差计算）应当符合基金合同关于债券投资比例的有关约定；</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主动投资于流动性受限资产的市值合计不得超过基金资产净值的15%；因证券市场波动、基金规模变动等基金管理人之外的因素致使基金不符合该比例限制的，基金管理人不得主动新增流动性受限资产的投资；</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（13）本基金与私募类证券资管产品及中国证监会认定的其他主体为交易对手开展逆回购交易的，可接受质押品的资质要求应当与基金合同约定的投资范围保持</w:t>
      </w:r>
      <w:r>
        <w:rPr>
          <w:rFonts w:ascii="宋体" w:hAnsi="宋体"/>
          <w:sz w:val="24"/>
        </w:rPr>
        <w:lastRenderedPageBreak/>
        <w:t>一致；</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（14）本基金资产总值不超过基金资产净值的140%；</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（15）法律法规及中国证监会规定的和《基金合同》约定的其他投资限制。</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2）、（9）、（12）、（13）情形之外，因证券/期货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2、禁止行为</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如法律、行政法规或监管部门取消上述规定，如适用于本基金，基金管理人在</w:t>
      </w:r>
      <w:r>
        <w:rPr>
          <w:rFonts w:ascii="宋体" w:hAnsi="宋体"/>
          <w:sz w:val="24"/>
        </w:rPr>
        <w:lastRenderedPageBreak/>
        <w:t>履行适当程序后，本基金可不受上述规定的限制。</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（五）业绩比较基准</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本基金业绩比较基准：中债-综合全价（1-3年）指数收益率×95%+活期存款基准利率×5%</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1、业绩比较基准设定的原因</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于基金投资范围以及预期投资的主要资产类别，本基金主要投资于债券等资产，相应选取与之匹配的债券指数作为基准要素。同时基于基金投资于债券资产的比例不低于基金资产的80%等投资比例限制，以及预期的资产配置比例，本基金将债券资产和现金类资产所对应的基准要素权重设置为95%、5%。</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于基金投资目标、投资范围和投资策略，本基金的债券资产主要通过类属配置、久期配置、个券选择等进行投资管理。综合考虑基准指数与产品定位和投资风格的匹配度，同时兼顾考虑基准指数的表征性、认可度，以及基准指数券种、久期、信用等级分布特征等，本基金选取中债-综合全价（1-3年）指数作为债券部分的业绩比较基准要素。</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中债-综合全价（1-3年）指数成份券包含除资产支持证券、美元债券、可转债以外的在境内公开发行且上市流通的债券，成份券待偿期限在1-3年（含1年），适合作为本基金债券部分的业绩比较基准要素。</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于基金投资目标、投资范围和投资策略，本基金可持有一定比例现金类资产，以匹配流动性管理需求。活期存款基准利率具有较强的权威性和市场影响力，适合作为本基金现金类资产部分的业绩比较基准。</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综上，本基金选取的业绩比较基准与基金投资目标、投资范围、投资策略、投资比例限制相匹配。</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2、业绩比较基准要素的基本信息</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中债-综合全价（1-3年）指数由中债金融估值中心有限公司编制发布，指数代码为CBA00223，指数具体信息详见中国债券信息网，网址：www.chinabond.com.cn。</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活期存款基准利率由中国人民银行发布，具体信息详见中国人民银行网站，网址：www.pbc.gov.cn。</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3、业绩比较基准的计算方法</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本基金业绩比较基准收益率的计算方法以每日收益率为基础，以时间加权为计</w:t>
      </w:r>
      <w:r>
        <w:rPr>
          <w:rFonts w:ascii="宋体" w:hAnsi="宋体"/>
          <w:sz w:val="24"/>
        </w:rPr>
        <w:lastRenderedPageBreak/>
        <w:t>算原则。本基金先分别计算业绩比较基准中中债-综合全价（1-3年）指数、活期存款基准利率的每日收益率，再按照预设权重比例计算当日组合要素基准的日收益率，并连乘每日收益率。</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4、管理投资偏离业绩比较基准的定性或定量方法</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对基金实际投资与业绩比较基准的偏离情况进行动态跟踪与监测评估，监测指标主要包括超额收益、久期偏离等，以更好管理基金实际投资与业绩比较基准的偏离情况，从而力争在控制风险的基础上追求超越业绩比较基准的投资回报。</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主动管理型基金，其业绩比较基准是表征产品风格、衡量产品业绩、约束投资行为的参考标准，并非本基金的跟踪标的，也不构成对产品收益的承诺。基金管理人在基金合同约定的投资范围、投资限制内享有充分的投资决策自主权，可根据投资策略、市场研判等综合因素，自主构建投资组合，包括酌情投资于业绩比较基准要素成份证券外的证券。本基金投资组合相对业绩比较基准要素成份证券和权重可能存在偏离。</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5、未来可能变更业绩比较基准的情况和程序</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业绩比较基准变更符合下列条件之一且对基金份额持有人利益无实质性不利影响的，基金管理人应当与基金托管人协商，在新业绩比较基准生效前三十日公告并充分说明变更原因、差异及影响，无需召开基金份额持有人大会：</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原有业绩比较基准的要素无法持续运作、编制方案发生重大修订等客观因素导致业绩比较基准无法再表征基金产品投资风格，或不再符合基金合同关于投资目标、投资范围、投资策略、投资比例限制等的约定，或与主要的资产类别、国别或地区、市场板块、货币类型等不再匹配；或业绩比较基准的要素不再具备市场代表性；</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（2）调整业绩比较基准的要素权重、更换相同或相近特征的要素等，使新业绩比较基准代表性更强，且符合相关法律法规规定的；</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（3）中国证监会认可的其他情形。</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业绩比较基准变更涉及以下情形的，基金管理人应当按照规定履行变更注册、召开基金份额持有人大会等程序，法律法规、中国证监会另有规定的除外：</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（1）基金投资目标、投资范围、投资策略、投资比例等拟进行重大调整，并变更业绩比较基准的；</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（2）其他对基金份额持有人利益产生重大实质性影响的情形。</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（六）风险收益特征</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本基金是一只债券型基金，其预期风险与预期收益理论上高于货币市场基金，低于混合型基金和股票型基金。</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（七）基金管理人代表基金行使债权人权利的处理原则及方法</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1、基金管理人按照国家有关规定代表基金独立行使债权人权利，保护基金份额持有人的利益；</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2、有利于基金财产的安全与增值；</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3、不通过关联交易为自身、雇员、授权代理人或任何存在利害关系的第三人牟取任何不当利益。</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（八）侧袋机制的实施和投资运作安排</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侧袋机制实施期间，本部分约定的投资组合比例、投资策略、组合限制、业绩比较基准、风险收益特征等约定仅适用于主袋账户。</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侧袋账户的实施条件、实施程序、运作安排、投资安排、特定资产的处置变现和支付等对投资者权益有重大影响的事项详见本招募说明书“侧袋机制”部分的规定。</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（九）基金投资组合报告</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本基金管理人的董事会及董事保证本报告所载资料不存在虚假记载、误导性陈述或重大遗漏，并对其内容的真实性、准确性和完整性承担个别及连带责任。</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基金托管人中国农业银行股份有限公司根据本基金合同规定，于2025年10月27日复核了本报告中的财务指标、净值表现和投资组合报告等内容，保证复核内容不存在虚假记载、误导性陈述或者重大遗漏。</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本报告期为2025年07月01日起至09月30日。本报告财务资料未经审计师审计。</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4E0414">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4E041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4E041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4E041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2</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4E041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right"/>
              <w:rPr>
                <w:rFonts w:ascii="宋体" w:hAnsi="宋体"/>
                <w:color w:val="000000"/>
                <w:kern w:val="0"/>
                <w:sz w:val="25"/>
                <w:szCs w:val="24"/>
              </w:rPr>
            </w:pPr>
            <w:r>
              <w:rPr>
                <w:rFonts w:ascii="Times New Roman" w:hAnsi="Times New Roman"/>
                <w:color w:val="000000"/>
                <w:kern w:val="0"/>
                <w:sz w:val="25"/>
                <w:szCs w:val="24"/>
              </w:rPr>
              <w:t>762,139,206.04</w:t>
            </w:r>
          </w:p>
        </w:tc>
        <w:tc>
          <w:tcPr>
            <w:tcW w:w="40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right"/>
              <w:rPr>
                <w:rFonts w:ascii="宋体" w:hAnsi="宋体"/>
                <w:color w:val="000000"/>
                <w:kern w:val="0"/>
                <w:sz w:val="25"/>
                <w:szCs w:val="24"/>
              </w:rPr>
            </w:pPr>
            <w:r>
              <w:rPr>
                <w:rFonts w:ascii="Times New Roman" w:hAnsi="Times New Roman"/>
                <w:color w:val="000000"/>
                <w:kern w:val="0"/>
                <w:sz w:val="25"/>
                <w:szCs w:val="24"/>
              </w:rPr>
              <w:t>98.95</w:t>
            </w:r>
          </w:p>
        </w:tc>
      </w:tr>
      <w:tr w:rsidR="004E041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right"/>
              <w:rPr>
                <w:rFonts w:ascii="宋体" w:hAnsi="宋体"/>
                <w:color w:val="000000"/>
                <w:kern w:val="0"/>
                <w:sz w:val="25"/>
                <w:szCs w:val="24"/>
              </w:rPr>
            </w:pPr>
            <w:r>
              <w:rPr>
                <w:rFonts w:ascii="Times New Roman" w:hAnsi="Times New Roman"/>
                <w:color w:val="000000"/>
                <w:kern w:val="0"/>
                <w:sz w:val="25"/>
                <w:szCs w:val="24"/>
              </w:rPr>
              <w:t>762,139,206.04</w:t>
            </w:r>
          </w:p>
        </w:tc>
        <w:tc>
          <w:tcPr>
            <w:tcW w:w="40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right"/>
              <w:rPr>
                <w:rFonts w:ascii="宋体" w:hAnsi="宋体"/>
                <w:color w:val="000000"/>
                <w:kern w:val="0"/>
                <w:sz w:val="25"/>
                <w:szCs w:val="24"/>
              </w:rPr>
            </w:pPr>
            <w:r>
              <w:rPr>
                <w:rFonts w:ascii="Times New Roman" w:hAnsi="Times New Roman"/>
                <w:color w:val="000000"/>
                <w:kern w:val="0"/>
                <w:sz w:val="25"/>
                <w:szCs w:val="24"/>
              </w:rPr>
              <w:t>98.95</w:t>
            </w:r>
          </w:p>
        </w:tc>
      </w:tr>
      <w:tr w:rsidR="004E041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4E041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4E041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4E041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4E041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4E041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right"/>
              <w:rPr>
                <w:rFonts w:ascii="宋体" w:hAnsi="宋体"/>
                <w:color w:val="000000"/>
                <w:kern w:val="0"/>
                <w:sz w:val="25"/>
                <w:szCs w:val="24"/>
              </w:rPr>
            </w:pPr>
            <w:r>
              <w:rPr>
                <w:rFonts w:ascii="Times New Roman" w:hAnsi="Times New Roman"/>
                <w:color w:val="000000"/>
                <w:kern w:val="0"/>
                <w:sz w:val="25"/>
                <w:szCs w:val="24"/>
              </w:rPr>
              <w:t>7,699,264.58</w:t>
            </w:r>
          </w:p>
        </w:tc>
        <w:tc>
          <w:tcPr>
            <w:tcW w:w="40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right"/>
              <w:rPr>
                <w:rFonts w:ascii="宋体" w:hAnsi="宋体"/>
                <w:color w:val="000000"/>
                <w:kern w:val="0"/>
                <w:sz w:val="25"/>
                <w:szCs w:val="24"/>
              </w:rPr>
            </w:pPr>
            <w:r>
              <w:rPr>
                <w:rFonts w:ascii="Times New Roman" w:hAnsi="Times New Roman"/>
                <w:color w:val="000000"/>
                <w:kern w:val="0"/>
                <w:sz w:val="25"/>
                <w:szCs w:val="24"/>
              </w:rPr>
              <w:t>1.00</w:t>
            </w:r>
          </w:p>
        </w:tc>
      </w:tr>
      <w:tr w:rsidR="004E041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right"/>
              <w:rPr>
                <w:rFonts w:ascii="宋体" w:hAnsi="宋体"/>
                <w:color w:val="000000"/>
                <w:kern w:val="0"/>
                <w:sz w:val="25"/>
                <w:szCs w:val="24"/>
              </w:rPr>
            </w:pPr>
            <w:r>
              <w:rPr>
                <w:rFonts w:ascii="Times New Roman" w:hAnsi="Times New Roman"/>
                <w:color w:val="000000"/>
                <w:kern w:val="0"/>
                <w:sz w:val="25"/>
                <w:szCs w:val="24"/>
              </w:rPr>
              <w:t>399,806.95</w:t>
            </w:r>
          </w:p>
        </w:tc>
        <w:tc>
          <w:tcPr>
            <w:tcW w:w="40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right"/>
              <w:rPr>
                <w:rFonts w:ascii="宋体" w:hAnsi="宋体"/>
                <w:color w:val="000000"/>
                <w:kern w:val="0"/>
                <w:sz w:val="25"/>
                <w:szCs w:val="24"/>
              </w:rPr>
            </w:pPr>
            <w:r>
              <w:rPr>
                <w:rFonts w:ascii="Times New Roman" w:hAnsi="Times New Roman"/>
                <w:color w:val="000000"/>
                <w:kern w:val="0"/>
                <w:sz w:val="25"/>
                <w:szCs w:val="24"/>
              </w:rPr>
              <w:t>0.05</w:t>
            </w:r>
          </w:p>
        </w:tc>
      </w:tr>
      <w:tr w:rsidR="004E041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right"/>
              <w:rPr>
                <w:rFonts w:ascii="宋体" w:hAnsi="宋体"/>
                <w:color w:val="000000"/>
                <w:kern w:val="0"/>
                <w:sz w:val="25"/>
                <w:szCs w:val="24"/>
              </w:rPr>
            </w:pPr>
            <w:r>
              <w:rPr>
                <w:rFonts w:ascii="Times New Roman" w:hAnsi="Times New Roman"/>
                <w:color w:val="000000"/>
                <w:kern w:val="0"/>
                <w:sz w:val="25"/>
                <w:szCs w:val="24"/>
              </w:rPr>
              <w:t>770,238,277.57</w:t>
            </w:r>
          </w:p>
        </w:tc>
        <w:tc>
          <w:tcPr>
            <w:tcW w:w="40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报告期末按行业分类的境内股票投资组合</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报告期末按公允价值占基金资产净值比例大小排序的前十名股票投资明细</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4E0414">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4E041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4E041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4E041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right"/>
              <w:rPr>
                <w:rFonts w:ascii="宋体" w:hAnsi="宋体"/>
                <w:color w:val="000000"/>
                <w:kern w:val="0"/>
                <w:sz w:val="25"/>
                <w:szCs w:val="24"/>
              </w:rPr>
            </w:pPr>
            <w:r>
              <w:rPr>
                <w:rFonts w:ascii="Times New Roman" w:hAnsi="Times New Roman"/>
                <w:color w:val="000000"/>
                <w:kern w:val="0"/>
                <w:sz w:val="25"/>
                <w:szCs w:val="24"/>
              </w:rPr>
              <w:t>276,509,209.86</w:t>
            </w:r>
          </w:p>
        </w:tc>
        <w:tc>
          <w:tcPr>
            <w:tcW w:w="40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right"/>
              <w:rPr>
                <w:rFonts w:ascii="宋体" w:hAnsi="宋体"/>
                <w:color w:val="000000"/>
                <w:kern w:val="0"/>
                <w:sz w:val="25"/>
                <w:szCs w:val="24"/>
              </w:rPr>
            </w:pPr>
            <w:r>
              <w:rPr>
                <w:rFonts w:ascii="Times New Roman" w:hAnsi="Times New Roman"/>
                <w:color w:val="000000"/>
                <w:kern w:val="0"/>
                <w:sz w:val="25"/>
                <w:szCs w:val="24"/>
              </w:rPr>
              <w:t>39.23</w:t>
            </w:r>
          </w:p>
        </w:tc>
      </w:tr>
      <w:tr w:rsidR="004E041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right"/>
              <w:rPr>
                <w:rFonts w:ascii="宋体" w:hAnsi="宋体"/>
                <w:color w:val="000000"/>
                <w:kern w:val="0"/>
                <w:sz w:val="25"/>
                <w:szCs w:val="24"/>
              </w:rPr>
            </w:pPr>
            <w:r>
              <w:rPr>
                <w:rFonts w:ascii="Times New Roman" w:hAnsi="Times New Roman"/>
                <w:color w:val="000000"/>
                <w:kern w:val="0"/>
                <w:sz w:val="25"/>
                <w:szCs w:val="24"/>
              </w:rPr>
              <w:t>40,500,646.58</w:t>
            </w:r>
          </w:p>
        </w:tc>
        <w:tc>
          <w:tcPr>
            <w:tcW w:w="40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right"/>
              <w:rPr>
                <w:rFonts w:ascii="宋体" w:hAnsi="宋体"/>
                <w:color w:val="000000"/>
                <w:kern w:val="0"/>
                <w:sz w:val="25"/>
                <w:szCs w:val="24"/>
              </w:rPr>
            </w:pPr>
            <w:r>
              <w:rPr>
                <w:rFonts w:ascii="Times New Roman" w:hAnsi="Times New Roman"/>
                <w:color w:val="000000"/>
                <w:kern w:val="0"/>
                <w:sz w:val="25"/>
                <w:szCs w:val="24"/>
              </w:rPr>
              <w:t>5.75</w:t>
            </w:r>
          </w:p>
        </w:tc>
      </w:tr>
      <w:tr w:rsidR="004E041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right"/>
              <w:rPr>
                <w:rFonts w:ascii="宋体" w:hAnsi="宋体"/>
                <w:color w:val="000000"/>
                <w:kern w:val="0"/>
                <w:sz w:val="25"/>
                <w:szCs w:val="24"/>
              </w:rPr>
            </w:pPr>
            <w:r>
              <w:rPr>
                <w:rFonts w:ascii="Times New Roman" w:hAnsi="Times New Roman"/>
                <w:color w:val="000000"/>
                <w:kern w:val="0"/>
                <w:sz w:val="25"/>
                <w:szCs w:val="24"/>
              </w:rPr>
              <w:t>91,069,873.43</w:t>
            </w:r>
          </w:p>
        </w:tc>
        <w:tc>
          <w:tcPr>
            <w:tcW w:w="40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right"/>
              <w:rPr>
                <w:rFonts w:ascii="宋体" w:hAnsi="宋体"/>
                <w:color w:val="000000"/>
                <w:kern w:val="0"/>
                <w:sz w:val="25"/>
                <w:szCs w:val="24"/>
              </w:rPr>
            </w:pPr>
            <w:r>
              <w:rPr>
                <w:rFonts w:ascii="Times New Roman" w:hAnsi="Times New Roman"/>
                <w:color w:val="000000"/>
                <w:kern w:val="0"/>
                <w:sz w:val="25"/>
                <w:szCs w:val="24"/>
              </w:rPr>
              <w:t>12.92</w:t>
            </w:r>
          </w:p>
        </w:tc>
      </w:tr>
      <w:tr w:rsidR="004E041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right"/>
              <w:rPr>
                <w:rFonts w:ascii="宋体" w:hAnsi="宋体"/>
                <w:color w:val="000000"/>
                <w:kern w:val="0"/>
                <w:sz w:val="25"/>
                <w:szCs w:val="24"/>
              </w:rPr>
            </w:pPr>
            <w:r>
              <w:rPr>
                <w:rFonts w:ascii="Times New Roman" w:hAnsi="Times New Roman"/>
                <w:color w:val="000000"/>
                <w:kern w:val="0"/>
                <w:sz w:val="25"/>
                <w:szCs w:val="24"/>
              </w:rPr>
              <w:t>171,631,044.39</w:t>
            </w:r>
          </w:p>
        </w:tc>
        <w:tc>
          <w:tcPr>
            <w:tcW w:w="40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right"/>
              <w:rPr>
                <w:rFonts w:ascii="宋体" w:hAnsi="宋体"/>
                <w:color w:val="000000"/>
                <w:kern w:val="0"/>
                <w:sz w:val="25"/>
                <w:szCs w:val="24"/>
              </w:rPr>
            </w:pPr>
            <w:r>
              <w:rPr>
                <w:rFonts w:ascii="Times New Roman" w:hAnsi="Times New Roman"/>
                <w:color w:val="000000"/>
                <w:kern w:val="0"/>
                <w:sz w:val="25"/>
                <w:szCs w:val="24"/>
              </w:rPr>
              <w:t>24.35</w:t>
            </w:r>
          </w:p>
        </w:tc>
      </w:tr>
      <w:tr w:rsidR="004E041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right"/>
              <w:rPr>
                <w:rFonts w:ascii="宋体" w:hAnsi="宋体"/>
                <w:color w:val="000000"/>
                <w:kern w:val="0"/>
                <w:sz w:val="25"/>
                <w:szCs w:val="24"/>
              </w:rPr>
            </w:pPr>
            <w:r>
              <w:rPr>
                <w:rFonts w:ascii="Times New Roman" w:hAnsi="Times New Roman"/>
                <w:color w:val="000000"/>
                <w:kern w:val="0"/>
                <w:sz w:val="25"/>
                <w:szCs w:val="24"/>
              </w:rPr>
              <w:t>222,929,078.36</w:t>
            </w:r>
          </w:p>
        </w:tc>
        <w:tc>
          <w:tcPr>
            <w:tcW w:w="40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right"/>
              <w:rPr>
                <w:rFonts w:ascii="宋体" w:hAnsi="宋体"/>
                <w:color w:val="000000"/>
                <w:kern w:val="0"/>
                <w:sz w:val="25"/>
                <w:szCs w:val="24"/>
              </w:rPr>
            </w:pPr>
            <w:r>
              <w:rPr>
                <w:rFonts w:ascii="Times New Roman" w:hAnsi="Times New Roman"/>
                <w:color w:val="000000"/>
                <w:kern w:val="0"/>
                <w:sz w:val="25"/>
                <w:szCs w:val="24"/>
              </w:rPr>
              <w:t>31.63</w:t>
            </w:r>
          </w:p>
        </w:tc>
      </w:tr>
      <w:tr w:rsidR="004E041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4E041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4E041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4E041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right"/>
              <w:rPr>
                <w:rFonts w:ascii="宋体" w:hAnsi="宋体"/>
                <w:color w:val="000000"/>
                <w:kern w:val="0"/>
                <w:sz w:val="25"/>
                <w:szCs w:val="24"/>
              </w:rPr>
            </w:pPr>
            <w:r>
              <w:rPr>
                <w:rFonts w:ascii="Times New Roman" w:hAnsi="Times New Roman"/>
                <w:color w:val="000000"/>
                <w:kern w:val="0"/>
                <w:sz w:val="25"/>
                <w:szCs w:val="24"/>
              </w:rPr>
              <w:t>762,139,206.04</w:t>
            </w:r>
          </w:p>
        </w:tc>
        <w:tc>
          <w:tcPr>
            <w:tcW w:w="40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right"/>
              <w:rPr>
                <w:rFonts w:ascii="宋体" w:hAnsi="宋体"/>
                <w:color w:val="000000"/>
                <w:kern w:val="0"/>
                <w:sz w:val="25"/>
                <w:szCs w:val="24"/>
              </w:rPr>
            </w:pPr>
            <w:r>
              <w:rPr>
                <w:rFonts w:ascii="Times New Roman" w:hAnsi="Times New Roman"/>
                <w:color w:val="000000"/>
                <w:kern w:val="0"/>
                <w:sz w:val="25"/>
                <w:szCs w:val="24"/>
              </w:rPr>
              <w:t>108.13</w:t>
            </w:r>
          </w:p>
        </w:tc>
      </w:tr>
    </w:tbl>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4E0414">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4E041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2228050</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22</w:t>
            </w:r>
            <w:r>
              <w:rPr>
                <w:rFonts w:ascii="Times New Roman" w:hAnsi="Times New Roman"/>
                <w:color w:val="000000"/>
                <w:kern w:val="0"/>
                <w:sz w:val="25"/>
                <w:szCs w:val="24"/>
              </w:rPr>
              <w:t>光大银行</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right"/>
              <w:rPr>
                <w:rFonts w:ascii="宋体" w:hAnsi="宋体"/>
                <w:color w:val="000000"/>
                <w:kern w:val="0"/>
                <w:sz w:val="25"/>
                <w:szCs w:val="24"/>
              </w:rPr>
            </w:pPr>
            <w:r>
              <w:rPr>
                <w:rFonts w:ascii="Times New Roman" w:hAnsi="Times New Roman"/>
                <w:color w:val="000000"/>
                <w:kern w:val="0"/>
                <w:sz w:val="25"/>
                <w:szCs w:val="24"/>
              </w:rPr>
              <w:t>500,000</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right"/>
              <w:rPr>
                <w:rFonts w:ascii="宋体" w:hAnsi="宋体"/>
                <w:color w:val="000000"/>
                <w:kern w:val="0"/>
                <w:sz w:val="25"/>
                <w:szCs w:val="24"/>
              </w:rPr>
            </w:pPr>
            <w:r>
              <w:rPr>
                <w:rFonts w:ascii="Times New Roman" w:hAnsi="Times New Roman"/>
                <w:color w:val="000000"/>
                <w:kern w:val="0"/>
                <w:sz w:val="25"/>
                <w:szCs w:val="24"/>
              </w:rPr>
              <w:t>51,196,569.86</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right"/>
              <w:rPr>
                <w:rFonts w:ascii="宋体" w:hAnsi="宋体"/>
                <w:color w:val="000000"/>
                <w:kern w:val="0"/>
                <w:sz w:val="25"/>
                <w:szCs w:val="24"/>
              </w:rPr>
            </w:pPr>
            <w:r>
              <w:rPr>
                <w:rFonts w:ascii="Times New Roman" w:hAnsi="Times New Roman"/>
                <w:color w:val="000000"/>
                <w:kern w:val="0"/>
                <w:sz w:val="25"/>
                <w:szCs w:val="24"/>
              </w:rPr>
              <w:t>7.26</w:t>
            </w:r>
          </w:p>
        </w:tc>
      </w:tr>
      <w:tr w:rsidR="004E041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2328023</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23</w:t>
            </w:r>
            <w:r>
              <w:rPr>
                <w:rFonts w:ascii="Times New Roman" w:hAnsi="Times New Roman"/>
                <w:color w:val="000000"/>
                <w:kern w:val="0"/>
                <w:sz w:val="25"/>
                <w:szCs w:val="24"/>
              </w:rPr>
              <w:t>浙商银行小微债</w:t>
            </w:r>
            <w:r>
              <w:rPr>
                <w:rFonts w:ascii="Times New Roman" w:hAnsi="Times New Roman"/>
                <w:color w:val="000000"/>
                <w:kern w:val="0"/>
                <w:sz w:val="25"/>
                <w:szCs w:val="24"/>
              </w:rPr>
              <w:t>02</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right"/>
              <w:rPr>
                <w:rFonts w:ascii="宋体" w:hAnsi="宋体"/>
                <w:color w:val="000000"/>
                <w:kern w:val="0"/>
                <w:sz w:val="25"/>
                <w:szCs w:val="24"/>
              </w:rPr>
            </w:pPr>
            <w:r>
              <w:rPr>
                <w:rFonts w:ascii="Times New Roman" w:hAnsi="Times New Roman"/>
                <w:color w:val="000000"/>
                <w:kern w:val="0"/>
                <w:sz w:val="25"/>
                <w:szCs w:val="24"/>
              </w:rPr>
              <w:t>400,000</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right"/>
              <w:rPr>
                <w:rFonts w:ascii="宋体" w:hAnsi="宋体"/>
                <w:color w:val="000000"/>
                <w:kern w:val="0"/>
                <w:sz w:val="25"/>
                <w:szCs w:val="24"/>
              </w:rPr>
            </w:pPr>
            <w:r>
              <w:rPr>
                <w:rFonts w:ascii="Times New Roman" w:hAnsi="Times New Roman"/>
                <w:color w:val="000000"/>
                <w:kern w:val="0"/>
                <w:sz w:val="25"/>
                <w:szCs w:val="24"/>
              </w:rPr>
              <w:t>41,482,923.84</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right"/>
              <w:rPr>
                <w:rFonts w:ascii="宋体" w:hAnsi="宋体"/>
                <w:color w:val="000000"/>
                <w:kern w:val="0"/>
                <w:sz w:val="25"/>
                <w:szCs w:val="24"/>
              </w:rPr>
            </w:pPr>
            <w:r>
              <w:rPr>
                <w:rFonts w:ascii="Times New Roman" w:hAnsi="Times New Roman"/>
                <w:color w:val="000000"/>
                <w:kern w:val="0"/>
                <w:sz w:val="25"/>
                <w:szCs w:val="24"/>
              </w:rPr>
              <w:t>5.89</w:t>
            </w:r>
          </w:p>
        </w:tc>
      </w:tr>
      <w:tr w:rsidR="004E041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240314</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24</w:t>
            </w:r>
            <w:r>
              <w:rPr>
                <w:rFonts w:ascii="Times New Roman" w:hAnsi="Times New Roman"/>
                <w:color w:val="000000"/>
                <w:kern w:val="0"/>
                <w:sz w:val="25"/>
                <w:szCs w:val="24"/>
              </w:rPr>
              <w:t>进出</w:t>
            </w: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right"/>
              <w:rPr>
                <w:rFonts w:ascii="宋体" w:hAnsi="宋体"/>
                <w:color w:val="000000"/>
                <w:kern w:val="0"/>
                <w:sz w:val="25"/>
                <w:szCs w:val="24"/>
              </w:rPr>
            </w:pPr>
            <w:r>
              <w:rPr>
                <w:rFonts w:ascii="Times New Roman" w:hAnsi="Times New Roman"/>
                <w:color w:val="000000"/>
                <w:kern w:val="0"/>
                <w:sz w:val="25"/>
                <w:szCs w:val="24"/>
              </w:rPr>
              <w:t>400,000</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right"/>
              <w:rPr>
                <w:rFonts w:ascii="宋体" w:hAnsi="宋体"/>
                <w:color w:val="000000"/>
                <w:kern w:val="0"/>
                <w:sz w:val="25"/>
                <w:szCs w:val="24"/>
              </w:rPr>
            </w:pPr>
            <w:r>
              <w:rPr>
                <w:rFonts w:ascii="Times New Roman" w:hAnsi="Times New Roman"/>
                <w:color w:val="000000"/>
                <w:kern w:val="0"/>
                <w:sz w:val="25"/>
                <w:szCs w:val="24"/>
              </w:rPr>
              <w:t>40,500,646.58</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right"/>
              <w:rPr>
                <w:rFonts w:ascii="宋体" w:hAnsi="宋体"/>
                <w:color w:val="000000"/>
                <w:kern w:val="0"/>
                <w:sz w:val="25"/>
                <w:szCs w:val="24"/>
              </w:rPr>
            </w:pPr>
            <w:r>
              <w:rPr>
                <w:rFonts w:ascii="Times New Roman" w:hAnsi="Times New Roman"/>
                <w:color w:val="000000"/>
                <w:kern w:val="0"/>
                <w:sz w:val="25"/>
                <w:szCs w:val="24"/>
              </w:rPr>
              <w:t>5.75</w:t>
            </w:r>
          </w:p>
        </w:tc>
      </w:tr>
      <w:tr w:rsidR="004E041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272380008</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23</w:t>
            </w:r>
            <w:r>
              <w:rPr>
                <w:rFonts w:ascii="Times New Roman" w:hAnsi="Times New Roman"/>
                <w:color w:val="000000"/>
                <w:kern w:val="0"/>
                <w:sz w:val="25"/>
                <w:szCs w:val="24"/>
              </w:rPr>
              <w:t>人保集团资本补充债</w:t>
            </w:r>
            <w:r>
              <w:rPr>
                <w:rFonts w:ascii="Times New Roman" w:hAnsi="Times New Roman"/>
                <w:color w:val="000000"/>
                <w:kern w:val="0"/>
                <w:sz w:val="25"/>
                <w:szCs w:val="24"/>
              </w:rPr>
              <w:t>01</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right"/>
              <w:rPr>
                <w:rFonts w:ascii="宋体" w:hAnsi="宋体"/>
                <w:color w:val="000000"/>
                <w:kern w:val="0"/>
                <w:sz w:val="25"/>
                <w:szCs w:val="24"/>
              </w:rPr>
            </w:pPr>
            <w:r>
              <w:rPr>
                <w:rFonts w:ascii="Times New Roman" w:hAnsi="Times New Roman"/>
                <w:color w:val="000000"/>
                <w:kern w:val="0"/>
                <w:sz w:val="25"/>
                <w:szCs w:val="24"/>
              </w:rPr>
              <w:t>300,000</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right"/>
              <w:rPr>
                <w:rFonts w:ascii="宋体" w:hAnsi="宋体"/>
                <w:color w:val="000000"/>
                <w:kern w:val="0"/>
                <w:sz w:val="25"/>
                <w:szCs w:val="24"/>
              </w:rPr>
            </w:pPr>
            <w:r>
              <w:rPr>
                <w:rFonts w:ascii="Times New Roman" w:hAnsi="Times New Roman"/>
                <w:color w:val="000000"/>
                <w:kern w:val="0"/>
                <w:sz w:val="25"/>
                <w:szCs w:val="24"/>
              </w:rPr>
              <w:t>31,242,267.95</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right"/>
              <w:rPr>
                <w:rFonts w:ascii="宋体" w:hAnsi="宋体"/>
                <w:color w:val="000000"/>
                <w:kern w:val="0"/>
                <w:sz w:val="25"/>
                <w:szCs w:val="24"/>
              </w:rPr>
            </w:pPr>
            <w:r>
              <w:rPr>
                <w:rFonts w:ascii="Times New Roman" w:hAnsi="Times New Roman"/>
                <w:color w:val="000000"/>
                <w:kern w:val="0"/>
                <w:sz w:val="25"/>
                <w:szCs w:val="24"/>
              </w:rPr>
              <w:t>4.43</w:t>
            </w:r>
          </w:p>
        </w:tc>
      </w:tr>
      <w:tr w:rsidR="004E041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2120046</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21</w:t>
            </w:r>
            <w:r>
              <w:rPr>
                <w:rFonts w:ascii="Times New Roman" w:hAnsi="Times New Roman"/>
                <w:color w:val="000000"/>
                <w:kern w:val="0"/>
                <w:sz w:val="25"/>
                <w:szCs w:val="24"/>
              </w:rPr>
              <w:t>广州银行二级</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right"/>
              <w:rPr>
                <w:rFonts w:ascii="宋体" w:hAnsi="宋体"/>
                <w:color w:val="000000"/>
                <w:kern w:val="0"/>
                <w:sz w:val="25"/>
                <w:szCs w:val="24"/>
              </w:rPr>
            </w:pPr>
            <w:r>
              <w:rPr>
                <w:rFonts w:ascii="Times New Roman" w:hAnsi="Times New Roman"/>
                <w:color w:val="000000"/>
                <w:kern w:val="0"/>
                <w:sz w:val="25"/>
                <w:szCs w:val="24"/>
              </w:rPr>
              <w:t>300,000</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right"/>
              <w:rPr>
                <w:rFonts w:ascii="宋体" w:hAnsi="宋体"/>
                <w:color w:val="000000"/>
                <w:kern w:val="0"/>
                <w:sz w:val="25"/>
                <w:szCs w:val="24"/>
              </w:rPr>
            </w:pPr>
            <w:r>
              <w:rPr>
                <w:rFonts w:ascii="Times New Roman" w:hAnsi="Times New Roman"/>
                <w:color w:val="000000"/>
                <w:kern w:val="0"/>
                <w:sz w:val="25"/>
                <w:szCs w:val="24"/>
              </w:rPr>
              <w:t>30,935,252.05</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right"/>
              <w:rPr>
                <w:rFonts w:ascii="宋体" w:hAnsi="宋体"/>
                <w:color w:val="000000"/>
                <w:kern w:val="0"/>
                <w:sz w:val="25"/>
                <w:szCs w:val="24"/>
              </w:rPr>
            </w:pPr>
            <w:r>
              <w:rPr>
                <w:rFonts w:ascii="Times New Roman" w:hAnsi="Times New Roman"/>
                <w:color w:val="000000"/>
                <w:kern w:val="0"/>
                <w:sz w:val="25"/>
                <w:szCs w:val="24"/>
              </w:rPr>
              <w:t>4.39</w:t>
            </w:r>
          </w:p>
        </w:tc>
      </w:tr>
    </w:tbl>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6、报告期末按公允价值占基金资产净值比例大小排序的前十名资产支持证券投资明细</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7、报告期末按公允价值占基金资产净值比例大小排序的前五名贵金属投资明细</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9、报告期末本基金投资的国债期货交易情况说明</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本期国债期货投资政策</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进行国债期货投资时，将根据风险管理的原则，以套期保值为目的，并积极采用流动性好、交易活跃的期货合约，通过对国债市场和期货市场运行趋势的研究，结合国债期货的定价模型寻求其合理的估值水平，通过空头套期保值等策略进行套期保值操作。基金管理人将充分考虑国债期货的收益性、流动性及风险性特征，利用金融衍生品的杠杆作用，以达到降低投资组合的整体风险的目的。</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报告期末本基金投资的国债期货持仓和损益明细</w:t>
      </w:r>
    </w:p>
    <w:tbl>
      <w:tblPr>
        <w:tblW w:w="5000" w:type="pct"/>
        <w:tblCellMar>
          <w:left w:w="0" w:type="dxa"/>
          <w:right w:w="0" w:type="dxa"/>
        </w:tblCellMar>
        <w:tblLook w:val="0000" w:firstRow="0" w:lastRow="0" w:firstColumn="0" w:lastColumn="0" w:noHBand="0" w:noVBand="0"/>
      </w:tblPr>
      <w:tblGrid>
        <w:gridCol w:w="816"/>
        <w:gridCol w:w="1570"/>
        <w:gridCol w:w="1571"/>
        <w:gridCol w:w="1571"/>
        <w:gridCol w:w="1571"/>
        <w:gridCol w:w="1571"/>
      </w:tblGrid>
      <w:tr w:rsidR="004E0414">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持仓量（买</w:t>
            </w:r>
            <w:r>
              <w:rPr>
                <w:rFonts w:ascii="Times New Roman" w:hAnsi="Times New Roman"/>
                <w:color w:val="000000"/>
                <w:kern w:val="0"/>
                <w:sz w:val="25"/>
                <w:szCs w:val="24"/>
              </w:rPr>
              <w:t>/</w:t>
            </w:r>
            <w:r>
              <w:rPr>
                <w:rFonts w:ascii="Times New Roman" w:hAnsi="Times New Roman"/>
                <w:color w:val="000000"/>
                <w:kern w:val="0"/>
                <w:sz w:val="25"/>
                <w:szCs w:val="24"/>
              </w:rPr>
              <w:t>卖）</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合约市值</w:t>
            </w:r>
            <w:r>
              <w:rPr>
                <w:rFonts w:ascii="Times New Roman" w:hAnsi="Times New Roman"/>
                <w:color w:val="000000"/>
                <w:kern w:val="0"/>
                <w:sz w:val="25"/>
                <w:szCs w:val="24"/>
              </w:rPr>
              <w:t>(</w:t>
            </w:r>
            <w:r>
              <w:rPr>
                <w:rFonts w:ascii="Times New Roman" w:hAnsi="Times New Roman"/>
                <w:color w:val="000000"/>
                <w:kern w:val="0"/>
                <w:sz w:val="25"/>
                <w:szCs w:val="24"/>
              </w:rPr>
              <w:t>元</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公允价值变动（元）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风险指标说明</w:t>
            </w:r>
          </w:p>
        </w:tc>
      </w:tr>
      <w:tr w:rsidR="004E041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TL2512</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TL2512</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righ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right"/>
              <w:rPr>
                <w:rFonts w:ascii="宋体" w:hAnsi="宋体"/>
                <w:color w:val="000000"/>
                <w:kern w:val="0"/>
                <w:sz w:val="25"/>
                <w:szCs w:val="24"/>
              </w:rPr>
            </w:pPr>
            <w:r>
              <w:rPr>
                <w:rFonts w:ascii="Times New Roman" w:hAnsi="Times New Roman"/>
                <w:color w:val="000000"/>
                <w:kern w:val="0"/>
                <w:sz w:val="25"/>
                <w:szCs w:val="24"/>
              </w:rPr>
              <w:t>-5,700,000.00</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right"/>
              <w:rPr>
                <w:rFonts w:ascii="宋体" w:hAnsi="宋体"/>
                <w:color w:val="000000"/>
                <w:kern w:val="0"/>
                <w:sz w:val="25"/>
                <w:szCs w:val="24"/>
              </w:rPr>
            </w:pPr>
            <w:r>
              <w:rPr>
                <w:rFonts w:ascii="Times New Roman" w:hAnsi="Times New Roman"/>
                <w:color w:val="000000"/>
                <w:kern w:val="0"/>
                <w:sz w:val="25"/>
                <w:szCs w:val="24"/>
              </w:rPr>
              <w:t>-4,250.00</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w:t>
            </w:r>
          </w:p>
        </w:tc>
      </w:tr>
      <w:tr w:rsidR="004E0414">
        <w:trPr>
          <w:cantSplit/>
          <w:trHeight w:val="375"/>
        </w:trPr>
        <w:tc>
          <w:tcPr>
            <w:tcW w:w="250" w:type="pct"/>
            <w:gridSpan w:val="5"/>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公允价值变动总额合计（元）</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right"/>
              <w:rPr>
                <w:rFonts w:ascii="宋体" w:hAnsi="宋体"/>
                <w:color w:val="000000"/>
                <w:kern w:val="0"/>
                <w:sz w:val="25"/>
                <w:szCs w:val="24"/>
              </w:rPr>
            </w:pPr>
            <w:r>
              <w:rPr>
                <w:rFonts w:ascii="Times New Roman" w:hAnsi="Times New Roman"/>
                <w:color w:val="000000"/>
                <w:kern w:val="0"/>
                <w:sz w:val="25"/>
                <w:szCs w:val="24"/>
              </w:rPr>
              <w:t>-4,250.00</w:t>
            </w:r>
          </w:p>
        </w:tc>
      </w:tr>
      <w:tr w:rsidR="004E0414">
        <w:trPr>
          <w:cantSplit/>
          <w:trHeight w:val="375"/>
        </w:trPr>
        <w:tc>
          <w:tcPr>
            <w:tcW w:w="250" w:type="pct"/>
            <w:gridSpan w:val="5"/>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国债期货投资本期收益（元）</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right"/>
              <w:rPr>
                <w:rFonts w:ascii="宋体" w:hAnsi="宋体"/>
                <w:color w:val="000000"/>
                <w:kern w:val="0"/>
                <w:sz w:val="25"/>
                <w:szCs w:val="24"/>
              </w:rPr>
            </w:pPr>
            <w:r>
              <w:rPr>
                <w:rFonts w:ascii="Times New Roman" w:hAnsi="Times New Roman"/>
                <w:color w:val="000000"/>
                <w:kern w:val="0"/>
                <w:sz w:val="25"/>
                <w:szCs w:val="24"/>
              </w:rPr>
              <w:t>-106,876.51</w:t>
            </w:r>
          </w:p>
        </w:tc>
      </w:tr>
      <w:tr w:rsidR="004E0414">
        <w:trPr>
          <w:cantSplit/>
          <w:trHeight w:val="375"/>
        </w:trPr>
        <w:tc>
          <w:tcPr>
            <w:tcW w:w="250" w:type="pct"/>
            <w:gridSpan w:val="5"/>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国债期货投资本期公允价值变动（元）</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right"/>
              <w:rPr>
                <w:rFonts w:ascii="宋体" w:hAnsi="宋体"/>
                <w:color w:val="000000"/>
                <w:kern w:val="0"/>
                <w:sz w:val="25"/>
                <w:szCs w:val="24"/>
              </w:rPr>
            </w:pPr>
            <w:r>
              <w:rPr>
                <w:rFonts w:ascii="Times New Roman" w:hAnsi="Times New Roman"/>
                <w:color w:val="000000"/>
                <w:kern w:val="0"/>
                <w:sz w:val="25"/>
                <w:szCs w:val="24"/>
              </w:rPr>
              <w:t>93,483.34</w:t>
            </w:r>
          </w:p>
        </w:tc>
      </w:tr>
    </w:tbl>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9.3 本期国债期货投资评价</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相关交易对基金总体风险的影响可控，执行既定的投资政策和投资目标。</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10、投资组合报告附注</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本基金投资的前十名证券的发行主体本期是否出现被监管部门立案调查，或在报告编制日前一年内受到公开谴责、处罚的情形</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报告期内本基金投资的前十名证券的发行主体出现被监管部门立案调查，或在报告编制日前一年内受到公开谴责、处罚的情形披露如下：</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2024年10月24日,中国银行间市场交易商协会给予浙商银行股份有限公司责令改正的行政监管措施。</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2025年09月05日，国家金融监督管理总局给予浙商银行股份有限公司1130.8万元人民币的行政处罚。</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2025年09月30日，央行公示银罚决字[2025]31号行政处罚决定书,给予浙商银行股份有限公司295.99万元人民币的行政处罚。　</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2025年09月12日，国家金融监督管理总局公示行政处罚,给予中国光大银行股份有限公司430万元人民币的行政处罚。</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2025年01月27日，央行公示银罚决字[2024]31号行政处罚决定书,给予中国光大银行股份有限公司罚没合计1878.83万元人民币的行政处罚。　</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2025年06月27日,国家金融监督管理总局公示行政处罚,给予中国进出口银行1810万元人民币的行政处罚。</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2025年09月12日,国家金融监督管理总局公示行政处罚,给予中国进出口银行130万元人民币的行政处罚。</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本基金管理人对证券投资决策程序的说明如下：本基金管理人对证券投资特别是重仓证券的投资有严格的投资决策流程控制，对上述主体发行证券的投资决策程序符合公司投资制度的规定。</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除上述主体外，本基金投资的前十名证券的其他发行主体本期没有出现被监管部门立案调查，或在报告编制日前一年内受到公开谴责、处罚的情形。</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基金投资的前十名股票是否超出基金合同规定的备选股票库</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4E0414">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4E041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right"/>
              <w:rPr>
                <w:rFonts w:ascii="宋体" w:hAnsi="宋体"/>
                <w:color w:val="000000"/>
                <w:kern w:val="0"/>
                <w:sz w:val="25"/>
                <w:szCs w:val="24"/>
              </w:rPr>
            </w:pPr>
            <w:r>
              <w:rPr>
                <w:rFonts w:ascii="Times New Roman" w:hAnsi="Times New Roman"/>
                <w:color w:val="000000"/>
                <w:kern w:val="0"/>
                <w:sz w:val="25"/>
                <w:szCs w:val="24"/>
              </w:rPr>
              <w:t>201,955.45</w:t>
            </w:r>
          </w:p>
        </w:tc>
      </w:tr>
      <w:tr w:rsidR="004E041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4E041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3</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4E041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4E041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right"/>
              <w:rPr>
                <w:rFonts w:ascii="宋体" w:hAnsi="宋体"/>
                <w:color w:val="000000"/>
                <w:kern w:val="0"/>
                <w:sz w:val="25"/>
                <w:szCs w:val="24"/>
              </w:rPr>
            </w:pPr>
            <w:r>
              <w:rPr>
                <w:rFonts w:ascii="Times New Roman" w:hAnsi="Times New Roman"/>
                <w:color w:val="000000"/>
                <w:kern w:val="0"/>
                <w:sz w:val="25"/>
                <w:szCs w:val="24"/>
              </w:rPr>
              <w:t>197,851.50</w:t>
            </w:r>
          </w:p>
        </w:tc>
      </w:tr>
      <w:tr w:rsidR="004E041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4E041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4E041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right"/>
              <w:rPr>
                <w:rFonts w:ascii="宋体" w:hAnsi="宋体"/>
                <w:color w:val="000000"/>
                <w:kern w:val="0"/>
                <w:sz w:val="25"/>
                <w:szCs w:val="24"/>
              </w:rPr>
            </w:pPr>
            <w:r>
              <w:rPr>
                <w:rFonts w:ascii="Times New Roman" w:hAnsi="Times New Roman"/>
                <w:color w:val="000000"/>
                <w:kern w:val="0"/>
                <w:sz w:val="25"/>
                <w:szCs w:val="24"/>
              </w:rPr>
              <w:t>399,806.95</w:t>
            </w:r>
          </w:p>
        </w:tc>
      </w:tr>
    </w:tbl>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10.4 报告期末持有的处于转股期的可转换债券明细</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10.5 报告期末前十名股票中存在流通受限情况的说明</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10.6 投资组合报告附注的其他文字描述部分</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5C4E6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4E0414" w:rsidRDefault="005C4E64">
      <w:pPr>
        <w:pStyle w:val="1"/>
        <w:snapToGrid w:val="0"/>
        <w:spacing w:beforeLines="0" w:before="240" w:after="240"/>
        <w:rPr>
          <w:rFonts w:ascii="宋体" w:hAnsi="宋体"/>
          <w:szCs w:val="30"/>
        </w:rPr>
      </w:pPr>
      <w:bookmarkStart w:id="13" w:name="_Toc240548787"/>
      <w:r>
        <w:rPr>
          <w:rFonts w:ascii="Times New Roman" w:hAnsi="Times New Roman"/>
          <w:sz w:val="30"/>
        </w:rPr>
        <w:lastRenderedPageBreak/>
        <w:t>十、基金的业绩</w:t>
      </w:r>
      <w:bookmarkEnd w:id="13"/>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基金业绩截止日为2025年09月30日，所载财务数据未经审计师审计。</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1、本报告期基金份额净值增长率及其与同期业绩比较基准收益率的比较</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（1）交银稳安90天持有期债券A：</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4E041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w:t>
            </w:r>
            <w:r>
              <w:rPr>
                <w:rFonts w:ascii="Times New Roman" w:hAnsi="Times New Roman"/>
                <w:color w:val="000000"/>
                <w:kern w:val="0"/>
                <w:sz w:val="25"/>
                <w:szCs w:val="24"/>
              </w:rPr>
              <w:t>－</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w:t>
            </w:r>
            <w:r>
              <w:rPr>
                <w:rFonts w:ascii="Times New Roman" w:hAnsi="Times New Roman"/>
                <w:color w:val="000000"/>
                <w:kern w:val="0"/>
                <w:sz w:val="25"/>
                <w:szCs w:val="24"/>
              </w:rPr>
              <w:t>－</w:t>
            </w:r>
            <w:r>
              <w:rPr>
                <w:rFonts w:ascii="Times New Roman" w:hAnsi="Times New Roman"/>
                <w:color w:val="000000"/>
                <w:kern w:val="0"/>
                <w:sz w:val="25"/>
                <w:szCs w:val="24"/>
              </w:rPr>
              <w:t>④</w:t>
            </w:r>
          </w:p>
        </w:tc>
      </w:tr>
      <w:tr w:rsidR="004E041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-1.34%</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1.43%</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r>
      <w:tr w:rsidR="004E041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上半年</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0.92%</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0.10%</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1.03%</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r>
      <w:tr w:rsidR="004E041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3.33%</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4.51%</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-1.18%</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r>
      <w:tr w:rsidR="004E041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上半年（自基金合同生效起至</w:t>
            </w:r>
            <w:r>
              <w:rPr>
                <w:rFonts w:ascii="Times New Roman" w:hAnsi="Times New Roman"/>
                <w:color w:val="000000"/>
                <w:kern w:val="0"/>
                <w:sz w:val="25"/>
                <w:szCs w:val="24"/>
              </w:rPr>
              <w:t>2023</w:t>
            </w:r>
            <w:r>
              <w:rPr>
                <w:rFonts w:ascii="Times New Roman" w:hAnsi="Times New Roman"/>
                <w:color w:val="000000"/>
                <w:kern w:val="0"/>
                <w:sz w:val="25"/>
                <w:szCs w:val="24"/>
              </w:rPr>
              <w:t>年</w:t>
            </w:r>
            <w:r>
              <w:rPr>
                <w:rFonts w:ascii="Times New Roman" w:hAnsi="Times New Roman"/>
                <w:color w:val="000000"/>
                <w:kern w:val="0"/>
                <w:sz w:val="25"/>
                <w:szCs w:val="24"/>
              </w:rPr>
              <w:t>6</w:t>
            </w:r>
            <w:r>
              <w:rPr>
                <w:rFonts w:ascii="Times New Roman" w:hAnsi="Times New Roman"/>
                <w:color w:val="000000"/>
                <w:kern w:val="0"/>
                <w:sz w:val="25"/>
                <w:szCs w:val="24"/>
              </w:rPr>
              <w:t>月</w:t>
            </w:r>
            <w:r>
              <w:rPr>
                <w:rFonts w:ascii="Times New Roman" w:hAnsi="Times New Roman"/>
                <w:color w:val="000000"/>
                <w:kern w:val="0"/>
                <w:sz w:val="25"/>
                <w:szCs w:val="24"/>
              </w:rPr>
              <w:t>30</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0.52%</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0.63%</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bl>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（2）交银稳安90天持有期债券C：</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4E041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w:t>
            </w:r>
            <w:r>
              <w:rPr>
                <w:rFonts w:ascii="Times New Roman" w:hAnsi="Times New Roman"/>
                <w:color w:val="000000"/>
                <w:kern w:val="0"/>
                <w:sz w:val="25"/>
                <w:szCs w:val="24"/>
              </w:rPr>
              <w:t>－</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w:t>
            </w:r>
            <w:r>
              <w:rPr>
                <w:rFonts w:ascii="Times New Roman" w:hAnsi="Times New Roman"/>
                <w:color w:val="000000"/>
                <w:kern w:val="0"/>
                <w:sz w:val="25"/>
                <w:szCs w:val="24"/>
              </w:rPr>
              <w:t>－</w:t>
            </w:r>
            <w:r>
              <w:rPr>
                <w:rFonts w:ascii="Times New Roman" w:hAnsi="Times New Roman"/>
                <w:color w:val="000000"/>
                <w:kern w:val="0"/>
                <w:sz w:val="25"/>
                <w:szCs w:val="24"/>
              </w:rPr>
              <w:t>④</w:t>
            </w:r>
          </w:p>
        </w:tc>
      </w:tr>
      <w:tr w:rsidR="004E041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-1.34%</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1.40%</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r>
      <w:tr w:rsidR="004E041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上半年</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0.84%</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0.10%</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0.95%</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r>
      <w:tr w:rsidR="004E041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3.18%</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4.51%</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-1.33%</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r>
      <w:tr w:rsidR="004E041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上半年（自基金合同生效起至</w:t>
            </w:r>
            <w:r>
              <w:rPr>
                <w:rFonts w:ascii="Times New Roman" w:hAnsi="Times New Roman"/>
                <w:color w:val="000000"/>
                <w:kern w:val="0"/>
                <w:sz w:val="25"/>
                <w:szCs w:val="24"/>
              </w:rPr>
              <w:t>2023</w:t>
            </w:r>
            <w:r>
              <w:rPr>
                <w:rFonts w:ascii="Times New Roman" w:hAnsi="Times New Roman"/>
                <w:color w:val="000000"/>
                <w:kern w:val="0"/>
                <w:sz w:val="25"/>
                <w:szCs w:val="24"/>
              </w:rPr>
              <w:t>年</w:t>
            </w:r>
            <w:r>
              <w:rPr>
                <w:rFonts w:ascii="Times New Roman" w:hAnsi="Times New Roman"/>
                <w:color w:val="000000"/>
                <w:kern w:val="0"/>
                <w:sz w:val="25"/>
                <w:szCs w:val="24"/>
              </w:rPr>
              <w:t>6</w:t>
            </w:r>
            <w:r>
              <w:rPr>
                <w:rFonts w:ascii="Times New Roman" w:hAnsi="Times New Roman"/>
                <w:color w:val="000000"/>
                <w:kern w:val="0"/>
                <w:sz w:val="25"/>
                <w:szCs w:val="24"/>
              </w:rPr>
              <w:t>月</w:t>
            </w:r>
            <w:r>
              <w:rPr>
                <w:rFonts w:ascii="Times New Roman" w:hAnsi="Times New Roman"/>
                <w:color w:val="000000"/>
                <w:kern w:val="0"/>
                <w:sz w:val="25"/>
                <w:szCs w:val="24"/>
              </w:rPr>
              <w:t>30</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0.49%</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0.63%</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-0.14%</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bl>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注：本基金的业绩比较基准为中债综合全价指数收益率×90%+人民币活期存款利率(税后)×10%，每日进行再平衡过程。</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4E0414" w:rsidRDefault="005C4E64">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lastRenderedPageBreak/>
        <w:t>交银施罗德稳安90天持有期债券型证券投资基金</w:t>
      </w:r>
    </w:p>
    <w:p w:rsidR="004E0414" w:rsidRDefault="005C4E64">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份额累计净值增长率与业绩比较基准收益率的历史走势对比图</w:t>
      </w:r>
    </w:p>
    <w:p w:rsidR="004E0414" w:rsidRDefault="005C4E64">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（2023年4月25日至2025年09月30日）</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（1）交银稳安90天持有期债券A</w:t>
      </w:r>
    </w:p>
    <w:p w:rsidR="004E0414" w:rsidRDefault="00E0794C">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268.5pt">
            <v:imagedata r:id="rId15" o:title="1521256610242020828"/>
          </v:shape>
        </w:pic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（2）交银稳安90天持有期债券C</w:t>
      </w:r>
    </w:p>
    <w:p w:rsidR="004E0414" w:rsidRDefault="00E0794C">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 id="_x0000_i1026" type="#_x0000_t75" style="width:439.5pt;height:268.5pt">
            <v:imagedata r:id="rId16" o:title="1521256610242020828"/>
          </v:shape>
        </w:pic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注：本基金建仓期为自基金合同生效日起的6个月。截至建仓期结束，本基金</w:t>
      </w:r>
      <w:r>
        <w:rPr>
          <w:rFonts w:ascii="宋体" w:hAnsi="宋体"/>
          <w:sz w:val="24"/>
        </w:rPr>
        <w:lastRenderedPageBreak/>
        <w:t>各项资产配置比例符合基金合同及招募说明书有关投资比例的约定。</w:t>
      </w:r>
    </w:p>
    <w:p w:rsidR="00B439CC" w:rsidRDefault="005C4E6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4E0414" w:rsidRDefault="005C4E64">
      <w:pPr>
        <w:pStyle w:val="1"/>
        <w:snapToGrid w:val="0"/>
        <w:spacing w:beforeLines="0" w:before="240" w:after="240"/>
        <w:rPr>
          <w:rFonts w:ascii="宋体" w:hAnsi="宋体"/>
          <w:szCs w:val="30"/>
        </w:rPr>
      </w:pPr>
      <w:bookmarkStart w:id="14" w:name="_Toc240548788"/>
      <w:r>
        <w:rPr>
          <w:rFonts w:ascii="Times New Roman" w:hAnsi="Times New Roman"/>
          <w:sz w:val="30"/>
        </w:rPr>
        <w:lastRenderedPageBreak/>
        <w:t>十一、基金的财产</w:t>
      </w:r>
      <w:bookmarkEnd w:id="14"/>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（一）基金资产总值</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基金资产总值是指基金拥有的各类有价证券、国债期货合约、银行存款本息、基金应收款项及其他资产的价值总和。</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（二）基金资产净值</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（三）基金财产的账户</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（四）基金财产的保管和处分</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rsidR="00B439CC" w:rsidRDefault="005C4E6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4E0414" w:rsidRDefault="005C4E64">
      <w:pPr>
        <w:pStyle w:val="1"/>
        <w:snapToGrid w:val="0"/>
        <w:spacing w:beforeLines="0" w:before="240" w:after="240"/>
        <w:rPr>
          <w:rFonts w:ascii="宋体" w:hAnsi="宋体"/>
          <w:szCs w:val="30"/>
        </w:rPr>
      </w:pPr>
      <w:bookmarkStart w:id="15" w:name="_Toc240548789"/>
      <w:r>
        <w:rPr>
          <w:rFonts w:ascii="Times New Roman" w:hAnsi="Times New Roman"/>
          <w:sz w:val="30"/>
        </w:rPr>
        <w:lastRenderedPageBreak/>
        <w:t>十二、基金资产的估值</w:t>
      </w:r>
      <w:bookmarkEnd w:id="15"/>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（一）估值日</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（二）估值对象</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基金所拥有的债券、国债期货合约、资产支持证券和其他投资等持续以公允价值计量的金融资产及负债。</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（三）估值原则</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基金管理人在确定相关金融资产和金融负债的公允价值时，应符合《企业会计准则》、监管部门有关规定。</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3、如经济环境发生重大变化或证券发行人发生影响证券价格的重大事件，使潜在估值调整对前一估值日的基金资产净值的影响在0.25%以上的，应对估值进行调整并确定公允价值。</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（四）估值方法</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1、证券交易所上市的有价证券的估值</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交易所市场上市交易或挂牌转让的固定收益品种（另有规定的除外），选取第三方估值机构提供的相应品种当日的估值净价进行估值；交易所上市实行全价交易的债券（可转债除外），选取第三方估值机构提供的估值全价减去估值全价中所含的债券应收利息得到的净价进行估值；</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（2）交易所上市不存在活跃市场的有价证券，采用估值技术确定公允价值。交易所市场挂牌转让的资产支持证券，采用估值技术确定公允价值。</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2、首次公开发行未上市的债券，采用估值技术确定公允价值。</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采用估值技术确定公允价值。</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4、同一债券同时在两个或两个以上市场交易的，按债券所处的市场分别估值。</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5、本基金投资国债期货合约，一般以估值当日结算价进行估值，估值当日无结算价的，且最近交易日后经济环境未发生重大变化的，采用最近交易日结算价估值。</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6、如有确凿证据表明按上述方法进行估值不能客观反映其公允价值的，基金管理人可根据具体情况与基金托管人商定后，按最能反映公允价值的价格估值。</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7、当发生大额申购或赎回情形时，基金管理人可以采用摆动定价机制，以确保基金估值的公平性。</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8、对于因税收规定调整或其他原因导致产品实际交纳税金与估算的应交税金有差异的，产品将在相关税金调整日或实际支付日进行相应的会计处理。</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9、相关法律法规以及监管部门有强制规定的，从其规定。如有新增事项，按国家最新规定估值。</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信息的计算结果对外予以公布。</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（五）估值程序</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各类基金份额的基金份额净值是按照每个工作日闭市后，任一类基金份额的基金资产净值除以当日该类基金份额的余额数量计算，精确到0.0001元，小数点后第5位四舍五入。基金管理人可以设立大额赎回情形下的净值精度应急调整机制，具体可参见相关公告。国家另有规定的，从其规定。</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基金管理人于每个工作日计算各类基金份额的基金资产净值及基金份额净值，并按规定公告。如遇特殊情况，经履行适当程序，可以适当延迟计算或公告。</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依据基金合同和相关法律法规的规定对外公布。</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（六）估值错误的处理</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基金管理人和基金托管人将采取必要、适当、合理的措施确保基金资产估值的准确性、及时性。当基金份额净值小数点后4位以内（含第4位）发生估值错误时，视为基金份额净值错误。</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基金合同的当事人应按照以下约定处理：</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对于因技术原因引起的差错，若系同行业现有技术水平无法预见、无法避免、无法抗拒，则属不可抗力，按照下述规定执行。</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由于不可抗力原因造成投资人的交易资料灭失或被错误处理或造成其他错误</w:t>
      </w:r>
      <w:r>
        <w:rPr>
          <w:rFonts w:ascii="宋体" w:hAnsi="宋体"/>
          <w:sz w:val="24"/>
        </w:rPr>
        <w:lastRenderedPageBreak/>
        <w:t>等，因不可抗力原因出现估值错误的当事人不对其他当事人承担赔偿责任，但因该估值错误取得不当得利的当事人仍应负有返还不当得利的义务。</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2、估值错误处理原则</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（5）按法律法规规定的其他原则处理估值错误。</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（3）根据估值错误处理原则或当事人协商的方法由估值错误的责任方进行更正和赔偿损失；</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4、基金份额净值估值错误处理的方法如下：</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（2）错误偏差达到基金份额净值的0.25%时，基金管理人应当通报基金托管人并报中国证监会备案；错误偏差达到基金份额净值的0.5%时，基金管理人应当公告，并报中国证监会备案。</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（3）前述内容如法律法规或监管机关另有规定的，从其规定处理。</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（七）暂停估值的情形</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1、基金投资所涉及的证券/期货交易市场遇法定节假日或因其他原因暂停营业时；</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3、当特定资产占前一估值日基金资产净值50%以上的，经与基金托管人协商确认后，基金管理人应当暂停估值；</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4、法律法规、中国证监会和基金合同认定的其它情形。</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（八）基金净值的确认</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类基金份额的基金资产净值和基金份额净值由基金管理人负责计算，基金托管人负责进行复核。基金管理人应于每个开放日交易结束后计算当日的各类基金份额的基金资产净值和基金份额净值并发送给基金托管人。基金托管人对净值计算结果复核确认后发送给基金管理人，由基金管理人依据基金合同和相关法律法规的规定对基金净值予以公布。</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（九）特殊情形的处理</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1、基金管理人或基金托管人按估值方法的第6项进行估值时，所造成的误差不作为基金资产估值错误处理。</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由于证券/期货交易所、证券经纪机构、期货公司及登记结算公司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（十）实施侧袋机制期间的基金资产估值</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本基金实施侧袋机制的，应根据本部分的约定对主袋账户资产进行估值并披露</w:t>
      </w:r>
      <w:r>
        <w:rPr>
          <w:rFonts w:ascii="宋体" w:hAnsi="宋体"/>
          <w:sz w:val="24"/>
        </w:rPr>
        <w:lastRenderedPageBreak/>
        <w:t>主袋账户的基金净值信息，暂停披露侧袋账户份额净值。</w:t>
      </w:r>
    </w:p>
    <w:p w:rsidR="00B439CC" w:rsidRDefault="005C4E6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4E0414" w:rsidRDefault="005C4E64">
      <w:pPr>
        <w:pStyle w:val="1"/>
        <w:snapToGrid w:val="0"/>
        <w:spacing w:beforeLines="0" w:before="240" w:after="240"/>
        <w:rPr>
          <w:rFonts w:ascii="宋体" w:hAnsi="宋体"/>
          <w:szCs w:val="30"/>
        </w:rPr>
      </w:pPr>
      <w:bookmarkStart w:id="16" w:name="_Toc240548790"/>
      <w:r>
        <w:rPr>
          <w:rFonts w:ascii="Times New Roman" w:hAnsi="Times New Roman"/>
          <w:sz w:val="30"/>
        </w:rPr>
        <w:lastRenderedPageBreak/>
        <w:t>十三、基金收益与分配</w:t>
      </w:r>
      <w:bookmarkEnd w:id="16"/>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（一）基金利润的构成</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（二）基金可供分配利润</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（三）基金收益分配原则</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1、由于本基金A类基金份额不收取销售服务费，C类基金份额收取销售服务费，各基金份额类别对应的可供分配利润将有所不同；</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2、在符合有关基金分红条件的前提下，本基金管理人可以根据实际情况进行收益分配，具体分配方案以公告为准，若基金合同生效不满3个月可不进行收益分配；</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收益分配方式分两种：现金分红与红利再投资，投资者可选择现金红利或将现金红利自动转为相应类别的基金份额进行再投资；若投资者不选择，本基金默认的收益分配方式是现金分红；投资者红利再投资所得基金份额不受最短持有期限制；基金份额持有人可对其持有的A类基金份额和C类基金份额分别选择不同的收益分配方式；</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4、基金收益分配后任一类基金份额净值不能低于面值，即基金收益分配基准日的任一类基金份额净值减去该类每单位基金份额收益分配金额后不能低于面值；</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5、本基金同一基金份额类别的每一基金份额享有同等分配权；</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6、法律法规或监管机关另有规定的，从其规定。</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（四）收益分配方案</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（五）收益分配方案的确定、公告与实施</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本基金收益分配方案由基金管理人拟定，并由基金托管人复核，依照《信息披露办法》的规定在规定媒介公告。</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法律法规或监管机关另有规定的，从其规定。</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（六）基金收益分配中发生的费用</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时所发生的银行转账或其他手续费用由投资者自行承担。当投资者的现金红利小于一定金额，不足以支付银行转账或其他手续费用时，基金登记机构可将基金份额持有人的现金红利自动转为相应类别的基金份额。红利再投资的计算方法，依照《业务规则》执行。</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（七）收益分配方式的修改</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（八）实施侧袋机制期间的收益分配</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本基金实施侧袋机制的，侧袋账户不进行收益分配。</w:t>
      </w:r>
    </w:p>
    <w:p w:rsidR="00B439CC" w:rsidRDefault="005C4E6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4E0414" w:rsidRDefault="005C4E64">
      <w:pPr>
        <w:pStyle w:val="1"/>
        <w:snapToGrid w:val="0"/>
        <w:spacing w:beforeLines="0" w:before="240" w:after="240"/>
        <w:rPr>
          <w:rFonts w:ascii="宋体" w:hAnsi="宋体"/>
          <w:szCs w:val="30"/>
        </w:rPr>
      </w:pPr>
      <w:bookmarkStart w:id="17" w:name="_Toc240548791"/>
      <w:r>
        <w:rPr>
          <w:rFonts w:ascii="Times New Roman" w:hAnsi="Times New Roman"/>
          <w:sz w:val="30"/>
        </w:rPr>
        <w:lastRenderedPageBreak/>
        <w:t>十四、基金的费用与税收</w:t>
      </w:r>
      <w:bookmarkEnd w:id="17"/>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（一）基金费用的种类</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3、《基金合同》生效后与基金相关的信息披露费用；</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4、《基金合同》生效后与基金相关的会计师费、律师费、仲裁费和诉讼费；</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6、基金的证券、期货交易/结算费用；</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7、基金的银行汇划费用；</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8、基金的开户费用、账户维护费用；</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9、本基金从C类基金份额的基金财产中计提的销售服务费；</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10、按照国家有关规定和《基金合同》约定，可以在基金财产中列支的其他费用。</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（二）基金费用计提方法、计提标准和支付方式</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本基金的管理费按前一日基金资产净值的0.20%年费率计提。管理费的计算方法如下：</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H＝E×0.20%÷当年天数</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提，逐日累计至每月月末，按月支付。由基金管理人向基金托管人发送划付指令，经基金托管人复核后于次月首日起3个工作日内从基金财产中一次性支付给基金管理人。若遇法定节假日、休息日或不可抗力致使无法按时支付的，顺延至最近可支付日支付。</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本基金的托管费按前一日基金资产净值的0.05%年费率计提。托管费的计算方法如下：</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H＝E×0.05%÷当年天数</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H为每日应计提的基金托管费</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提，逐日累计至每月月末，按月支付。由基金管理人向基金托管人发送划付指令，经基金托管人复核后于次月首日起3个工作日内从基金财产中一次性支付给基金托管人。若遇法定节假日、休息日或不可抗力致使无法按时支付的，顺延至最近可支付日支付。</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（3）C类基金份额的销售服务费</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本基金A类基金份额不收取销售服务费，C类基金份额的销售服务费按前一日C类基金资产净值的0.15%年费率计提。计算方法如下：</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H＝E×0.15%÷当年天数</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H为C类基金份额每日应计提的销售服务费</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E为C类基金份额前一日基金资产净值</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销售服务费每日计提，逐日累计至每月月末，按月支付。由基金管理人向基金托管人发送销售服务费划付指令，经基金托管人复核后于次月首日起3个工作日内从基金财产中一次性支付给基金管理人，由基金管理人代付给销售机构。若遇法定节假日、休息日或不可抗力致使无法按时支付的，顺延至最近可支付日支付。</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C类基金份额的销售服务费将专门用于本基金的推广、销售与基金份额持有人服务。</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（4）上述“（一）基金费用的种类”中第3－8项、第10项费用，根据有关法规及相应协议规定，按费用实际支出金额列入当期费用，由基金托管人从基金财产中支付。</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本基金申购费的费率水平、计算公式和收取方式详见“基金份额的申购与赎回”一章。</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本基金赎回费的费率水平、计算公式和收取方式详见“基金份额的申购与赎回”一章。</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（三）不列入基金费用的项目</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下列费用不列入基金费用：</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1、基金管理人和基金托管人因未履行或未完全履行义务导致的费用支出或基金财产的损失；</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2、基金管理人和基金托管人处理与基金运作无关的事项发生的费用；</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3、《基金合同》生效前的相关费用；</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4、其他根据相关法律法规及中国证监会的有关规定不得列入基金费用的项目。</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（四）实施侧袋机制期间的基金费用</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本基金实施侧袋机制的，与侧袋账户有关的费用可以从侧袋账户中列支，但应待侧袋账户资产变现后方可列支，有关费用可酌情收取或减免，但不得收取管理费，详见本招募说明书“侧袋机制”部分的规定。</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（五）基金税收</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本基金运作过程中涉及的各纳税主体，其纳税义务按国家税收法律、法规执行。基金财产投资的相关税收，由基金份额持有人承担，基金管理人或者其他扣缴义务人按照国家有关税收征收的规定代扣代缴。</w:t>
      </w:r>
    </w:p>
    <w:p w:rsidR="00B439CC" w:rsidRDefault="005C4E6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4E0414" w:rsidRDefault="005C4E64">
      <w:pPr>
        <w:pStyle w:val="1"/>
        <w:snapToGrid w:val="0"/>
        <w:spacing w:beforeLines="0" w:before="240" w:after="240"/>
        <w:rPr>
          <w:rFonts w:ascii="宋体" w:hAnsi="宋体"/>
          <w:szCs w:val="30"/>
        </w:rPr>
      </w:pPr>
      <w:bookmarkStart w:id="18" w:name="_Toc240548792"/>
      <w:r>
        <w:rPr>
          <w:rFonts w:ascii="Times New Roman" w:hAnsi="Times New Roman"/>
          <w:sz w:val="30"/>
        </w:rPr>
        <w:lastRenderedPageBreak/>
        <w:t>十五、基金的会计与审计</w:t>
      </w:r>
      <w:bookmarkEnd w:id="18"/>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（一）基金会计政策</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1、基金管理人为本基金的基金会计责任方；</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2、基金的会计年度为公历年度的1月1日至12月31日；基金首次募集的会计年度按如下原则：如果《基金合同》生效少于2个月，可以并入下一个会计年度披露；</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3、基金核算以人民币为记账本位币，以人民币元为记账单位；</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4、会计制度执行国家有关会计制度；</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7、基金托管人每月与基金管理人就基金的会计核算、报表编制等进行核对并以书面方式确认。</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（二）基金的年度审计</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1、基金管理人聘请与基金管理人、基金托管人相互独立的符合《中华人民共和国证券法》规定的会计师事务所及其注册会计师对本基金的年度财务报表进行审计。</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2、会计师事务所更换经办注册会计师，应事先征得基金管理人同意。</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3、基金管理人认为有充足理由更换会计师事务所，须通报基金托管人。更换会计师事务所需依照《信息披露办法》的规定在规定媒介公告。</w:t>
      </w:r>
    </w:p>
    <w:p w:rsidR="00B439CC" w:rsidRDefault="005C4E6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4E0414" w:rsidRDefault="005C4E64">
      <w:pPr>
        <w:pStyle w:val="1"/>
        <w:snapToGrid w:val="0"/>
        <w:spacing w:beforeLines="0" w:before="240" w:after="240"/>
        <w:rPr>
          <w:rFonts w:ascii="宋体" w:hAnsi="宋体"/>
          <w:szCs w:val="30"/>
        </w:rPr>
      </w:pPr>
      <w:bookmarkStart w:id="19" w:name="_Toc240548793"/>
      <w:r>
        <w:rPr>
          <w:rFonts w:ascii="Times New Roman" w:hAnsi="Times New Roman"/>
          <w:sz w:val="30"/>
        </w:rPr>
        <w:lastRenderedPageBreak/>
        <w:t>十六、基金的信息披露</w:t>
      </w:r>
      <w:bookmarkEnd w:id="19"/>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（一）本基金的信息披露应符合《基金法》、《运作办法》、《信息披露办法》、《流动性风险管理规定》、《基金合同》及其他有关规定。</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（二）信息披露义务人</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本基金信息披露义务人包括基金管理人、基金托管人、召集基金份额持有人大会的基金份额持有人等法律、行政法规和中国证监会规定的自然人、法人和非法人组织。</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符合中国证监会规定条件的全国性报刊（以下简称“规定报刊”）及《信息披露办法》规定的互联网网站（以下简称“规定网站”）等媒介披露，并保证基金投资者能够按照《基金合同》约定的时间和方式查阅或者复制公开披露的信息资料。</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（三）本基金信息披露义务人承诺公开披露的基金信息，不得有下列行为：</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（四）本基金公开披露的信息应采用中文文本。如同时采用外文文本的，基金信息披露义务人应保证不同文本的内容一致。不同文本之间发生歧义的，以中文文本为准。</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（五）公开披露的基金信息</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1、基金招募说明书、《基金合同》、基金托管协议、基金产品资料概要</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（1）《基金合同》是界定《基金合同》当事人的各项权利、义务关系，明确基金份额持有人大会召开的规则及具体程序，说明基金产品的特性等涉及基金投资者重大利益的事项的法律文件。</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规定网站及基金销售机构网站或营业网点；基金产品资料概要其他信息发生变更的，基金管理人至少每年更新一次。基金终止运作的，基金管理人不再更新基金产品资料概要。</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申请经中国证监会注册后，基金管理人在基金份额发售的三日前，将基金份额发售公告、基金招募说明书提示性公告和《基金合同》提示性公告登载在规定报刊上，将基金份额发售公告、基金招募说明书、基金产品资料概要、《基金合同》和基金托管协议登载在规定网站上，并将基金产品资料概要登载在基金销售机构网站或营业网点；基金托管人应当同时将《基金合同》、基金托管协议登载在网站上。</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2、基金份额发售公告</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基金管理人应当就基金份额发售的具体事宜编制基金份额发售公告，并在披露招募说明书的当日登载于规定媒介上。</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3、《基金合同》生效公告</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基金管理人应当在收到中国证监会确认文件的次日在规定媒介上登载《基金合同》生效公告。</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4、基金净值信息</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《基金合同》生效后，在开始办理基金份额申购或者赎回前，基金管理人应当至少每周在规定网站分别披露一次A类基金份额和C类基金份额所对应的基金份额净值和基金份额累计净值。</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开始办理基金份额申购或者赎回后，基金管理人应当在不晚于每个开放日的次日，通过规定网站、基金销售机构网站或者营业网点，分别披露开放日的A类基金份额和C类基金份额所对应的基金份额净值和基金份额累计净值。</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基金管理人应当在不晚于半年度和年度最后一日的次日，在规定网站披露半年度和年度最后一日A类基金份额和C类基金份额所对应的基金份额净值和基金份额累计净值。</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5、基金份额申购、赎回价格</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6、基金定期报告，包括基金年度报告、基金中期报告和基金季度报告</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规定网站上，并将年度报告提示性公告登载在规定报刊上。基金年度报告中的财务会计报告应当经过符合《中华人民共和国证券法》规定的会计师事务所审计。</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基金管理人应当在上半年结束之日起两个月内，编制完成基金中期报告，将中期报告登载在规定网站上，并将中期报告提示性公告登载在规定报刊上。</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基金管理人应当在季度结束之日起15个工作日内，编制完成基金季度报告，将季度报告登载在规定网站上，并将季度报告提示性公告登载在规定报刊上。</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《基金合同》生效不足2个月的，基金管理人可以不编制当期季度报告、中期报告或者年度报告。</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基金管理人应当在基金年度报告和中期报告中披露基金组合资产情况及其流动性风险分析等。</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7、临时报告</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本基金发生重大事件，有关信息披露义务人应当依照《信息披露办法》的规定编制临时报告书，并登载在规定报刊和规定网站上。</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前款所称重大事件，是指可能对基金份额持有人权益或者基金份额的价格产生重大影响的下列事件：</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（1）基金份额持有人大会的召开及决定的事项；</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（15）管理费、托管费、销售服务费、申购费、赎回费等费用计提标准、计提</w:t>
      </w:r>
      <w:r>
        <w:rPr>
          <w:rFonts w:ascii="宋体" w:hAnsi="宋体"/>
          <w:sz w:val="24"/>
        </w:rPr>
        <w:lastRenderedPageBreak/>
        <w:t>方式和费率发生变更；</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（16）任一类基金份额净值计价错误达该类基金份额净值百分之零点五；</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（17）本基金开始办理申购、赎回；</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（19）本基金连续发生巨额赎回并暂停接受赎回申请或延缓支付赎回款项；</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（20）本基金暂停接受申购、赎回申请或重新接受申购、赎回申请；</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（21）发生涉及基金申购、赎回事项调整或潜在影响投资者赎回等重大事项时；</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（22）基金管理人采用摆动定价机制进行估值；</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（23）本基金增加或调整基金份额类别；</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（24）本基金推出新业务或服务；</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（25）《基金合同》生效后，连续30、40、45个工作日出现基金份额持有人数量不满200人或者基金资产净值低于5000万元情形，基金管理人应当发布提示性公告；</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（26）基金信息披露义务人认为可能对基金份额持有人权益或者基金份额的价格产生重大影响的其他事项或中国证监会规定和基金合同约定的其他事项。</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8、澄清公告</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9、基金份额持有人大会决议</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10、清算报告</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的，基金管理人应当依法组织清算小组对基金财产进行清算并作出清算报告。清算报告应当经过符合《中华人民共和国证券法》规定的会计师事务所审计，并由律师事务所出具法律意见书。清算小组应当将清算报告登载在规定网站上，并将清算报告提示性公告登载在规定报刊上。</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11、基金投资资产支持证券情况</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资产支持证券，基金管理人应在基金年度报告及中期报告中披露其持有的资产支持证券总额、资产支持证券市值占基金净资产的比例和报告期末所有的资产支持证券明细。基金管理人应在基金季度报告中披露其持有的资产支持证券总额、资产支持证券市值占基金净资产的比例和报告期末按市值占基金净资产比例大小排序的前10名资产支持证券明细。</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12、基金投资国债期货的情况</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在季度报告、中期报告、年度报告等定期报告和招募说明书（更新）等文件中披露国债期货交易情况，包括投资政策、持仓情况、损益情况、风险指标等，并充分揭示国债期货交易对基金总体风险的影响以及是否符合既定的投资政策和投资目标。</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13、实施侧袋机制期间的信息披露</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本基金实施侧袋机制的，相关信息披露义务人应当根据法律法规、基金合同和招募说明书的规定进行信息披露，详见本招募说明书“侧袋机制”部分的规定。</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14、中国证监会规定的其他信息。</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（六）信息披露事务管理</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基金信息披露义务人公开披露基金信息，应当符合中国证监会相关基金信息披露内容与格式准则等法规的规定。</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基金份额净值、基金份额申购赎回价格、基金定期报告、更新的招募说明书、基金产品资料概要、基金清算报告等相关基金信息进行复核、审查，并向基金管理人进行书面或电子确认。</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基金管理人、基金托管人应当在规定报刊中选择披露信息的报刊。基金管理人、基金托管人应当向中国证监会基金电子披露网站报送拟披露的基金信息，并保证相关报送信息的真实、准确、完整、及时。</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基金管理人、基金托管人除依法在规定媒介上披露信息外，还可以根据需要在其他公共媒介披露信息，但是其他公共媒介不得早于规定媒介披露信息，并且在不同媒介上披露同一信息的内容应当一致。</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为基金信息披露义务人公开披露的基金信息出具审计报告、法律意见书的专业机构，应当制作工作底稿，并将相关档案至少保存到《基金合同》终止后10年。</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（七）信息披露文件的存放与查阅</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依法必须披露的信息发布后，基金管理人、基金托管人应当按照相关法律法规规定将信息置备于各自办公场所，供社会公众查阅、复制。</w:t>
      </w:r>
    </w:p>
    <w:p w:rsidR="00B439CC" w:rsidRDefault="005C4E6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4E0414" w:rsidRDefault="005C4E64">
      <w:pPr>
        <w:pStyle w:val="1"/>
        <w:snapToGrid w:val="0"/>
        <w:spacing w:beforeLines="0" w:before="240" w:after="240"/>
        <w:rPr>
          <w:rFonts w:ascii="宋体" w:hAnsi="宋体"/>
          <w:szCs w:val="30"/>
        </w:rPr>
      </w:pPr>
      <w:bookmarkStart w:id="20" w:name="_Toc240548794"/>
      <w:r>
        <w:rPr>
          <w:rFonts w:ascii="Times New Roman" w:hAnsi="Times New Roman"/>
          <w:sz w:val="30"/>
        </w:rPr>
        <w:lastRenderedPageBreak/>
        <w:t>十七、侧袋机制</w:t>
      </w:r>
      <w:bookmarkEnd w:id="20"/>
    </w:p>
    <w:p w:rsidR="004E0414" w:rsidRDefault="005C4E6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（一）侧袋机制的实施条件</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（二）实施侧袋机制期间基金份额的申购与赎回</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（三）实施侧袋机制期间的基金投资</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基金管理人不得在侧袋账户中进行除特定资产处置变现以外的其他投资操作。</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（四）实施侧袋机制期间的基金估值</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本基金实施侧袋机制的，基金管理人和基金托管人应对主袋账户资产进行估值</w:t>
      </w:r>
      <w:r>
        <w:rPr>
          <w:rFonts w:ascii="宋体" w:hAnsi="宋体"/>
          <w:sz w:val="24"/>
        </w:rPr>
        <w:lastRenderedPageBreak/>
        <w:t>并披露主袋账户的基金净值信息，暂停披露侧袋账户份额净值。侧袋账户的会计核算应符合《企业会计准则》的相关要求。</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（五）实施侧袋账户期间的基金费用</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1、本基金实施侧袋机制的，管理费和托管费等按主袋账户基金资产净值作为基数计提。</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（六）侧袋账户中特定资产的处置变现和支付</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（七）侧袋机制的信息披露</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1、临时公告</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2、基金净值信息</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3、定期报告</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rsidR="00B439CC" w:rsidRDefault="005C4E64"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4E0414" w:rsidRDefault="005C4E64">
      <w:pPr>
        <w:pStyle w:val="1"/>
        <w:snapToGrid w:val="0"/>
        <w:spacing w:beforeLines="0" w:before="240" w:after="240"/>
        <w:rPr>
          <w:rFonts w:ascii="宋体" w:hAnsi="宋体"/>
          <w:szCs w:val="30"/>
        </w:rPr>
      </w:pPr>
      <w:bookmarkStart w:id="21" w:name="_Toc240548795"/>
      <w:r>
        <w:rPr>
          <w:rFonts w:ascii="Times New Roman" w:hAnsi="Times New Roman"/>
          <w:sz w:val="30"/>
        </w:rPr>
        <w:lastRenderedPageBreak/>
        <w:t>十八、风险揭示</w:t>
      </w:r>
      <w:bookmarkEnd w:id="21"/>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开放日基金的净赎回申请（赎回申请份额总数加上基金转换中转出申请份额总数扣除申购申请份额总数及基金转换中转入申请份额总数后的余额）超过上一开放日基金总份额的10%时，投资人将可能无法及时赎回持有的全部基金份额。</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分为股票型基金、混合型基金、债券型基金、货币市场基金等不同类型，投资人投资不同类型的基金将获得不同的收益预期，也将承担不同程度的风险。一般来说，基金的收益预期越高，投资人承担的风险也越大。</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分红等行为导致基金份额净值变化，不会改变基金的风险收益特征，不会降低基金投资风险或提高基金投资收益。以1元初始面值开展基金募集或因拆分、分红等行为导致基金份额净值调整至1元初始面值或1元附近，在市场波动等因素的影响下，基金投资仍有可能出现亏损或基金净值仍有可能低于初始面值。</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谨慎勤勉的原则管理和运用基金资产，但不保证投资于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w:t>
      </w:r>
      <w:r>
        <w:rPr>
          <w:rFonts w:ascii="宋体" w:hAnsi="宋体"/>
          <w:sz w:val="24"/>
        </w:rPr>
        <w:lastRenderedPageBreak/>
        <w:t>自行负担。</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基金份额持有人须了解并承受以下风险：</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（一）市场风险</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4、信用风险。基金所投资债券的发行人如果不能或拒绝支付到期本息，或者不能履行合约规定的其它义务，或者其信用等级降低，将会导致债券价格下降，进而造成基金资产损失，从而产生风险。</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6、债券收益率曲线变动风险。是指收益率曲线没有按预期变化导致基金投资决策出现偏差。</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再投资风险。该风险与利率风险互为消长。当市场利率下降时，基金所持有的债券价格会上涨，而基金将投资于固定收益类金融工具所得的利息收入进行再投资将获得较低的收益率，再投资的风险加大；反之，当市场利率上升时，基金所持有的债券价格会下降，利率风险加大，但是利息的再投资收益会上升。</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8、经营风险。它与基金所投资债券的发行人的经营活动所引起的收入现金流的不确定性有关。债券发行人期间运营收入变化越大，经营风险就越大；反之，运营收入越稳定，经营风险就越小。</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9、上市公司经营风险。上市公司的经营状况受多种因素影响，如管理能力、财务状况、市场前景、行业竞争、人员素质等，这些都会导致企业的盈利发生变</w:t>
      </w:r>
      <w:r>
        <w:rPr>
          <w:rFonts w:ascii="宋体" w:hAnsi="宋体"/>
          <w:sz w:val="24"/>
        </w:rPr>
        <w:lastRenderedPageBreak/>
        <w:t>化。虽然基金可以通过投资多样化来分散这种非系统风险，但不能完全规避。</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债券回购风险。债券回购为提升整体基金组合收益提供了可能，但也存在一定的风险。债券回购的主要风险包括信用风险、投资风险及波动性加大的风险，其中，信用风险指回购交易中交易对手在回购到期时，不能偿还全部或部分证券或价款，造成基金净值损失的风险；投资风险是指在进行回购操作时，回购利率大于债券投资收益而导致的风险以及由于回购操作导致投资总量放大，致使整个组合风险放大的风险；而波动性加大的风险是指在进行回购操作时，在对基金组合收益进行放大的同时，也对基金组合的波动性（标准差）进行了放大，即基金组合的风险将会加大。回购比例越高，风险暴露程度也就越高，对基金净值造成损失的可能性也就越大。</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（二）管理风险</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（三）流动性风险</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开放式基金，基金份额持有人持有的每份基金份额最短持有期限为90天，对于满足持有期限的投资人，在基金的所有开放日，基金管理人都有义务接受投资人的赎回。如果基金资产不能迅速转变成现金，或者变现为现金时使资金净值产生不利的影响，都会影响基金运作和收益水平。尤其是在发生巨额赎回时，如果基金资产变现能力差，可能会产生基金仓位调整的困难，导致流动性风险，可能影响基金份额净值。</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但对于每份基金份额，基金份额持有人仅可在该份额最短持有期限届满日起（含该日）申请赎回，具体办理时间为上海证券交易所、深圳证券交易所的正常交易日的交易时间，但基金管理人根据法律法规、中国证监会的要求或基金合同的规定公告暂停申购、赎回时除外。基金管理人可根据实际情况依法决定本基金开始办理申购的具体日期，具体业务办理时间在申购开始公告中规定。</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基金管理人自基金合同生效之日起的第90天（含该日，如遇非工作日，则顺延</w:t>
      </w:r>
      <w:r>
        <w:rPr>
          <w:rFonts w:ascii="宋体" w:hAnsi="宋体"/>
          <w:sz w:val="24"/>
        </w:rPr>
        <w:lastRenderedPageBreak/>
        <w:t>至下一工作日）开始办理赎回，具体业务办理时间在开放赎回业务的公告中规定。</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包括国内依法发行上市的债券和货币市场工具等），同时本基金基于分散投资的原则在个券方面未有高集中度的特征，综合评估在正常市场环境下本基金的流动性风险适中。</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如投资人在提交赎回申请时未作明确选择，投资人未能赎回部分作自动延期赎回处理。</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w:t>
      </w:r>
      <w:r>
        <w:rPr>
          <w:rFonts w:ascii="宋体" w:hAnsi="宋体"/>
          <w:sz w:val="24"/>
        </w:rPr>
        <w:lastRenderedPageBreak/>
        <w:t>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摆动定价、暂停基金估值、实施侧袋机制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w:t>
      </w:r>
      <w:r>
        <w:rPr>
          <w:rFonts w:ascii="宋体" w:hAnsi="宋体"/>
          <w:sz w:val="24"/>
        </w:rPr>
        <w:lastRenderedPageBreak/>
        <w:t>人不承担任何保证和承诺的责任。</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基金管理人将根据主袋账户运作情况合理确定申购政策，因此实施侧袋机制后主袋账户份额存在暂停申购的可能。</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（四）交易对手违约风险</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交易对手违约风险是指当债券、票据或债券回购等交易对手违约时，将直接导致基金资产的损失，或导致基金不能及时抓住市场机会，对投资收益产生影响。</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（五）本基金的特有风险</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1、本基金为债券型基金，投资于债券资产的比例不低于基金资产的80%，因投资固定收益类资产而面临固定收益类资产市场的系统性风险和个券风险；</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每份基金份额的最短持有期限为90天，在最短持有期限内该份基金份额不可赎回，自最短持有期限届满日起（含该日）可赎回。即：自基金合同生效日（对认购份额而言）、基金份额申购确认日（对申购份额而言）起的第90天起（含当日，如为非工作日则顺延至下一工作日），投资者方可提出赎回申请。对于基金份额持有人而言，存在投资本基金后90天内无法赎回的风险。</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4、基金合同提前终止风险。连续50个工作日出现基金份额持有人数量不满200人或者基金资产净值低于5000万元情形的，基金合同终止，不需召开基金份额持有人大会。</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（六）投资国债期货的特定风险</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国债期货，国债期货的投资可能给本基金带来额外风险。国债期货的投资可能面临市场风险、基差风险、流动性风险。市场风险是因期货市场价格波动使所持有的期货合约价值发生变化的风险。基差风险是期货市场的特有风险之一，是指由于期货与现货之间价差的波动，影响套期保值或套利效果，使之发生意外损益的风险。流动性风险可分为两类：一类为流通量风险，是指期货合约无法及时以所希望的价格建立或了结头寸的风险，此类风险往往是由市场缺乏广度或深度</w:t>
      </w:r>
      <w:r>
        <w:rPr>
          <w:rFonts w:ascii="宋体" w:hAnsi="宋体"/>
          <w:sz w:val="24"/>
        </w:rPr>
        <w:lastRenderedPageBreak/>
        <w:t>导致的；另一类为资金量风险，是指资金量无法满足保证金要求，使得所持有的头寸面临被强制平仓的风险。</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（七）投资资产支持证券的特定风险</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（八）本基金法律文件风险收益特征表述与销售机构基金风险评价可能不一致的风险</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（九）其他风险</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2、因基金业务快速发展，在制度建设、人员配备、内控制度建立等方面的不完善产生的风险；</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5C4E6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4E0414" w:rsidRDefault="005C4E64">
      <w:pPr>
        <w:pStyle w:val="1"/>
        <w:snapToGrid w:val="0"/>
        <w:spacing w:beforeLines="0" w:before="240" w:after="240"/>
        <w:rPr>
          <w:rFonts w:ascii="宋体" w:hAnsi="宋体"/>
          <w:szCs w:val="30"/>
        </w:rPr>
      </w:pPr>
      <w:bookmarkStart w:id="22" w:name="_Toc240548796"/>
      <w:r>
        <w:rPr>
          <w:rFonts w:ascii="Times New Roman" w:hAnsi="Times New Roman"/>
          <w:sz w:val="30"/>
        </w:rPr>
        <w:lastRenderedPageBreak/>
        <w:t>十九、基金合同的变更、终止与基金财产的清算</w:t>
      </w:r>
      <w:bookmarkEnd w:id="22"/>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（一）《基金合同》的变更</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2、关于《基金合同》变更的基金份额持有人大会决议自生效后方可执行，自决议生效后依照《信息披露办法》的规定在规定媒介公告。</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（二）《基金合同》的终止事由</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有下列情形之一的，经履行相关程序后，《基金合同》应当终止：</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3、连续50个工作日出现基金份额持有人数量不满200人或者基金资产净值低于5000万元情形的，基金合同终止，不需召开基金份额持有人大会；</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（三）基金财产的清算</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（3）对基金财产进行估值和变现；</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（四）清算费用</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（五）基金财产清算剩余资产的分配</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（六）基金财产清算的公告</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（七）基金财产清算账册及文件的保存</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基金财产清算账册及有关文件由基金托管人保存不低于法律法规规定的最低期限。</w:t>
      </w:r>
    </w:p>
    <w:p w:rsidR="00B439CC" w:rsidRDefault="005C4E6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4E0414" w:rsidRDefault="005C4E64">
      <w:pPr>
        <w:pStyle w:val="1"/>
        <w:snapToGrid w:val="0"/>
        <w:spacing w:beforeLines="0" w:before="240" w:after="240"/>
        <w:rPr>
          <w:rFonts w:ascii="宋体" w:hAnsi="宋体"/>
          <w:szCs w:val="30"/>
        </w:rPr>
      </w:pPr>
      <w:bookmarkStart w:id="23" w:name="_Toc240548797"/>
      <w:r>
        <w:rPr>
          <w:rFonts w:ascii="Times New Roman" w:hAnsi="Times New Roman"/>
          <w:sz w:val="30"/>
        </w:rPr>
        <w:lastRenderedPageBreak/>
        <w:t>二十、基金合同内容摘要</w:t>
      </w:r>
      <w:bookmarkEnd w:id="23"/>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（一）基金份额持有人、基金管理人和基金托管人的权利与义务</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（1）根据《基金法》、《运作办法》及其他有关规定，基金管理人的权利包括但不限于：</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2）自《基金合同》生效之日起，根据法律法规和《基金合同》独立运用并管理基金财产；</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3）依照《基金合同》收取基金管理费以及法律法规规定或中国证监会批准的其他费用；</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4）销售基金份额；</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5）按照规定召集基金份额持有人大会；</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7）在基金托管人更换时，提名新的基金托管人；</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8）选择、更换基金销售机构，对基金销售机构的相关行为进行监督和处理；</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9）担任或委托其他符合条件的机构担任基金登记机构办理基金登记业务并获得《基金合同》规定的费用；</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10）依据《基金合同》及有关法律规定决定基金收益的分配方案；</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11）在《基金合同》约定的范围内，拒绝或暂停受理申购与赎回申请；</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12）依照法律法规为基金的利益行使因基金财产投资于证券所产生的权利；</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13）在法律法规允许的前提下，为基金的利益依法为基金进行融资；</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14）以基金管理人的名义，代表基金份额持有人的利益行使诉讼权利或者实施其他法律行为；</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15）选择、更换律师事务所、会计师事务所、证券/期货经纪商或其他为基金提供服务的外部机构；</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16）在符合有关法律、法规的前提下，制定和调整有关基金认购、申购、赎回、转换等的业务规则；</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17）法律法规及中国证监会规定的和《基金合同》约定的其他权利。</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（2）根据《基金法》、《运作办法》及其他有关规定，基金管理人的义务包括但不限于：</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3）自《基金合同》生效之日起，以诚实信用、谨慎勤勉的原则管理和运用基金财产；</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9）进行基金会计核算并编制基金财务会计报告；</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10）编制季度报告、中期报告和年度报告；</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11）严格按照《基金法》、《基金合同》及其他有关规定，履行信息披露及报告义务；</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13）按《基金合同》的约定确定基金收益分配方案，及时向基金份额持有人分配基金收益；</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14）按规定受理申购与赎回申请，及时、足额支付赎回款项；</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w:t>
      </w:r>
      <w:r>
        <w:rPr>
          <w:rFonts w:ascii="宋体" w:hAnsi="宋体"/>
          <w:sz w:val="24"/>
        </w:rPr>
        <w:lastRenderedPageBreak/>
        <w:t>配合基金托管人、基金份额持有人依法召集基金份额持有人大会；</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16）按规定保存基金财产管理业务活动的会计账册、报表、记录和其他相关资料不低于法律法规规定的最低期限；</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18）组织并参加基金财产清算小组，参与基金财产的保管、清理、估价、变现和分配；</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19）面临解散、依法被撤销或者被依法宣告破产时，及时报告中国证监会并通知基金托管人；</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22）当基金管理人将其义务委托第三方处理时，应当对第三方处理有关基金事务的行为承担责任；</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23）以基金管理人名义，代表基金份额持有人利益行使诉讼权利或实施其他法律行为；</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25）执行生效的基金份额持有人大会的决议；</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26）建立并保存基金份额持有人名册；</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27）法律法规及中国证监会规定的和《基金合同》约定的其他义务。</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（1）根据《基金法》、《运作办法》及其他有关规定，基金托管人的权利包括但不限于：</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1）自《基金合同》生效之日起，依法律法规和《基金合同》的规定安全保管基金财产；</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2）依《基金合同》约定获得基金托管费以及法律法规规定或监管部门批准的其他费用；</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4）根据相关市场规则，为基金开设资金账户、证券账户等投资所需账户，为基金办理证券交易资金清算；</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5）提议召开或召集基金份额持有人大会；</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6）在基金管理人更换时，提名新的基金管理人；</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7）法律法规及中国证监会规定的和《基金合同》约定的其他权利。</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（2）根据《基金法》、《运作办法》及其他有关规定，基金托管人的义务包括但不限于：</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6）按规定开设基金财产的资金账户、证券账户和期货结算账户等投资所需账户，按照《基金合同》的约定，根据基金管理人的投资指令，及时办理清算、交割事宜；</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但根据监管机构、司法机关等有权机关的要求提供，或因审计、法律等外部专业顾问提供服务需要提供的情况除外；</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8）复核、审查基金管理人计算的基金资产净值、基金份额净值、基金份额申</w:t>
      </w:r>
      <w:r>
        <w:rPr>
          <w:rFonts w:ascii="宋体" w:hAnsi="宋体"/>
          <w:sz w:val="24"/>
        </w:rPr>
        <w:lastRenderedPageBreak/>
        <w:t>购、赎回价格；</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9）办理与基金托管业务活动有关的信息披露事项；</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11）保存基金托管业务活动的记录、账册、报表和其他相关资料不低于法律法规规定的最低期限；</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12）保存基金份额持有人名册；</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13）按规定制作相关账册并与基金管理人核对；</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14）依据基金管理人的指令或有关规定向基金份额持有人支付基金收益和赎回款项；</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16）按照法律法规和《基金合同》的规定监督基金管理人的投资运作；</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17）参加基金财产清算小组，参与基金财产的保管、清理、估价、变现和分配；</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19）因违反《基金合同》导致基金财产损失时，应承担赔偿责任，其赔偿责任不因其退任而免除；</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21）执行生效的基金份额持有人大会的决议；</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22）法律法规及中国证监会规定的和《基金合同》约定的其他义务。</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基金份额，即成为本基金份额持有人和《基金合同》的当事人，直至其不再持有本基金的基金份额。基金份额持有人作为</w:t>
      </w:r>
      <w:r>
        <w:rPr>
          <w:rFonts w:ascii="宋体" w:hAnsi="宋体"/>
          <w:sz w:val="24"/>
        </w:rPr>
        <w:lastRenderedPageBreak/>
        <w:t>《基金合同》当事人并不以在《基金合同》上书面签章或签字为必要条件。</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同一类别每份基金份额具有同等的合法权益。</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（1）根据《基金法》、《运作办法》及其他有关规定，基金份额持有人的权利包括但不限于：</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1）分享基金财产收益；</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3）依法并按照基金合同和招募说明书的规定转让或者申请赎回其持有的基金份额；</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4）按照规定要求召开基金份额持有人大会或者召集基金份额持有人大会；</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8）对基金管理人、基金托管人、基金服务机构损害其合法权益的行为依法提起诉讼或仲裁；</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9）法律法规及中国证监会规定的和《基金合同》约定的其他权利。</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（2）根据《基金法》、《运作办法》及其他有关规定，基金份额持有人的义务包括但不限于：</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1）认真阅读并遵守《基金合同》、招募说明书等信息披露文件；</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3）关注基金信息披露，及时行使权利和履行义务；</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4）交纳基金认购、申购款项及法律法规和《基金合同》所规定的费用；</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5）在其持有的基金份额范围内，承担基金亏损或者《基金合同》终止的有限责任；</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6）不从事任何有损基金及其他《基金合同》当事人合法权益的活动；</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7）执行生效的基金份额持有人大会的决议；</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8）返还在基金交易过程中因任何原因获得的不当得利；</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9）遵守基金管理人、基金托管人、销售机构和登记机构的相关交易及业务规则；</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10）提供基金管理人和监管机构依法要求提供的信息，以及不时的更新和补充，并保证其真实性；</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11）法律法规及中国证监会规定的和《基金合同》约定的其他义务。</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（二）基金份额持有人大会召集、议事及表决的程序和规则</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本基金份额持有人大会不设日常机构。</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1、召开事由</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（1）当出现或需要决定下列事由之一的，应当召开基金份额持有人大会，法律法规、中国证监会另有规定的除外：</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1）终止《基金合同》，基金合同另有规定的除外；</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2）更换基金管理人；</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3）更换基金托管人；</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4）转换基金运作方式；</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5）调整基金管理人、基金托管人的报酬标准和提高销售服务费；</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6）变更基金类别；</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8）变更基金投资目标、范围或策略，基金合同另有规定的除外；</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9）变更基金份额持有人大会程序，基金合同另有规定的除外；</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10）基金管理人或基金托管人要求召开基金份额持有人大会；</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12）对基金合同当事人权利和义务产生重大影响的其他事项；</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13）法律法规、《基金合同》或中国证监会规定的其他应当召开基金份额持有人大会的事项。</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（2）在法律法规规定和《基金合同》约定的范围内且对基金份额持有人利益无实质性不利影响的前提下，以下情况可由基金管理人和基金托管人协商后修改，不需召开基金份额持有人大会：</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1）调低基金销售服务费；</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2）法律法规要求增加的基金费用的收取；</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3）在法律法规和《基金合同》规定的范围内调整本基金的申购费率、调低赎回费率、在对现有基金份额持有人利益无实质性不利影响的前提下变更收费方式；</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4）因相应的法律法规、登记机构的相关业务规则发生变动而应当对《基金合同》进行修改；</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5）对《基金合同》的修改对基金份额持有人利益无实质性不利影响或修改不涉及《基金合同》当事人权利义务关系发生重大变化；</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6）在法律法规允许的情况下，且在对现有基金份额持有人利益无实质性不利影响的前提下，基金推出新业务或服务；</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7）在符合法律法规及本基金合同规定、并且对基金份额持有人利益无实质不利影响的前提下，调整本基金份额类别的设置、对基金份额分类办法及规则进行调整；</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8）在不违反法律法规及对基金份额持有人利益无实质性不利影响的前提下，基金管理人、登记机构、销售机构调整有关基金认购、申购、赎回、转换、收益分配、非交易过户、转托管等业务的规则；</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9）按照法律法规和《基金合同》规定不需召开基金份额持有人大会的其他情形。</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2、会议召集人及召集方式</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（1）除法律法规规定或《基金合同》另有约定外，基金份额持有人大会由基金管理人召集；</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（2）基金管理人未按规定召集或不能召集时，由基金托管人召集；</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w:t>
      </w:r>
      <w:r>
        <w:rPr>
          <w:rFonts w:ascii="宋体" w:hAnsi="宋体"/>
          <w:sz w:val="24"/>
        </w:rPr>
        <w:lastRenderedPageBreak/>
        <w:t>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（6）基金份额持有人会议的召集人负责选择确定开会时间、地点、方式和权益登记日。</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3、召开基金份额持有人大会的通知时间、通知内容、通知方式</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（1）召开基金份额持有人大会，召集人应于会议召开前30日，在规定媒介公告。基金份额持有人大会通知应至少载明以下内容：</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1）会议召开的时间、地点和会议形式；</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2）会议拟审议的事项、议事程序和表决方式；</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3）有权出席基金份额持有人大会的基金份额持有人的权益登记日；</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4）授权委托证明的内容要求（包括但不限于代理人身份，代理权限和代理有效期限等）、送达时间和地点；</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5）会务常设联系人姓名及联系电话；</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6）出席会议者必须准备的文件和必须履行的手续；</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7）召集人需要通知的其他事项。</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w:t>
      </w:r>
      <w:r>
        <w:rPr>
          <w:rFonts w:ascii="宋体" w:hAnsi="宋体"/>
          <w:sz w:val="24"/>
        </w:rPr>
        <w:lastRenderedPageBreak/>
        <w:t>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4、基金份额持有人出席会议的方式</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基金份额持有人大会可通过现场开会方式、通讯开会方式或法律法规、监管机构允许的其他方式召开，会议的召开方式由会议召集人确定。</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（2）通讯开会。通讯开会系指基金份额持有人将其对表决事项的投票以会议通知载明的形式或基金合同约定的其他方式在表决截止日以前送达至召集人指定的地址或系统。</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在同时符合以下条件时，通讯开会的方式视为有效：</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1）会议召集人按《基金合同》约定公布会议通知后，在2个工作日内连续公布相关提示性公告；</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w:t>
      </w:r>
      <w:r>
        <w:rPr>
          <w:rFonts w:ascii="宋体" w:hAnsi="宋体"/>
          <w:sz w:val="24"/>
        </w:rPr>
        <w:lastRenderedPageBreak/>
        <w:t>规定的方式收取基金份额持有人的表决意见；基金托管人或基金管理人经通知不参加收取表决意见的，不影响表决效力；</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人直接出具表决意见或授权他人代表出具表决意见的，基金份额持有人所持有的基金份额不小于在权益登记日基金总份额的二分之一（含二分之一）；若本人直接出具表决意见或授权他人代表出具表决意见的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表决意见或授权他人代表出具表决意见；</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5、议事内容与程序</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基金份额持有人大会不得对未事先公告的议事内容进行表决。</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50%以上（含50%）选举产生一名基金份额持有人或代理人作为该次基金份额持有人大会的主持人。基金管理人和基金托管人拒不出席或主持基金份额持有人大会，不影响基金份额持有人大会作出的决议的效力。</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6、表决</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基金份额持有人所持每份基金份额有一票表决权。</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规、《基金合同》和中国证监会另有规定的除外）以特别决议通过方为有效。</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基金份额持有人大会采取记名方式进行投票表决。</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基金份额持有人大会的各项提案或同一项提案内并列的各项议题应当分开审议、逐项表决。</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7、计票</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2）监票人应当在基金份额持有人表决后立即进行清点并由大会主持人当场公布计票结果。</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4）计票过程应由公证机关予以公证，基金管理人或基金托管人拒不出席大会的，不影响计票的效力。</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8、生效与公告</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基金份额持有人大会的决议，召集人应当自通过之日起5日内报中国证监会备案。</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基金份额持有人大会的决议自表决通过之日起生效。法律法规另有规定的，从其规定。</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基金份额持有人大会决议自生效之日起依照《信息披露办法》的规定在规定媒介上公告。如果采用通讯方式进行表决，在公告基金份额持有人大会决议时，必须</w:t>
      </w:r>
      <w:r>
        <w:rPr>
          <w:rFonts w:ascii="宋体" w:hAnsi="宋体"/>
          <w:sz w:val="24"/>
        </w:rPr>
        <w:lastRenderedPageBreak/>
        <w:t>将公证书全文、公证机构、公证员姓名等一同公告。</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基金管理人、基金托管人和基金份额持有人应当执行生效的基金份额持有人大会的决议。生效的基金份额持有人大会决议对全体基金份额持有人、基金管理人、基金托管人均有约束力。</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9、实施侧袋机制期间基金份额持有人大会的特殊约定</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（1）基金份额持有人行使提议权、召集权、提名权所需单独或合计代表相关基金份额10%以上（含10%）；</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（3）通讯开会的直接出具表决意见或授权他人代表出具表决意见的基金份额持有人所持有的基金份额不小于在权益登记日相关基金份额的二分之一（含二分之一）；</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（6）一般决议须经参加大会的基金份额持有人或其代理人所持表决权的二分之一以上（含二分之一）通过；</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（7）特别决议应当经参加大会的基金份额持有人或其代理人所持表决权的三分之二以上（含三分之二）通过。</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同一主侧袋账户内的每份基金份额具有平等的表决权。</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10、本部分对基金份额持有人大会召开事由、召开条件、议事程序、表决条件</w:t>
      </w:r>
      <w:r>
        <w:rPr>
          <w:rFonts w:ascii="宋体" w:hAnsi="宋体"/>
          <w:sz w:val="24"/>
        </w:rPr>
        <w:lastRenderedPageBreak/>
        <w:t>等规定，凡是直接引用法律法规的部分，如将来法律法规修改导致相关内容被取消或变更的，基金管理人经与基金托管人协商一致并提前公告后，可直接对本部分内容进行修改和调整，无需召开基金份额持有人大会审议。</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（三）基金合同解除和终止的事由、程序</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（2）关于《基金合同》变更的基金份额持有人大会决议自生效后方可执行，自决议生效后依照《信息披露办法》的规定在规定媒介公告。</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2、《基金合同》的终止事由</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有下列情形之一的，经履行相关程序后，《基金合同》应当终止：</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（3）连续50个工作日出现基金份额持有人数量不满200人或者基金资产净值低于5000万元情形的，基金合同终止，不需召开基金份额持有人大会；</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1）《基金合同》终止情形出现时，由基金财产清算小组统一接管基金财产；</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4、清算费用</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5、基金财产清算剩余资产的分配</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6、基金财产清算的公告</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7、基金财产清算账册及文件的保存</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基金财产清算账册及有关文件由基金托管人保存不低于法律法规规定的最低期限。</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（四）争议解决方式</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中国国际经济贸易仲裁委员会，仲裁地点为北京市，按照中国国际经济贸易仲裁委员会届时有效的仲裁规</w:t>
      </w:r>
      <w:r>
        <w:rPr>
          <w:rFonts w:ascii="宋体" w:hAnsi="宋体"/>
          <w:sz w:val="24"/>
        </w:rPr>
        <w:lastRenderedPageBreak/>
        <w:t>则进行仲裁。仲裁裁决是终局的，对各方当事人均有约束力，除非仲裁裁决另有规定，仲裁费由败诉方承担。</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争议处理期间，基金合同当事人应恪守各自的职责，继续忠实、勤勉、尽责地履行基金合同规定的义务，维护基金份额持有人的合法权益。</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《基金合同》受中国法律（不含港澳台地区法律）管辖并从其解释。</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（五）基金合同存放地和投资者取得基金合同的方式</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《基金合同》正本一式六份，除上报有关监管机构一式二份外，基金管理人、基金托管人各持有二份，每份具有同等的法律效力。</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《基金合同》可印制成册，供投资者在基金管理人、基金托管人、销售机构的办公场所和营业场所查阅，但应以《基金合同》正本为准。</w:t>
      </w:r>
    </w:p>
    <w:p w:rsidR="00B439CC" w:rsidRDefault="005C4E6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4E0414" w:rsidRDefault="005C4E64">
      <w:pPr>
        <w:pStyle w:val="1"/>
        <w:snapToGrid w:val="0"/>
        <w:spacing w:beforeLines="0" w:before="240" w:after="240"/>
        <w:rPr>
          <w:rFonts w:ascii="宋体" w:hAnsi="宋体"/>
          <w:szCs w:val="30"/>
        </w:rPr>
      </w:pPr>
      <w:bookmarkStart w:id="24" w:name="_Toc240548798"/>
      <w:r>
        <w:rPr>
          <w:rFonts w:ascii="Times New Roman" w:hAnsi="Times New Roman"/>
          <w:sz w:val="30"/>
        </w:rPr>
        <w:lastRenderedPageBreak/>
        <w:t>二十一、托管协议的内容摘要</w:t>
      </w:r>
      <w:bookmarkEnd w:id="24"/>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（一）托管协议当事人</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注册地址：中国（上海）自由贸易试验区银城中路188号交通银行大楼二层（裙）</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成立日期：2005年8月4日</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批准设立机关及批准设立文号：中国证监会证监基金字[2005]128号</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经营范围：基金募集、基金销售、资产管理和中国证监会许可的其它业务</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名称：中国农业银行股份有限公司</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注册地址：北京市东城区建国门内大街69号</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办公地址：北京市西城区复兴门内大街28号凯晨世贸中心东座九层</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邮政编码：100031</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法定代表人：谷澍</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成立时间：2009年1月15日</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基金托管资格批文及文号：中国证监会证监基字[1998]23号</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批准设立机关和批准设立文号：中国银监会银监复[2009]13号</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注册资本：34,998,303.4万元人民币</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吸收公众存款；发放短期、中期、长期贷款；办理国内外结算；办理票据承兑与贴现；发行金融债券；代理发行、代理兑付、承销政府债券；买卖政府债券、金融债券；从事同业拆借；买卖、代理买卖外汇；结汇、售汇；从事银行</w:t>
      </w:r>
      <w:r>
        <w:rPr>
          <w:rFonts w:ascii="宋体" w:hAnsi="宋体"/>
          <w:sz w:val="24"/>
        </w:rPr>
        <w:lastRenderedPageBreak/>
        <w:t>卡业务；提供信用证服务及担保；代理收付款项及代理保险业务；提供保管箱服务；代理资金清算；各类汇兑业务；代理政策性银行、外国政府和国际金融机构贷款业务；贷款承诺；组织或参加银团贷款；外汇存款；外汇贷款；外汇汇款；外汇借款；发行、代理发行、买卖或代理买卖股票以外的外币有价证券；外汇票据承兑和贴现；自营、代客外汇买卖；外币兑换；外汇担保；资信调查、咨询、见证业务；企业、个人财务顾问服务；证券公司客户交易结算资金存管业务；证券投资基金托管业务；企业年金托管业务；产业投资基金托管业务；合格境外机构投资者境内证券投资托管业务；代理开放式基金业务；电话银行、手机银行、网上银行业务；金融衍生产品交易业务；经国务院银行业监督管理机构等监管部门批准的其他业务。</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（二）基金托管人对基金管理人的业务监督和核查</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有关法律法规的规定及基金合同的约定，对基金投资范围、投资对象进行监督。基金合同明确约定基金投资风格或证券选择标准的，基金管理人应按照基金托管人要求的格式提供投资品种池和交易对手库，以便基金托管人运用相关技术系统，对基金实际投资是否符合基金合同关于证券选择标准的约定进行监督，对存在疑义的事项进行核查。</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债券（含国债、金融债、央行票据、地方政府债、政府支持债、政府支持机构债、企业债、公司债、公开发行的次级债、短期融资券、超短期融资券、中期票据）、资产支持证券、债券回购、银行存款（包括定期存款、协议存款、通知存款等）、同业存单、货币市场工具、国债期货以及法律法规或中国证监会允许基金投资的其他金融工具（但须符合中国证监会相关规定）。本基金不投资于股票等权益类资产，也不投资于可转换债券、可交换债券。</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组合比例为：本基金投资于债券资产的比例不低于基金资产的80%。每个交易日日终在扣除国债期货合约需缴纳的交易保证金后，本基金持有的现金或到期日在一年以内的政府债券的比例合计不低于基金资产净值的5%，其中现金不包括结算备付金、存出保证金、应收申购款等。</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w:t>
      </w:r>
      <w:r>
        <w:rPr>
          <w:rFonts w:ascii="宋体" w:hAnsi="宋体"/>
          <w:sz w:val="24"/>
        </w:rPr>
        <w:lastRenderedPageBreak/>
        <w:t>适当程序后，可以调整上述投资品种的投资比例。</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2、基金托管人根据有关法律法规的规定及基金合同的约定，对基金投资、融资比例进行监督。基金托管人按下述比例和调整期限进行监督：</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（1）本基金投资于债券资产的比例不低于基金资产的80%；</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每个交易日日终在扣除国债期货合约需缴纳的交易保证金后，本基金持有的现金或到期日在一年以内的政府债券的比例合计不低于基金资产净值的5%，其中现金不包括结算备付金、存出保证金、应收申购款等；</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（3）本基金持有一家公司发行的证券，其市值不超过基金资产净值的10%；</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（4）本基金管理人管理的、且由本基金托管人托管的全部基金持有一家公司发行的证券，不超过该证券的10％，完全按照有关指数的构成比例进行证券投资的基金品种可以不受此条款规定的比例限制；</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（5）本基金投资于同一原始权益人的各类资产支持证券的比例，不得超过基金资产净值的10％；</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（6）本基金持有的全部资产支持证券，其市值不得超过基金资产净值的20％；</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（7）本基金持有的同一（指同一信用级别）资产支持证券的比例，不得超过该资产支持证券规模的10％；</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（8）本基金管理人管理的、且由本基金托管人托管的全部基金投资于同一原始权益人的各类资产支持证券，不得超过其各类资产支持证券合计规模的10％；</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（9）本基金应投资于信用级别评级为AA+以上（含AA+）的资产支持证券。基金持有资产支持证券期间，如果其信用等级下降、不再符合投资标准，应在评级报告发布之日起3个月内予以全部卖出；</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（10）本基金进入全国银行间同业市场进行债券回购的资金余额不得超过基金资产净值的40%，进入全国银行间同业市场进行债券回购的最长期限为1年，债券回购到期后不得展期；</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（11）本基金参与国债期货交易，需遵守下列投资比例限制：</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1）在任何交易日日终，持有的买入国债期货合约价值，不得超过基金资产净值的15%；</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2）在任何交易日日终，持有的卖出国债期货合约价值不得超过基金持有的债券总市值的30%；</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3）基金在任何交易日内交易（不包括平仓）的国债期货合约的成交金额不得超过上一交易日基金资产净值的30%；</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4）本基金所持有的债券（不含到期日在一年以内的政府债券）市值和买入、卖出国债期货合约价值，合计（轧差计算）应当符合基金合同关于债券投资比例的有关约定；</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主动投资于流动性受限资产的市值合计不得超过基金资产净值的15%；因证券市场波动、基金规模变动等基金管理人之外的因素致使基金不符合该比例限制的，基金管理人不得主动新增流动性受限资产的投资；</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（13）本基金与私募类证券资管产品及中国证监会认定的其他主体为交易对手开展逆回购交易的，可接受质押品的资质要求应当与本基金合同约定的投资范围保持一致；</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（14）本基金资产总值不超过基金资产净值的140%；</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（15）法律法规及中国证监会规定的和《基金合同》约定的其他投资限制。</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2）、（9）、（12）、（13）情形之外，因证券/期货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本基金合同生效之日起开始。</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3、基金托管人根据有关法律法规的规定及基金合同的约定，对本协议第十五条第（十一）项基金投资禁止行为进行监督。</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法律法规有关基金从事的关联交易的规定，基金管理人和基金托管人应事先相互提供与本机构有控股关系的股东或与本机构有其他重大利害关系的公司名单及其更新，并以双方约定的方式提交，确保所提供的关联交易名单的真实性、完整性、全面性。基金管理人有责任保管真实、完整、全面的关联交易名单，并负责及时更新该名单。名单变更后基金管理人应及时发送基金托管人，基金托管人应及时</w:t>
      </w:r>
      <w:r>
        <w:rPr>
          <w:rFonts w:ascii="宋体" w:hAnsi="宋体"/>
          <w:sz w:val="24"/>
        </w:rPr>
        <w:lastRenderedPageBreak/>
        <w:t>确认已知名单的变更。如果基金托管人在运作中严格遵循了监督流程，基金管理人仍违规进行关联交易，并造成基金资产损失的，由基金管理人承担责任，基金托管人并有权向中国证监会报告。</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根据有关法律法规的规定及基金合同的约定，对基金管理人参与银行间债券市场进行监督。基金管理人应在基金投资运作之前向基金托管人提供经慎重选择的、本基金适用的银行间债券市场交易对手名单。基金托管人监督基金管理人是否按事前提供的银行间债券市场交易对手名单进行交易。基金管理人可以对银行间债券市场交易对手名单进行更新，如基金管理人根据市场情况需要临时调整银行间债券市场交易对手名单，应向基金托管人说明理由，在与交易对手发生交易前与基金托管人协商解决。基金管理人与基金托管人完成确认后，被确认调整的名单开始生效，新名单生效前已与本次剔除的交易对手所进行但尚未结算的交易，仍应按照协议进行结算。基金管理人负责对交易对手的资信控制，按银行间债券市场的交易规则进行交易，基金托管人则根据银行间债券市场成交单对合同履行情况进行监督，但不承担交易对手不履行合同造成的损失。如基金托管人事后发现基金管理人没有按照事先约定的交易对手进行交易时，基金托管人应及时提醒基金管理人，基金托管人不承担由此造成的任何损失和责任。</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5、基金托管人根据有关法律法规的规定及基金合同的约定，对基金管理人投资银行存款进行监督。</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基金投资银行存款的，基金管理人应根据法律法规的规定及基金合同的约定，建立投资制度、审慎选择存款银行，做好风险控制；并按照基金托管人的要求配合基金托管人完成相关业务办理。</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6、基金托管人根据有关法律法规的规定及基金合同的约定，对基金资产净值计算、各类基金份额的基金份额净值计算、应收资金到账、基金费用开支及收入确</w:t>
      </w:r>
      <w:r>
        <w:rPr>
          <w:rFonts w:ascii="宋体" w:hAnsi="宋体"/>
          <w:sz w:val="24"/>
        </w:rPr>
        <w:lastRenderedPageBreak/>
        <w:t>定、基金收益分配、相关信息披露、基金宣传推介材料中登载基金业绩表现数据等进行监督和核查。</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如果基金管理人未经基金托管人的审核擅自将不实的业绩表现数据印制在宣传推介材料上，则基金托管人对此不承担任何责任，并将在发现后立即报告中国证监会。</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发现基金管理人的上述事项及投资指令或实际投资运作中违反法律法规和基金合同的规定，应及时以书面形式通知基金管理人限期纠正。基金管理人应积极配合和协助基金托管人的监督和核查。基金管理人收到通知后应在下一工作日及时核对并以书面形式给基金托管人发出回函，就基金托管人的疑义进行解释或举证，说明违规原因及纠正期限，并保证在规定期限内及时改正。在上述规定期限内，基金托管人有权随时对通知事项进行复查，督促基金管理人改正。基金管理人对基金托管人通知的违规事项未能在限期内纠正的，基金托管人应报告中国证监会。基金托管人发现基金管理人依据交易程序已经生效的投资指令违反法律、行政法规和其他有关规定，或者违反基金合同约定的，应当立即通知基金管理人，并报告中国证监会。</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有义务配合和协助基金托管人依照法律法规、基金合同和本托管协议对基金业务执行核查。对基金托管人发出的书面提示，基金管理人应在规定时间内答复并改正，或就基金托管人的疑义进行解释或举证；对基金托管人按照法规要求需向中国证监会报送基金监督报告的事项，基金管理人应积极配合提供相关数据资料和制度等。</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托管人发现基金管理人有重大违规行为，应及时报告中国证监会，同时通知基金管理人限期纠正，并将纠正结果报告中国证监会。基金管理人无正当理由，拒绝、阻挠对方根据本协议规定行使监督权，或采取拖延、欺诈等手段妨碍对方进行有效监督，情节严重或经基金托管人提出警告仍不改正的，基金托管人应报告中国证监会。</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（三）基金管理人对基金托管人的业务核查</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对基金托管人履行托管职责情况进行核查，核查事项包括基金托管人安全保管基金财产、开设基金财产的资金账户、证券账户等投资所需账户、复核基金管理人计算的基金资产净值和各类基金份额的基金份额净值、根据基金管理人指令办理清算交收、相关信息披露和监督基金投资运作等行为。</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基金管理人发现基金托管人擅自挪用基金财产、未对基金财产实行分账管理、未执行或无故延迟执行基金管理人资金划拨指令、泄露基金投资信息等违反《基金法》、基金合同、本协议及其他有关规定时，应及时以书面形式通知基金托管人限期纠正。基金托管人收到通知后应在下一工作日及时核对并以书面形式给基金管理人发出回函，说明违规原因及纠正期限，并保证在规定期限内及时改正。在上述规定期限内，基金管理人有权随时对通知事项进行复查，督促基金托管人改正。基金托管人应积极配合基金管理人的核查行为，包括但不限于：提交相关资料以供基金管理人核查托管财产的完整性和真实性，在规定时间内答复基金管理人并改正。</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发现基金托管人有重大违规行为，应及时报告中国证监会，同时通知基金托管人限期纠正，并将纠正结果报告中国证监会。基金托管人无正当理由，拒绝、阻挠对方根据本协议规定行使监督权，或采取拖延、欺诈等手段妨碍对方进行有效监督，情节严重或经基金管理人提出警告仍不改正的，基金管理人应报告中国证监会。</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（四）基金财产保管</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（2）基金托管人应安全保管基金财产。未经基金管理人依据合法程序作出的合法合规指令，基金托管人不得自行运用、处分、分配基金的任何财产。</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（3）基金托管人按照规定开设基金财产的资金账户、证券账户等投资所需账户。</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（4）基金托管人对所托管的不同基金财产分别设置账户，与基金托管人的其他业务和其他基金的托管业务实行严格的分账管理，确保基金财产的完整与独立。</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（5）基金托管人根据基金管理人的指令，按照基金合同和本协议的约定保管基金财产，如有特殊情况双方可另行协商解决。</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于因为基金申购、投资产生的应收资产，应由基金管理人负责与有关当事人确定到账日期并通知基金托管人，到账日基金财产没有到达基金账户的，基金托管人应及时通知基金管理人采取措施进行催收。由此给基金财产造成损失的，基金托管人对此不承担任何责任。</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（7）除依据法律法规和基金合同的规定外，基金托管人不得委托第三人托管</w:t>
      </w:r>
      <w:r>
        <w:rPr>
          <w:rFonts w:ascii="宋体" w:hAnsi="宋体"/>
          <w:sz w:val="24"/>
        </w:rPr>
        <w:lastRenderedPageBreak/>
        <w:t>基金财产。</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2、基金募集期间及募集资金的验资</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（1）基金募集期间的认购款项应存于专用账户。该账户由基金管理人或基金管理人委托的登记机构开立并管理。</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满或基金停止募集时，募集的基金份额总额、基金募集金额、基金份额持有人人数符合《基金法》、《运作办法》等有关规定后，基金管理人应将募集到的属于基金财产的全部资金划入基金托管人为本基金开立的基金托管资金账户，同时在规定时间内，聘请符合《中华人民共和国证券法》规定的会计师事务所进行验资，出具验资报告。出具的验资报告由参加验资的2名或2名以上中国注册会计师签字方为有效。</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（3）若基金募集期限届满，未能达到基金备案的条件，由基金管理人按规定办理退款等事宜，基金托管人应提供充分协助。</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3、基金资金账户的开立和管理</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（1）基金托管人应负责本基金的资金账户的开设和管理。</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以本基金的名义在其营业机构开设本基金的资金账户，并根据基金管理人合法合规的指令办理资金收付。本基金的银行预留印鉴由基金托管人保管和使用。本基金的一切货币收支活动，包括但不限于投资、支付赎回金额、支付基金收益、收取申购款，均需通过本基金的资金账户进行。</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（3）基金托管资金账户的开立和使用，限于满足开展本基金业务的需要。基金托管人和基金管理人不得假借本基金的名义开立任何其他银行账户；亦不得使用基金的任何账户进行本基金业务以外的活动。</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（4）基金托管资金账户的开立和管理应符合相关法律法规的有关规定。</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（5）在符合法律法规规定的条件下，基金托管人可以通过基金托管人专用账户办理基金资产的支付。</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4、基金证券账户和结算备付金账户的开立和管理</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（1）基金托管人在中国证券登记结算有限责任公司上海分公司、深圳分公司为本基金开立基金托管人与基金联名的证券账户。</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（2）基金证券账户的开立和使用，限于满足开展本基金业务的需要。基金托管人和基金管理人不得出借或未经对方同意擅自转让基金的任何证券账户，亦不得使用基金的任何账户进行本基金业务以外的活动。</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基金托管人以自身法人名义在中国证券登记结算有限责任公司开立结算备付金账户，并代表所托管的基金完成与中国证券登记结算有限责任公司的一级法人清算工作，基金管理人应予以积极协助。结算备付金的收取按照中国证券登记结算有限责任公司的规定执行。</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（4）基金证券账户的开立和证券账户卡的保管由基金托管人负责，账户资产的管理和运用由基金管理人负责。</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本托管协议生效日之后，本基金被允许从事其他投资品种的投资业务，涉及相关账户的开设、使用的，按有关规定开设、使用并管理；若无相关规定，则基金托管人应当比照并遵守上述关于账户开设、使用的规定。</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5、债券托管专户的开设和管理</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基金托管人根据中国人民银行、中央国债登记结算有限责任公司、银行间市场清算所股份有限公司的有关规定，以本基金的名义在中央国债登记结算有限责任公司、银行间市场清算所股份有限公司开立债券托管与结算账户，并代表基金进行银行间市场债券的结算。基金管理人和基金托管人同时代表基金签订全国银行间债券市场债券回购主协议。</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6、其他账户的开立和管理</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（1）因业务发展需要而开立的其他账户，可以根据法律法规和基金合同的规定，在基金管理人和基金托管人商议后开立。新账户按有关规则使用并管理。</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（2）法律法规等有关规定对相关账户的开立和管理另有规定的，从其规定办理。7、基金财产投资的有关有价凭证等的保管</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银行定期存款存单等有价凭证由基金托管人负责妥善保管，保管凭证由基金托管人持有。实物证券的购买和转让，由基金托管人根据基金管理人的指令办理。属于基金托管人实际有效控制下的实物证券在基金托管人保管期间的损坏、灭失，由此产生的责任应由基金托管人承担。基金托管人对基金托管人以外机构实际有效控制的证券不承担保管责任。</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8、与基金财产有关的重大合同的保管</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基金管理人代表基金签署的、与基金有关的重大合同的原件分别由基金管理人、基金托管人保管。除协议另有规定外，基金管理人在代表基金签署与基金有关的重大合同时应保证基金一方持有两份以上的正本，以便基金管理人和基金托管人至少各持有一份正本的原件。重大合同的保管期限不低于法律法规规定的最低期</w:t>
      </w:r>
      <w:r>
        <w:rPr>
          <w:rFonts w:ascii="宋体" w:hAnsi="宋体"/>
          <w:sz w:val="24"/>
        </w:rPr>
        <w:lastRenderedPageBreak/>
        <w:t>限。</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（五）基金资产净值计算与复核</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类基金份额的基金份额净值是按照每个工作日闭市后，任一类基金份额的基金资产净值除以当日该类基金份额的余额数量计算，精确到0.0001元，小数点后第5位四舍五入。基金管理人可以设立大额赎回情形下的净值精度应急调整机制，具体可参见相关公告。国家另有规定的，从其规定。</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基金管理人于每工作日计算各类基金份额的基金资产净值及基金份额净值，并按规定公告，如遇特殊情况，经履行适当程序，可以适当延迟计算或公告。</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2、复核程序</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每个工作日对基金资产估值。但基金管理人根据法律法规或基金合同的规定暂停估值时除外。基金管理人每个工作日对基金资产进行估值后，将各类基金份额净值结果发送基金托管人，经基金托管人复核无误后，由基金管理人依据基金合同和相关法律法规的规定对外公布。月末、年中和年末估值复核与基金会计账目的核对同时进行。</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（六）基金份额持有人名册的登记与保管</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基金管理人和基金托管人须分别妥善保管的基金份额持有人名册，包括基金合同生效日、基金合同终止日、基金权益登记日、基金份额持有人大会权益登记日、每年6月30日、12月31日的基金份额持有人名册。基金份额持有人名册的内容至少应包括持有人的名称和持有的基金份额。</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由登记机构编制，由基金管理人审核并提交基金托管人保管。基金托管人有权要求基金管理人提供任意一个交易日或全部交易日的基金份额持有人名册，基金管理人应及时提供，不得拖延或拒绝提供。</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及时向基金托管人提交基金份额持有人名册。每年6月30日和12月31日的基金份额持有人名册应于下月前十个工作日内提交；基金合同生效日、基金合同终止日、基金份额持有人大会权益登记日等涉及到基金重要事项日期的基金份额持有人名册应于发生日后十个工作日内提交。</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基金管理人和基金托管人应妥善保管基金份额持有人名册，保存期限不低于法律法规规定的最低期限。基金托管人不得将所保管的基金份额持有人名册用于基金</w:t>
      </w:r>
      <w:r>
        <w:rPr>
          <w:rFonts w:ascii="宋体" w:hAnsi="宋体"/>
          <w:sz w:val="24"/>
        </w:rPr>
        <w:lastRenderedPageBreak/>
        <w:t>托管业务以外的其他用途，并应遵守保密义务。若基金管理人或基金托管人由于自身原因无法妥善保管基金份额持有人名册，应按有关法规规定各自承担相应的责任。</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（七）争议解决方式</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本协议产生或与之相关的争议，双方当事人应通过协商、调解解决，协商、调解不能解决的，任何一方均有权将争议提交中国国际经济贸易仲裁委员会，仲裁地点为北京市，按照中国国际经济贸易仲裁委员会届时有效的仲裁规则进行仲裁。仲裁裁决是终局的，对当事人均有约束力，除非仲裁裁决另有规定，仲裁费由败诉方承担。</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争议处理期间，双方当事人应恪守基金管理人和基金托管人职责，各自继续忠实、勤勉、尽责地履行基金合同和本托管协议规定的义务，维护基金份额持有人的合法权益。</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本协议适用中华人民共和国法律（不含港澳台地区法律）并从其解释。</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（八）托管协议的变更与终止</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本协议双方当事人经协商一致，可以对协议进行修改。修改后的新协议，其内容不得与基金合同的规定有任何冲突。基金托管协议的变更应报中国证监会备案。</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2、基金托管协议终止的情形</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（2）基金托管人解散、依法被撤销、破产或由其他基金托管人接管基金资产；</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（3）基金管理人解散、依法被撤销、破产或由其他基金管理人接管基金管理权；</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（4）发生法律法规、中国证监会或基金合同规定的其他终止事项。持有期</w:t>
      </w:r>
    </w:p>
    <w:p w:rsidR="00B439CC" w:rsidRDefault="005C4E6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4E0414" w:rsidRDefault="005C4E64">
      <w:pPr>
        <w:pStyle w:val="1"/>
        <w:snapToGrid w:val="0"/>
        <w:spacing w:beforeLines="0" w:before="240" w:after="240"/>
        <w:rPr>
          <w:rFonts w:ascii="宋体" w:hAnsi="宋体"/>
          <w:szCs w:val="30"/>
        </w:rPr>
      </w:pPr>
      <w:bookmarkStart w:id="25" w:name="_Toc240548799"/>
      <w:r>
        <w:rPr>
          <w:rFonts w:ascii="Times New Roman" w:hAnsi="Times New Roman"/>
          <w:sz w:val="30"/>
        </w:rPr>
        <w:lastRenderedPageBreak/>
        <w:t>二十二、对基金份额持有人的服务</w:t>
      </w:r>
      <w:bookmarkEnd w:id="25"/>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（一）持有人交易资料的寄送服务</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每次交易结束后，可在T+2个工作日后通过销售机构的网点查询和打印确认单。</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本基金管理人将向持有人提供电子或纸质对账单，需要订阅或取消的客户可与本基金管理人客户服务中心（400-700-5000，021-61055000）联系。</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（二）网上直销服务</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服务，个人投资者可以直接通过本基金管理人的网上直销交易平台办理开户和本基金的申购、赎回、定期定额投资等业务。通过网上直销交易平台办理本基金申购和定期定额投资业务的个人投资者将享受申购费率的优惠，其他费率标准不变。具体优惠费率请参见公司网站列示的网上直销交易平台申购、定期定额投资费率表或相关公告。基金网上直销交易平台已开通的银行卡及各银行卡交易金额限额请参阅本基金管理人网站。</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在条件成熟的时候，本基金管理人将根据基金网上直销业务的发展状况，适时调整可用于网上直销交易平台的银行卡种类，敬请投资人留意相关公告。</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（三）信息咨询、查询服务</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如果想查询申购和赎回等交易情况、分红方式状态、基金账户余额、基金产品与服务等信息，请拨打本基金管理人客户服务电话（400-700-5000，021-61055000）或登录本基金管理人网站（www.fund001.com）进行咨询、查询。</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投资人可以拨打本基金管理人客户服务电话投诉直销机构的人员和服务。</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（四）基金红利再投资</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本基金收益分配时，基金份额持有人持有的基金份额可选择现金红利或选择红利再投将现金红利自动转为基金份额进行再投资，若投资人不选择，本基金默认的</w:t>
      </w:r>
      <w:r>
        <w:rPr>
          <w:rFonts w:ascii="宋体" w:hAnsi="宋体"/>
          <w:sz w:val="24"/>
        </w:rPr>
        <w:lastRenderedPageBreak/>
        <w:t>收益分配方式是现金分红。再投资红利按红利再投日（即除息日）除息后的基金份额净值自动转为基金份额，并免收申购费用。</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（五）定期定额投资计划</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本基金已开通定期定额投资计划，具体实施方法请参见相关公告。</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投资者也可登录本基金管理人网站，直接提出有关本基金的问题和建议。</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（六）如本招募说明书存在任何您/贵机构无法理解的内容，请通过上述方式联系基金管理人。请确保投资前，您/贵机构已经全面理解了本招募说明书。</w:t>
      </w:r>
    </w:p>
    <w:p w:rsidR="00B439CC" w:rsidRDefault="005C4E6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4E0414" w:rsidRDefault="005C4E64">
      <w:pPr>
        <w:pStyle w:val="1"/>
        <w:snapToGrid w:val="0"/>
        <w:spacing w:beforeLines="0" w:before="240" w:after="240"/>
        <w:rPr>
          <w:rFonts w:ascii="宋体" w:hAnsi="宋体"/>
          <w:szCs w:val="30"/>
        </w:rPr>
      </w:pPr>
      <w:bookmarkStart w:id="26" w:name="_Toc240548800"/>
      <w:r>
        <w:rPr>
          <w:rFonts w:ascii="Times New Roman" w:hAnsi="Times New Roman"/>
          <w:sz w:val="30"/>
        </w:rPr>
        <w:lastRenderedPageBreak/>
        <w:t>二十三、其他应披露事项</w:t>
      </w:r>
      <w:bookmarkEnd w:id="26"/>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4E041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4E041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交银施罗德基金管理有限公司关于旗下基金改聘会计师事务所的公告</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2024-12-03</w:t>
            </w:r>
          </w:p>
        </w:tc>
      </w:tr>
      <w:tr w:rsidR="004E041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交银施罗德基金管理有限公司关于增加兴业证券股份有限公司为旗下基金的销售机构的公告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2024-12-10</w:t>
            </w:r>
          </w:p>
        </w:tc>
      </w:tr>
      <w:tr w:rsidR="004E041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交银施罗德稳安</w:t>
            </w:r>
            <w:r>
              <w:rPr>
                <w:rFonts w:ascii="Times New Roman" w:hAnsi="Times New Roman"/>
                <w:color w:val="000000"/>
                <w:kern w:val="0"/>
                <w:sz w:val="25"/>
                <w:szCs w:val="24"/>
              </w:rPr>
              <w:t>90</w:t>
            </w:r>
            <w:r>
              <w:rPr>
                <w:rFonts w:ascii="Times New Roman" w:hAnsi="Times New Roman"/>
                <w:color w:val="000000"/>
                <w:kern w:val="0"/>
                <w:sz w:val="25"/>
                <w:szCs w:val="24"/>
              </w:rPr>
              <w:t>天持有期债券型证券投资基金招募说明书更新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2024-12-27</w:t>
            </w:r>
          </w:p>
        </w:tc>
      </w:tr>
      <w:tr w:rsidR="004E041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交银施罗德稳安</w:t>
            </w:r>
            <w:r>
              <w:rPr>
                <w:rFonts w:ascii="Times New Roman" w:hAnsi="Times New Roman"/>
                <w:color w:val="000000"/>
                <w:kern w:val="0"/>
                <w:sz w:val="25"/>
                <w:szCs w:val="24"/>
              </w:rPr>
              <w:t>90</w:t>
            </w:r>
            <w:r>
              <w:rPr>
                <w:rFonts w:ascii="Times New Roman" w:hAnsi="Times New Roman"/>
                <w:color w:val="000000"/>
                <w:kern w:val="0"/>
                <w:sz w:val="25"/>
                <w:szCs w:val="24"/>
              </w:rPr>
              <w:t>天持有期债券型证券投资基金（</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2024-12-27</w:t>
            </w:r>
          </w:p>
        </w:tc>
      </w:tr>
      <w:tr w:rsidR="004E041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交银施罗德稳安</w:t>
            </w:r>
            <w:r>
              <w:rPr>
                <w:rFonts w:ascii="Times New Roman" w:hAnsi="Times New Roman"/>
                <w:color w:val="000000"/>
                <w:kern w:val="0"/>
                <w:sz w:val="25"/>
                <w:szCs w:val="24"/>
              </w:rPr>
              <w:t>90</w:t>
            </w:r>
            <w:r>
              <w:rPr>
                <w:rFonts w:ascii="Times New Roman" w:hAnsi="Times New Roman"/>
                <w:color w:val="000000"/>
                <w:kern w:val="0"/>
                <w:sz w:val="25"/>
                <w:szCs w:val="24"/>
              </w:rPr>
              <w:t>天持有期债券型证券投资基金（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2024-12-27</w:t>
            </w:r>
          </w:p>
        </w:tc>
      </w:tr>
      <w:tr w:rsidR="004E041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2025-01-21</w:t>
            </w:r>
          </w:p>
        </w:tc>
      </w:tr>
      <w:tr w:rsidR="004E041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交银施罗德稳安</w:t>
            </w:r>
            <w:r>
              <w:rPr>
                <w:rFonts w:ascii="Times New Roman" w:hAnsi="Times New Roman"/>
                <w:color w:val="000000"/>
                <w:kern w:val="0"/>
                <w:sz w:val="25"/>
                <w:szCs w:val="24"/>
              </w:rPr>
              <w:t>90</w:t>
            </w:r>
            <w:r>
              <w:rPr>
                <w:rFonts w:ascii="Times New Roman" w:hAnsi="Times New Roman"/>
                <w:color w:val="000000"/>
                <w:kern w:val="0"/>
                <w:sz w:val="25"/>
                <w:szCs w:val="24"/>
              </w:rPr>
              <w:t>天持有期债券型证券投资基金</w:t>
            </w:r>
            <w:r>
              <w:rPr>
                <w:rFonts w:ascii="Times New Roman" w:hAnsi="Times New Roman"/>
                <w:color w:val="000000"/>
                <w:kern w:val="0"/>
                <w:sz w:val="25"/>
                <w:szCs w:val="24"/>
              </w:rPr>
              <w:t>2024</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2025-01-21</w:t>
            </w:r>
          </w:p>
        </w:tc>
      </w:tr>
      <w:tr w:rsidR="004E041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交银施罗德稳安</w:t>
            </w:r>
            <w:r>
              <w:rPr>
                <w:rFonts w:ascii="Times New Roman" w:hAnsi="Times New Roman"/>
                <w:color w:val="000000"/>
                <w:kern w:val="0"/>
                <w:sz w:val="25"/>
                <w:szCs w:val="24"/>
              </w:rPr>
              <w:t>90</w:t>
            </w:r>
            <w:r>
              <w:rPr>
                <w:rFonts w:ascii="Times New Roman" w:hAnsi="Times New Roman"/>
                <w:color w:val="000000"/>
                <w:kern w:val="0"/>
                <w:sz w:val="25"/>
                <w:szCs w:val="24"/>
              </w:rPr>
              <w:t>天持有期债券型证券投资基金</w:t>
            </w:r>
            <w:r>
              <w:rPr>
                <w:rFonts w:ascii="Times New Roman" w:hAnsi="Times New Roman"/>
                <w:color w:val="000000"/>
                <w:kern w:val="0"/>
                <w:sz w:val="25"/>
                <w:szCs w:val="24"/>
              </w:rPr>
              <w:t>2024</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2025-03-28</w:t>
            </w:r>
          </w:p>
        </w:tc>
      </w:tr>
      <w:tr w:rsidR="004E041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交银施罗德基金管理有限公司旗下公募基金通过证券公司交易及佣金支付情况公告</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2025-03-31</w:t>
            </w:r>
          </w:p>
        </w:tc>
      </w:tr>
      <w:tr w:rsidR="004E041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交银施罗德稳安</w:t>
            </w:r>
            <w:r>
              <w:rPr>
                <w:rFonts w:ascii="Times New Roman" w:hAnsi="Times New Roman"/>
                <w:color w:val="000000"/>
                <w:kern w:val="0"/>
                <w:sz w:val="25"/>
                <w:szCs w:val="24"/>
              </w:rPr>
              <w:t>90</w:t>
            </w:r>
            <w:r>
              <w:rPr>
                <w:rFonts w:ascii="Times New Roman" w:hAnsi="Times New Roman"/>
                <w:color w:val="000000"/>
                <w:kern w:val="0"/>
                <w:sz w:val="25"/>
                <w:szCs w:val="24"/>
              </w:rPr>
              <w:t>天持有期债券型证券投资基金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2025-04-21</w:t>
            </w:r>
          </w:p>
        </w:tc>
      </w:tr>
      <w:tr w:rsidR="004E041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2025-06-07</w:t>
            </w:r>
          </w:p>
        </w:tc>
      </w:tr>
      <w:tr w:rsidR="004E041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12</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交银施罗德稳安</w:t>
            </w:r>
            <w:r>
              <w:rPr>
                <w:rFonts w:ascii="Times New Roman" w:hAnsi="Times New Roman"/>
                <w:color w:val="000000"/>
                <w:kern w:val="0"/>
                <w:sz w:val="25"/>
                <w:szCs w:val="24"/>
              </w:rPr>
              <w:t>90</w:t>
            </w:r>
            <w:r>
              <w:rPr>
                <w:rFonts w:ascii="Times New Roman" w:hAnsi="Times New Roman"/>
                <w:color w:val="000000"/>
                <w:kern w:val="0"/>
                <w:sz w:val="25"/>
                <w:szCs w:val="24"/>
              </w:rPr>
              <w:t>天持有期债券型证券投资基金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4E041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交银施罗德稳安</w:t>
            </w:r>
            <w:r>
              <w:rPr>
                <w:rFonts w:ascii="Times New Roman" w:hAnsi="Times New Roman"/>
                <w:color w:val="000000"/>
                <w:kern w:val="0"/>
                <w:sz w:val="25"/>
                <w:szCs w:val="24"/>
              </w:rPr>
              <w:t>90</w:t>
            </w:r>
            <w:r>
              <w:rPr>
                <w:rFonts w:ascii="Times New Roman" w:hAnsi="Times New Roman"/>
                <w:color w:val="000000"/>
                <w:kern w:val="0"/>
                <w:sz w:val="25"/>
                <w:szCs w:val="24"/>
              </w:rPr>
              <w:t>天持有期债券型证券投资基金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rsidR="004E041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交银施罗德稳安</w:t>
            </w:r>
            <w:r>
              <w:rPr>
                <w:rFonts w:ascii="Times New Roman" w:hAnsi="Times New Roman"/>
                <w:color w:val="000000"/>
                <w:kern w:val="0"/>
                <w:sz w:val="25"/>
                <w:szCs w:val="24"/>
              </w:rPr>
              <w:t>90</w:t>
            </w:r>
            <w:r>
              <w:rPr>
                <w:rFonts w:ascii="Times New Roman" w:hAnsi="Times New Roman"/>
                <w:color w:val="000000"/>
                <w:kern w:val="0"/>
                <w:sz w:val="25"/>
                <w:szCs w:val="24"/>
              </w:rPr>
              <w:t>天持有期债券型证券投资基金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4E0414" w:rsidRDefault="005C4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bl>
    <w:p w:rsidR="00B439CC" w:rsidRDefault="005C4E6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4E0414" w:rsidRDefault="005C4E64">
      <w:pPr>
        <w:pStyle w:val="1"/>
        <w:snapToGrid w:val="0"/>
        <w:spacing w:beforeLines="0" w:before="240" w:after="240"/>
        <w:rPr>
          <w:rFonts w:ascii="宋体" w:hAnsi="宋体"/>
          <w:szCs w:val="30"/>
        </w:rPr>
      </w:pPr>
      <w:bookmarkStart w:id="27" w:name="_Toc240548801"/>
      <w:r>
        <w:rPr>
          <w:rFonts w:ascii="Times New Roman" w:hAnsi="Times New Roman"/>
          <w:sz w:val="30"/>
        </w:rPr>
        <w:lastRenderedPageBreak/>
        <w:t>二十四、招募说明书的存放及查阅方式</w:t>
      </w:r>
      <w:bookmarkEnd w:id="27"/>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和基金销售机构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5C4E6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4E0414" w:rsidRDefault="005C4E64">
      <w:pPr>
        <w:pStyle w:val="1"/>
        <w:snapToGrid w:val="0"/>
        <w:spacing w:beforeLines="0" w:before="240" w:after="240"/>
        <w:rPr>
          <w:rFonts w:ascii="宋体" w:hAnsi="宋体"/>
          <w:szCs w:val="30"/>
        </w:rPr>
      </w:pPr>
      <w:bookmarkStart w:id="28" w:name="_Toc240548802"/>
      <w:r>
        <w:rPr>
          <w:rFonts w:ascii="Times New Roman" w:hAnsi="Times New Roman"/>
          <w:sz w:val="30"/>
        </w:rPr>
        <w:lastRenderedPageBreak/>
        <w:t>二十五、备查文件</w:t>
      </w:r>
      <w:bookmarkEnd w:id="28"/>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（一）中国证监会准予交银施罗德稳安90天持有期债券型证券投资基金募集注册的文件</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（二）《交银施罗德稳安90天持有期债券型证券投资基金基金合同》</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（三）《交银施罗德稳安90天持有期债券型证券投资基金托管协议》</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4E0414" w:rsidRDefault="005C4E6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（六）关于申请募集注册交银施罗德稳安90天持有期债券型证券投资基金的法律意见书</w:t>
      </w:r>
    </w:p>
    <w:sectPr w:rsidR="004E0414">
      <w:footerReference w:type="default" r:id="rId17"/>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141F4" w:rsidRDefault="005C4E64">
      <w:r>
        <w:separator/>
      </w:r>
    </w:p>
  </w:endnote>
  <w:endnote w:type="continuationSeparator" w:id="0">
    <w:p w:rsidR="00B141F4" w:rsidRDefault="005C4E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0414" w:rsidRDefault="004E0414">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0414" w:rsidRDefault="00E0794C">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4E0414" w:rsidRDefault="005C4E64">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E0794C">
                  <w:rPr>
                    <w:rFonts w:ascii="Times New Roman" w:hAnsi="Times New Roman"/>
                    <w:noProof/>
                    <w:kern w:val="0"/>
                    <w:sz w:val="18"/>
                    <w:szCs w:val="18"/>
                  </w:rPr>
                  <w:t>3</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0414" w:rsidRDefault="004E0414">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0414" w:rsidRDefault="00E0794C">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4E0414" w:rsidRDefault="005C4E64">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E0794C">
                  <w:rPr>
                    <w:rFonts w:ascii="Times New Roman" w:hAnsi="Times New Roman"/>
                    <w:noProof/>
                    <w:kern w:val="0"/>
                    <w:sz w:val="18"/>
                    <w:szCs w:val="18"/>
                  </w:rPr>
                  <w:t>127</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141F4" w:rsidRDefault="005C4E64">
      <w:r>
        <w:separator/>
      </w:r>
    </w:p>
  </w:footnote>
  <w:footnote w:type="continuationSeparator" w:id="0">
    <w:p w:rsidR="00B141F4" w:rsidRDefault="005C4E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0414" w:rsidRDefault="004E0414">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0414" w:rsidRDefault="005C4E64">
    <w:pPr>
      <w:pStyle w:val="a3"/>
      <w:jc w:val="right"/>
      <w:rPr>
        <w:rFonts w:ascii="宋体" w:hAnsi="宋体"/>
      </w:rPr>
    </w:pPr>
    <w:r>
      <w:rPr>
        <w:rFonts w:ascii="宋体" w:hAnsi="宋体" w:hint="eastAsia"/>
      </w:rPr>
      <w:t>交银施罗德稳安90天持有期债券型证券投资基金招募说明书更新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0414" w:rsidRDefault="004E0414">
    <w:pPr>
      <w:pStyle w:val="10"/>
      <w:jc w:val="right"/>
    </w:pPr>
  </w:p>
  <w:p w:rsidR="004E0414" w:rsidRDefault="004E0414">
    <w:pPr>
      <w:pStyle w:val="10"/>
      <w:jc w:val="right"/>
    </w:pPr>
  </w:p>
  <w:p w:rsidR="004E0414" w:rsidRDefault="004E0414">
    <w:pPr>
      <w:pStyle w:val="a3"/>
      <w:jc w:val="right"/>
    </w:pPr>
  </w:p>
  <w:p w:rsidR="004E0414" w:rsidRDefault="005C4E64">
    <w:pPr>
      <w:pStyle w:val="a3"/>
      <w:jc w:val="right"/>
      <w:rPr>
        <w:rFonts w:ascii="宋体" w:hAnsi="宋体"/>
      </w:rPr>
    </w:pPr>
    <w:r>
      <w:rPr>
        <w:rFonts w:ascii="宋体" w:hAnsi="宋体" w:hint="eastAsia"/>
      </w:rPr>
      <w:t>交银施罗德稳安90天持有期债券型证券投资基金招募说明书更新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0414" w:rsidRDefault="004E0414">
    <w:pPr>
      <w:pStyle w:val="a3"/>
      <w:jc w:val="right"/>
    </w:pPr>
  </w:p>
  <w:p w:rsidR="004E0414" w:rsidRDefault="004E0414">
    <w:pPr>
      <w:pStyle w:val="a3"/>
      <w:jc w:val="right"/>
    </w:pPr>
  </w:p>
  <w:p w:rsidR="004E0414" w:rsidRDefault="004E0414">
    <w:pPr>
      <w:pStyle w:val="a3"/>
      <w:jc w:val="right"/>
    </w:pPr>
  </w:p>
  <w:p w:rsidR="004E0414" w:rsidRDefault="005C4E64">
    <w:pPr>
      <w:pStyle w:val="a3"/>
      <w:jc w:val="right"/>
      <w:rPr>
        <w:rFonts w:ascii="宋体" w:hAnsi="宋体"/>
      </w:rPr>
    </w:pPr>
    <w:r>
      <w:rPr>
        <w:rFonts w:ascii="宋体" w:hAnsi="宋体" w:hint="eastAsia"/>
      </w:rPr>
      <w:t>交银施罗德稳安90天持有期债券型证券投资基金招募说明书更新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6"/>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0414"/>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4E64"/>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41F4"/>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0794C"/>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6"/>
    <o:shapelayout v:ext="edit">
      <o:idmap v:ext="edit" data="3"/>
    </o:shapelayout>
  </w:shapeDefaults>
  <w:decimalSymbol w:val="."/>
  <w:listSeparator w:val=","/>
  <w15:docId w15:val="{E6185920-7051-4634-9DA5-8AA04265A7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128</Pages>
  <Words>13218</Words>
  <Characters>75344</Characters>
  <Application>Microsoft Office Word</Application>
  <DocSecurity>0</DocSecurity>
  <Lines>627</Lines>
  <Paragraphs>176</Paragraphs>
  <ScaleCrop>false</ScaleCrop>
  <Company>Microsoft</Company>
  <LinksUpToDate>false</LinksUpToDate>
  <CharactersWithSpaces>88386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2026-09-17T06:45:00Z</dcterms:created>
  <dcterms:modified xsi:type="dcterms:W3CDTF">2026-09-17T06:46:00Z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