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6B2E66">
      <w:pPr>
        <w:rPr>
          <w:sz w:val="32"/>
        </w:rPr>
      </w:pPr>
    </w:p>
    <w:p w:rsidR="00C92FC0" w:rsidRPr="00EB07BC" w:rsidRDefault="006B2E66">
      <w:pPr>
        <w:rPr>
          <w:sz w:val="32"/>
        </w:rPr>
      </w:pPr>
    </w:p>
    <w:p w:rsidR="00C92FC0" w:rsidRPr="00EB07BC" w:rsidRDefault="006B2E66">
      <w:pPr>
        <w:rPr>
          <w:sz w:val="32"/>
        </w:rPr>
      </w:pPr>
    </w:p>
    <w:p w:rsidR="00747F95" w:rsidRDefault="00747F9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47F95" w:rsidRDefault="00747F9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47F95" w:rsidRDefault="00747F9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747F95" w:rsidRDefault="00437F4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交银施罗德悦信精选混合型证券投资基金</w:t>
      </w:r>
    </w:p>
    <w:p w:rsidR="00747F95" w:rsidRDefault="00437F4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747F95" w:rsidRDefault="00747F95">
      <w:pPr>
        <w:snapToGrid w:val="0"/>
        <w:spacing w:line="360" w:lineRule="auto"/>
        <w:jc w:val="center"/>
        <w:rPr>
          <w:rFonts w:ascii="宋体" w:hAnsi="宋体"/>
          <w:b/>
          <w:sz w:val="30"/>
          <w:szCs w:val="30"/>
        </w:rPr>
      </w:pP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437F4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747F95" w:rsidRDefault="00437F4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747F9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747F95" w:rsidRDefault="00437F4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747F95" w:rsidRDefault="00747F95">
      <w:pPr>
        <w:autoSpaceDE w:val="0"/>
        <w:autoSpaceDN w:val="0"/>
        <w:adjustRightInd w:val="0"/>
        <w:snapToGrid w:val="0"/>
        <w:spacing w:line="360" w:lineRule="auto"/>
        <w:ind w:left="1347" w:rightChars="6" w:right="13"/>
        <w:rPr>
          <w:rFonts w:ascii="宋体" w:hAnsi="宋体"/>
          <w:kern w:val="0"/>
          <w:sz w:val="32"/>
          <w:szCs w:val="32"/>
        </w:rPr>
        <w:sectPr w:rsidR="00747F95">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747F95" w:rsidRDefault="00437F42">
      <w:pPr>
        <w:pStyle w:val="1"/>
        <w:snapToGrid w:val="0"/>
        <w:spacing w:beforeLines="0" w:before="240" w:after="240"/>
        <w:rPr>
          <w:rFonts w:ascii="宋体" w:hAnsi="宋体"/>
          <w:kern w:val="0"/>
        </w:rPr>
      </w:pPr>
      <w:bookmarkStart w:id="0" w:name="_Toc324920538"/>
      <w:bookmarkStart w:id="1" w:name="_Toc496884613"/>
      <w:bookmarkStart w:id="2" w:name="_Toc240548876"/>
      <w:r>
        <w:rPr>
          <w:rFonts w:ascii="Times New Roman" w:hAnsi="Times New Roman"/>
          <w:kern w:val="0"/>
        </w:rPr>
        <w:lastRenderedPageBreak/>
        <w:t>重要提示</w:t>
      </w:r>
      <w:bookmarkEnd w:id="0"/>
      <w:bookmarkEnd w:id="1"/>
      <w:bookmarkEnd w:id="2"/>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交银施罗德悦信精选混合型证券投资基金（以下简称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2</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2023</w:t>
      </w:r>
      <w:r>
        <w:rPr>
          <w:rFonts w:ascii="Times New Roman" w:hAnsi="Times New Roman"/>
          <w:kern w:val="0"/>
          <w:sz w:val="24"/>
        </w:rPr>
        <w:t>】</w:t>
      </w:r>
      <w:r>
        <w:rPr>
          <w:rFonts w:ascii="Times New Roman" w:hAnsi="Times New Roman"/>
          <w:kern w:val="0"/>
          <w:sz w:val="24"/>
        </w:rPr>
        <w:t>1214</w:t>
      </w:r>
      <w:r>
        <w:rPr>
          <w:rFonts w:ascii="Times New Roman" w:hAnsi="Times New Roman"/>
          <w:kern w:val="0"/>
          <w:sz w:val="24"/>
        </w:rPr>
        <w:t>号文准予募集注册。本基金基金合同于</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6</w:t>
      </w:r>
      <w:r>
        <w:rPr>
          <w:rFonts w:ascii="Times New Roman" w:hAnsi="Times New Roman"/>
          <w:kern w:val="0"/>
          <w:sz w:val="24"/>
        </w:rPr>
        <w:t>日正式生效。</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港股通标的股票的特定风险；投资科创板股票的特定风险；投资存托凭证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本基金法律文件风险收益特征表述与销售机构基金风险评价可能不一致的风险；投资本基金的其他风险等等。本基金是一只混合型基金，其预期风险和预期收益理论上高于债券型基金和货币市场基金，低于股票型基金。</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w:t>
      </w:r>
      <w:r>
        <w:rPr>
          <w:rFonts w:ascii="Times New Roman" w:hAnsi="Times New Roman"/>
          <w:kern w:val="0"/>
          <w:sz w:val="24"/>
        </w:rPr>
        <w:lastRenderedPageBreak/>
        <w:t>性风险、信用风险等风险，基金管理人将本着谨慎和控制风险的原则进行资产支持证券投资，请基金份额持有人关注包括投资资产支持证券可能导致的基金净值波动在内的各项风险。</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）的，会面临港股通机制下因投资环境、投资标的、市场制度以及交易规则等差异带来的特有风险，包括但不限于港股市场股价波动较大的风险（港股市场实行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本基金可根据投资策略需要或不同配置地市场环境的变化，选择将部分基金资产投资于港股或选择不将基金资产投资于港股，基金资产并非必然投资港股。</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科创板股票，会面临科创板机制下因投资标的、市场制度以及交易规则等差异带来的特有风险，包括但不限于市场风险、流动性风险、退市风险、集中度风险、系统性风险、政策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基金可根据投资策略需要或市场环境的变化，选择将部分基金资产投资于科创板股票或选择不将基金资产投资于科创板股票，基金资产并非必然投资于科创板股票。</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w:t>
      </w:r>
      <w:r>
        <w:rPr>
          <w:rFonts w:ascii="Times New Roman" w:hAnsi="Times New Roman"/>
          <w:kern w:val="0"/>
          <w:sz w:val="24"/>
        </w:rPr>
        <w:lastRenderedPageBreak/>
        <w:t>存托凭证或选择不将基金资产投资于存托凭证，基金资产并非必然投资存托凭证。</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747F95" w:rsidRDefault="00437F4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747F95" w:rsidRDefault="00747F95">
      <w:pPr>
        <w:autoSpaceDE w:val="0"/>
        <w:autoSpaceDN w:val="0"/>
        <w:adjustRightInd w:val="0"/>
        <w:snapToGrid w:val="0"/>
        <w:spacing w:before="51" w:line="360" w:lineRule="auto"/>
        <w:ind w:left="120" w:rightChars="6" w:right="13" w:firstLine="480"/>
        <w:rPr>
          <w:rFonts w:ascii="宋体" w:hAnsi="宋体"/>
          <w:kern w:val="0"/>
          <w:szCs w:val="24"/>
        </w:rPr>
        <w:sectPr w:rsidR="00747F95">
          <w:headerReference w:type="default" r:id="rId14"/>
          <w:pgSz w:w="11920" w:h="16840"/>
          <w:pgMar w:top="1440" w:right="1680" w:bottom="280" w:left="1680" w:header="0" w:footer="1073" w:gutter="0"/>
          <w:pgNumType w:start="1"/>
          <w:cols w:space="720"/>
        </w:sectPr>
      </w:pPr>
    </w:p>
    <w:p w:rsidR="006B2E66" w:rsidRPr="006B2E66" w:rsidRDefault="00437F42" w:rsidP="006B2E66">
      <w:pPr>
        <w:pStyle w:val="ad"/>
        <w:snapToGrid w:val="0"/>
        <w:spacing w:after="240" w:line="360" w:lineRule="auto"/>
        <w:jc w:val="center"/>
        <w:rPr>
          <w:rFonts w:ascii="宋体" w:hAnsi="宋体"/>
          <w:noProof/>
          <w:sz w:val="24"/>
        </w:rPr>
      </w:pPr>
      <w:r w:rsidRPr="006B2E66">
        <w:rPr>
          <w:rFonts w:ascii="宋体" w:hAnsi="宋体"/>
          <w:color w:val="000000"/>
          <w:position w:val="-4"/>
          <w:sz w:val="24"/>
          <w:szCs w:val="30"/>
        </w:rPr>
        <w:lastRenderedPageBreak/>
        <w:t>目</w:t>
      </w:r>
      <w:r w:rsidRPr="006B2E66">
        <w:rPr>
          <w:rFonts w:ascii="宋体" w:hAnsi="宋体"/>
          <w:color w:val="000000"/>
          <w:position w:val="-4"/>
          <w:sz w:val="24"/>
          <w:szCs w:val="30"/>
        </w:rPr>
        <w:tab/>
        <w:t>录</w:t>
      </w:r>
      <w:r w:rsidR="006B2E66" w:rsidRPr="006B2E66">
        <w:rPr>
          <w:rFonts w:ascii="宋体" w:hAnsi="宋体"/>
          <w:color w:val="000000"/>
          <w:position w:val="-4"/>
          <w:sz w:val="24"/>
          <w:szCs w:val="30"/>
        </w:rPr>
        <w:fldChar w:fldCharType="begin"/>
      </w:r>
      <w:r w:rsidR="006B2E66" w:rsidRPr="006B2E66">
        <w:rPr>
          <w:rFonts w:ascii="宋体" w:hAnsi="宋体"/>
          <w:color w:val="000000"/>
          <w:position w:val="-4"/>
          <w:sz w:val="24"/>
          <w:szCs w:val="30"/>
        </w:rPr>
        <w:instrText xml:space="preserve"> TOC \o "1-3" \f - \h \t "-1" </w:instrText>
      </w:r>
      <w:r w:rsidR="006B2E66" w:rsidRPr="006B2E66">
        <w:rPr>
          <w:rFonts w:ascii="宋体" w:hAnsi="宋体"/>
          <w:color w:val="000000"/>
          <w:position w:val="-4"/>
          <w:sz w:val="24"/>
          <w:szCs w:val="30"/>
        </w:rPr>
        <w:fldChar w:fldCharType="separate"/>
      </w:r>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76" w:history="1">
        <w:r w:rsidRPr="006B2E66">
          <w:rPr>
            <w:rStyle w:val="aa"/>
            <w:rFonts w:ascii="宋体" w:hAnsi="宋体" w:hint="eastAsia"/>
            <w:noProof/>
            <w:kern w:val="0"/>
            <w:sz w:val="24"/>
          </w:rPr>
          <w:t>重要提示</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_Toc240548876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77" w:history="1">
        <w:r w:rsidRPr="006B2E66">
          <w:rPr>
            <w:rStyle w:val="aa"/>
            <w:rFonts w:ascii="宋体" w:hAnsi="宋体" w:hint="eastAsia"/>
            <w:noProof/>
            <w:sz w:val="24"/>
          </w:rPr>
          <w:t>一、绪言</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_Toc240548877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5</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78" w:history="1">
        <w:r w:rsidRPr="006B2E66">
          <w:rPr>
            <w:rStyle w:val="aa"/>
            <w:rFonts w:ascii="宋体" w:hAnsi="宋体" w:hint="eastAsia"/>
            <w:noProof/>
            <w:sz w:val="24"/>
          </w:rPr>
          <w:t>二、释义</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_Toc240548878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6</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79" w:history="1">
        <w:r w:rsidRPr="006B2E66">
          <w:rPr>
            <w:rStyle w:val="aa"/>
            <w:rFonts w:ascii="宋体" w:hAnsi="宋体" w:hint="eastAsia"/>
            <w:noProof/>
            <w:sz w:val="24"/>
          </w:rPr>
          <w:t>三、基金管理人</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_Toc240548879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11</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0" w:history="1">
        <w:r w:rsidRPr="006B2E66">
          <w:rPr>
            <w:rStyle w:val="aa"/>
            <w:rFonts w:ascii="宋体" w:hAnsi="宋体" w:hint="eastAsia"/>
            <w:noProof/>
            <w:sz w:val="24"/>
          </w:rPr>
          <w:t>四、基金托管人</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_Toc240548880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18</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1" w:history="1">
        <w:r w:rsidRPr="006B2E66">
          <w:rPr>
            <w:rStyle w:val="aa"/>
            <w:rFonts w:ascii="宋体" w:hAnsi="宋体" w:hint="eastAsia"/>
            <w:noProof/>
            <w:sz w:val="24"/>
          </w:rPr>
          <w:t>五、相关服务机构</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_Toc240548881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22</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2" w:history="1">
        <w:r w:rsidRPr="006B2E66">
          <w:rPr>
            <w:rStyle w:val="aa"/>
            <w:rFonts w:ascii="宋体" w:hAnsi="宋体" w:hint="eastAsia"/>
            <w:noProof/>
            <w:sz w:val="24"/>
          </w:rPr>
          <w:t>六、基金的募集</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_Toc240548882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46</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3" w:history="1">
        <w:r w:rsidRPr="006B2E66">
          <w:rPr>
            <w:rStyle w:val="aa"/>
            <w:rFonts w:ascii="宋体" w:hAnsi="宋体" w:hint="eastAsia"/>
            <w:noProof/>
            <w:sz w:val="24"/>
          </w:rPr>
          <w:t>七、基金合同的生效</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_Toc240548883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47</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4" w:history="1">
        <w:r w:rsidRPr="006B2E66">
          <w:rPr>
            <w:rStyle w:val="aa"/>
            <w:rFonts w:ascii="宋体" w:hAnsi="宋体" w:hint="eastAsia"/>
            <w:noProof/>
            <w:sz w:val="24"/>
          </w:rPr>
          <w:t>八、基金份额的申购与赎回</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_Toc240548884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48</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5" w:history="1">
        <w:r w:rsidRPr="006B2E66">
          <w:rPr>
            <w:rStyle w:val="aa"/>
            <w:rFonts w:ascii="宋体" w:hAnsi="宋体" w:hint="eastAsia"/>
            <w:noProof/>
            <w:sz w:val="24"/>
          </w:rPr>
          <w:t>九、基金的转换</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_Toc240548885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62</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6" w:history="1">
        <w:r w:rsidRPr="006B2E66">
          <w:rPr>
            <w:rStyle w:val="aa"/>
            <w:rFonts w:ascii="宋体" w:hAnsi="宋体" w:hint="eastAsia"/>
            <w:noProof/>
            <w:sz w:val="24"/>
          </w:rPr>
          <w:t>十、基金的投资</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_Toc240548886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69</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7" w:history="1">
        <w:r w:rsidRPr="006B2E66">
          <w:rPr>
            <w:rStyle w:val="aa"/>
            <w:rFonts w:ascii="宋体" w:hAnsi="宋体" w:hint="eastAsia"/>
            <w:noProof/>
            <w:sz w:val="24"/>
          </w:rPr>
          <w:t>十一、基金的业绩</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_Toc240548887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82</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8" w:history="1">
        <w:r w:rsidRPr="006B2E66">
          <w:rPr>
            <w:rStyle w:val="aa"/>
            <w:rFonts w:ascii="宋体" w:hAnsi="宋体" w:hint="eastAsia"/>
            <w:noProof/>
            <w:sz w:val="24"/>
          </w:rPr>
          <w:t>十二、基金的财产</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_Toc240548888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84</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89" w:history="1">
        <w:r w:rsidRPr="006B2E66">
          <w:rPr>
            <w:rStyle w:val="aa"/>
            <w:rFonts w:ascii="宋体" w:hAnsi="宋体" w:hint="eastAsia"/>
            <w:noProof/>
            <w:sz w:val="24"/>
          </w:rPr>
          <w:t>十三、基金资产的估值</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_Toc240548889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85</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0" w:history="1">
        <w:r w:rsidRPr="006B2E66">
          <w:rPr>
            <w:rStyle w:val="aa"/>
            <w:rFonts w:ascii="宋体" w:hAnsi="宋体" w:hint="eastAsia"/>
            <w:noProof/>
            <w:sz w:val="24"/>
          </w:rPr>
          <w:t>十四、基金收益与分配</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_Toc240548890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92</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1" w:history="1">
        <w:r w:rsidRPr="006B2E66">
          <w:rPr>
            <w:rStyle w:val="aa"/>
            <w:rFonts w:ascii="宋体" w:hAnsi="宋体" w:hint="eastAsia"/>
            <w:noProof/>
            <w:sz w:val="24"/>
          </w:rPr>
          <w:t>十五、基金的费用与税收</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_Toc240548891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94</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2" w:history="1">
        <w:r w:rsidRPr="006B2E66">
          <w:rPr>
            <w:rStyle w:val="aa"/>
            <w:rFonts w:ascii="宋体" w:hAnsi="宋体" w:hint="eastAsia"/>
            <w:noProof/>
            <w:sz w:val="24"/>
          </w:rPr>
          <w:t>十六、基金的会计与审计</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_Toc240548892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97</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3" w:history="1">
        <w:r w:rsidRPr="006B2E66">
          <w:rPr>
            <w:rStyle w:val="aa"/>
            <w:rFonts w:ascii="宋体" w:hAnsi="宋体" w:hint="eastAsia"/>
            <w:noProof/>
            <w:sz w:val="24"/>
          </w:rPr>
          <w:t>十七、基金的信息披露</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_Toc240548893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98</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4" w:history="1">
        <w:r w:rsidRPr="006B2E66">
          <w:rPr>
            <w:rStyle w:val="aa"/>
            <w:rFonts w:ascii="宋体" w:hAnsi="宋体" w:hint="eastAsia"/>
            <w:noProof/>
            <w:sz w:val="24"/>
          </w:rPr>
          <w:t>十八、侧袋机制</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_Toc240548894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105</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5" w:history="1">
        <w:r w:rsidRPr="006B2E66">
          <w:rPr>
            <w:rStyle w:val="aa"/>
            <w:rFonts w:ascii="宋体" w:hAnsi="宋体" w:hint="eastAsia"/>
            <w:noProof/>
            <w:sz w:val="24"/>
          </w:rPr>
          <w:t>十九、风险揭示</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_Toc240548895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108</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6" w:history="1">
        <w:r w:rsidRPr="006B2E66">
          <w:rPr>
            <w:rStyle w:val="aa"/>
            <w:rFonts w:ascii="宋体" w:hAnsi="宋体" w:hint="eastAsia"/>
            <w:noProof/>
            <w:sz w:val="24"/>
          </w:rPr>
          <w:t>二十、基金合同的变更、终止与基金财产的清算</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_Toc240548896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118</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7" w:history="1">
        <w:r w:rsidRPr="006B2E66">
          <w:rPr>
            <w:rStyle w:val="aa"/>
            <w:rFonts w:ascii="宋体" w:hAnsi="宋体" w:hint="eastAsia"/>
            <w:noProof/>
            <w:sz w:val="24"/>
          </w:rPr>
          <w:t>二十一、基金合同内容摘要</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_Toc240548897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120</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8" w:history="1">
        <w:r w:rsidRPr="006B2E66">
          <w:rPr>
            <w:rStyle w:val="aa"/>
            <w:rFonts w:ascii="宋体" w:hAnsi="宋体" w:hint="eastAsia"/>
            <w:noProof/>
            <w:sz w:val="24"/>
          </w:rPr>
          <w:t>二十二、托管协议的内容摘要</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_Toc240548898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137</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899" w:history="1">
        <w:r w:rsidRPr="006B2E66">
          <w:rPr>
            <w:rStyle w:val="aa"/>
            <w:rFonts w:ascii="宋体" w:hAnsi="宋体" w:hint="eastAsia"/>
            <w:noProof/>
            <w:sz w:val="24"/>
          </w:rPr>
          <w:t>二十三、对基金份额持有人的服务</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_Toc240548899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157</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900" w:history="1">
        <w:r w:rsidRPr="006B2E66">
          <w:rPr>
            <w:rStyle w:val="aa"/>
            <w:rFonts w:ascii="宋体" w:hAnsi="宋体" w:hint="eastAsia"/>
            <w:noProof/>
            <w:sz w:val="24"/>
          </w:rPr>
          <w:t>二十四、其他应披露事项</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_Toc240548900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159</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901" w:history="1">
        <w:r w:rsidRPr="006B2E66">
          <w:rPr>
            <w:rStyle w:val="aa"/>
            <w:rFonts w:ascii="宋体" w:hAnsi="宋体" w:hint="eastAsia"/>
            <w:noProof/>
            <w:sz w:val="24"/>
          </w:rPr>
          <w:t>二十五、招募说明书的存放及查阅方式</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_Toc240548901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161</w:t>
        </w:r>
        <w:r w:rsidRPr="006B2E66">
          <w:rPr>
            <w:rFonts w:ascii="宋体" w:hAnsi="宋体"/>
            <w:noProof/>
            <w:sz w:val="24"/>
          </w:rPr>
          <w:fldChar w:fldCharType="end"/>
        </w:r>
      </w:hyperlink>
    </w:p>
    <w:p w:rsidR="006B2E66" w:rsidRPr="006B2E66" w:rsidRDefault="006B2E66" w:rsidP="006B2E66">
      <w:pPr>
        <w:pStyle w:val="10"/>
        <w:tabs>
          <w:tab w:val="right" w:leader="dot" w:pos="8550"/>
        </w:tabs>
        <w:spacing w:line="360" w:lineRule="auto"/>
        <w:rPr>
          <w:rFonts w:ascii="宋体" w:hAnsi="宋体" w:cstheme="minorBidi"/>
          <w:noProof/>
          <w:sz w:val="24"/>
        </w:rPr>
      </w:pPr>
      <w:hyperlink w:anchor="_Toc240548902" w:history="1">
        <w:r w:rsidRPr="006B2E66">
          <w:rPr>
            <w:rStyle w:val="aa"/>
            <w:rFonts w:ascii="宋体" w:hAnsi="宋体" w:hint="eastAsia"/>
            <w:noProof/>
            <w:sz w:val="24"/>
          </w:rPr>
          <w:t>二十六、备查文件</w:t>
        </w:r>
        <w:r w:rsidRPr="006B2E66">
          <w:rPr>
            <w:rFonts w:ascii="宋体" w:hAnsi="宋体"/>
            <w:noProof/>
            <w:sz w:val="24"/>
          </w:rPr>
          <w:tab/>
        </w:r>
        <w:r w:rsidRPr="006B2E66">
          <w:rPr>
            <w:rFonts w:ascii="宋体" w:hAnsi="宋体"/>
            <w:noProof/>
            <w:sz w:val="24"/>
          </w:rPr>
          <w:fldChar w:fldCharType="begin"/>
        </w:r>
        <w:r w:rsidRPr="006B2E66">
          <w:rPr>
            <w:rFonts w:ascii="宋体" w:hAnsi="宋体"/>
            <w:noProof/>
            <w:sz w:val="24"/>
          </w:rPr>
          <w:instrText xml:space="preserve"> PAGEREF _Toc240548902 \h </w:instrText>
        </w:r>
        <w:r w:rsidRPr="006B2E66">
          <w:rPr>
            <w:rFonts w:ascii="宋体" w:hAnsi="宋体"/>
            <w:noProof/>
            <w:sz w:val="24"/>
          </w:rPr>
        </w:r>
        <w:r w:rsidRPr="006B2E66">
          <w:rPr>
            <w:rFonts w:ascii="宋体" w:hAnsi="宋体"/>
            <w:noProof/>
            <w:sz w:val="24"/>
          </w:rPr>
          <w:fldChar w:fldCharType="separate"/>
        </w:r>
        <w:r w:rsidRPr="006B2E66">
          <w:rPr>
            <w:rFonts w:ascii="宋体" w:hAnsi="宋体"/>
            <w:noProof/>
            <w:sz w:val="24"/>
          </w:rPr>
          <w:t>162</w:t>
        </w:r>
        <w:r w:rsidRPr="006B2E66">
          <w:rPr>
            <w:rFonts w:ascii="宋体" w:hAnsi="宋体"/>
            <w:noProof/>
            <w:sz w:val="24"/>
          </w:rPr>
          <w:fldChar w:fldCharType="end"/>
        </w:r>
      </w:hyperlink>
    </w:p>
    <w:p w:rsidR="00747F95" w:rsidRPr="006B2E66" w:rsidRDefault="006B2E66" w:rsidP="006B2E66">
      <w:pPr>
        <w:pStyle w:val="ad"/>
        <w:snapToGrid w:val="0"/>
        <w:spacing w:after="240" w:line="360" w:lineRule="auto"/>
        <w:jc w:val="center"/>
        <w:rPr>
          <w:rFonts w:ascii="宋体" w:hAnsi="宋体"/>
          <w:color w:val="000000"/>
          <w:sz w:val="24"/>
        </w:rPr>
      </w:pPr>
      <w:r w:rsidRPr="006B2E66">
        <w:rPr>
          <w:rFonts w:ascii="宋体" w:hAnsi="宋体"/>
          <w:color w:val="000000"/>
          <w:position w:val="-4"/>
          <w:sz w:val="24"/>
          <w:szCs w:val="30"/>
        </w:rPr>
        <w:fldChar w:fldCharType="end"/>
      </w:r>
      <w:bookmarkStart w:id="3" w:name="_GoBack"/>
      <w:bookmarkEnd w:id="3"/>
    </w:p>
    <w:p w:rsidR="00747F95" w:rsidRDefault="00747F95">
      <w:pPr>
        <w:autoSpaceDE w:val="0"/>
        <w:autoSpaceDN w:val="0"/>
        <w:adjustRightInd w:val="0"/>
        <w:snapToGrid w:val="0"/>
        <w:spacing w:line="360" w:lineRule="auto"/>
        <w:ind w:left="120" w:rightChars="6" w:right="13"/>
        <w:rPr>
          <w:rFonts w:ascii="宋体" w:hAnsi="宋体"/>
          <w:kern w:val="0"/>
          <w:szCs w:val="24"/>
        </w:rPr>
        <w:sectPr w:rsidR="00747F95">
          <w:pgSz w:w="11920" w:h="16840"/>
          <w:pgMar w:top="1480" w:right="1680" w:bottom="280" w:left="1680" w:header="0" w:footer="1073" w:gutter="0"/>
          <w:cols w:space="720"/>
        </w:sectPr>
      </w:pPr>
    </w:p>
    <w:p w:rsidR="00747F95" w:rsidRDefault="00437F42">
      <w:pPr>
        <w:pStyle w:val="1"/>
        <w:snapToGrid w:val="0"/>
        <w:spacing w:beforeLines="0" w:before="240" w:after="240"/>
        <w:rPr>
          <w:rFonts w:ascii="宋体" w:hAnsi="宋体"/>
          <w:szCs w:val="30"/>
        </w:rPr>
      </w:pPr>
      <w:bookmarkStart w:id="4" w:name="_Toc240548877"/>
      <w:r>
        <w:rPr>
          <w:rFonts w:ascii="Times New Roman" w:hAnsi="Times New Roman"/>
          <w:sz w:val="30"/>
        </w:rPr>
        <w:lastRenderedPageBreak/>
        <w:t>一、绪言</w:t>
      </w:r>
      <w:bookmarkEnd w:id="4"/>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悦信精选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悦信精选混合型证券投资基金基金合同》（以下简称“基金合同”）编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5" w:name="_Toc240548878"/>
      <w:r>
        <w:rPr>
          <w:rFonts w:ascii="Times New Roman" w:hAnsi="Times New Roman"/>
          <w:sz w:val="30"/>
        </w:rPr>
        <w:lastRenderedPageBreak/>
        <w:t>二、释义</w:t>
      </w:r>
      <w:bookmarkEnd w:id="5"/>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1、基金或本基金：指交银施罗德悦信精选混合型证券投资基金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3、基金托管人：指中信银行股份有限公司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4、基金合同：指《交银施罗德悦信精选混合型证券投资基金基金合同》及对基金合同的任何有效修订和补充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5、托管协议：指基金管理人与基金托管人就本基金签订之《交银施罗德悦信精选混合型证券投资基金托管协议》及对该托管协议的任何有效修订和补充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6、招募说明书或本招募说明书：指《交银施罗德悦信精选混合型证券投资基金招募说明书》及其更新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7、基金产品资料概要：指《交银施罗德悦信精选混合型证券投资基金基金产品资料概要》及其更新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8、基金份额发售公告：指《交银施罗德悦信精选混合型证券投资基金基金份额发售公告》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16、银行业监督管理机构：指中国人民银行和/或国家金融监督管理总局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17、基金合同当事人：指受基金合同约束，根据基金合同享有权利并承担义务的法律主体，包括基金管理人、基金托管人和基金份额持有人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29、基金合同生效日：指基金募集达到法律法规规定及基金合同规定的条件，基金管理人向中国证监会办理基金备案手续完毕，并获得中国证监会书面确认的日</w:t>
      </w:r>
      <w:r>
        <w:rPr>
          <w:rFonts w:ascii="宋体" w:hAnsi="宋体"/>
          <w:sz w:val="24"/>
        </w:rPr>
        <w:lastRenderedPageBreak/>
        <w:t>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36、开放日：指为投资人办理基金份额申购、赎回或其他业务的工作日（若该工作日为非港股通交易日，则本基金可不开放）</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37、开放时间：指开放日基金接受申购、赎回或其他交易的时间段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38、《业务规则》：指中国证券登记结算有限责任公司相关业务规则及其不时做出的修订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39、认购：指在基金募集期内，投资人根据基金合同和招募说明书的规定申请购买基金份额的行为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40、申购：指基金合同生效后，投资人根据基金合同和招募说明书的规定申请购买基金份额的行为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41、赎回：指基金合同生效后，基金份额持有人按基金合同和招募说明书规定的条件要求将基金份额兑换为现金的行为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42、基金转换：指基金份额持有人按照基金合同和基金管理人届时有效公告规定的条件，申请将其持有基金管理人管理的、某一基金的基金份额转换为基金管理人管理的其他基金基金份额的行为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43、转托管：指基金份额持有人在本基金的不同销售机构之间实施的变更所持基金份额销售机构的操作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45、巨额赎回：指本基金单个开放日，基金净赎回申请（赎回申请份额总数加</w:t>
      </w:r>
      <w:r>
        <w:rPr>
          <w:rFonts w:ascii="宋体" w:hAnsi="宋体"/>
          <w:sz w:val="24"/>
        </w:rPr>
        <w:lastRenderedPageBreak/>
        <w:t>上基金转换中转出申请份额总数后扣除申购申请份额总数及基金转换中转入申请份额总数后的余额）超过上一开放日基金总份额的10%的情形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46、元：指人民币元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47、基金收益：指基金投资所得红利、股息、债券利息、买卖证券价差、银行存款利息、已实现的其他合法收入及因运用基金财产带来的成本和费用的节约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48、基金资产总值：指基金拥有的各类有价证券、股指期货合约、银行存款本息、基金应收款项及其他资产的价值总和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49、基金资产净值：指基金资产总值减去基金负债后的价值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50、基金份额净值：指计算日基金资产净值除以计算日基金份额总数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51、基金资产估值：指计算评估基金资产和负债的价值，以确定基金资产净值和基金份额净值的过程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52、港股通：指内地投资者委托内地证券公司，经由内地证券交易所在香港设立的证券交易服务公司，向香港联合交易所进行申报，买卖规定范围内的香港联合交易所上市的股票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53、销售服务费：指从基金财产中计提的，用于本基金市场推广、销售以及基金份额持有人服务的费用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54、A类基金份额：指在投资人认购/申购时收取认购/申购费用、赎回时收取赎回费用且不从本类别基金资产中计提销售服务费的基金份额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55、C类基金份额：指在投资人认购/申购时不收取认购/申购费用、赎回时收取赎回费用，并从本类别基金资产中计提销售服务费的基金份额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w:t>
      </w:r>
      <w:r>
        <w:rPr>
          <w:rFonts w:ascii="宋体" w:hAnsi="宋体"/>
          <w:sz w:val="24"/>
        </w:rPr>
        <w:lastRenderedPageBreak/>
        <w:t>者，从而减少对存量基金份额持有人利益的不利影响，确保投资人的合法权益不受损害并得到公平对待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6" w:name="_Toc240548879"/>
      <w:r>
        <w:rPr>
          <w:rFonts w:ascii="Times New Roman" w:hAnsi="Times New Roman"/>
          <w:sz w:val="30"/>
        </w:rPr>
        <w:lastRenderedPageBreak/>
        <w:t>三、基金管理人</w:t>
      </w:r>
      <w:bookmarkEnd w:id="6"/>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楼慧源女士:基金经理。复旦大学金融学硕士、浙江大学应用生物科学学士。12年证券投资行业从业经验。2014年至2015年任中国国际金融有限公司研究员。2015年加入交银施罗德基金管理有限公司，曾任行业分析师，现任权益部基金经理。现任交银施罗德医药创新股票型证券投资基金(2018年09月12日至今)、交银施罗德启汇混合型证券投资基金(2020年07月07日至今)、交银施罗德悦信精选混合型证券投资基金(2023年09月06日至今)的基金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9、按照规定召集基金份额持有人大会；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（六）基金管理人的内部控制制度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w:t>
      </w:r>
      <w:r>
        <w:rPr>
          <w:rFonts w:ascii="宋体" w:hAnsi="宋体"/>
          <w:sz w:val="24"/>
        </w:rPr>
        <w:lastRenderedPageBreak/>
        <w:t>和经营运作相关的主要风险；评估公司各方面运行状况是否合规有序，审查有无存在与公司业务有关的重大风险；审议或听取由公司制度规定的需要向风险控制委员会报告的其他情形等。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w:t>
      </w:r>
      <w:r>
        <w:rPr>
          <w:rFonts w:ascii="宋体" w:hAnsi="宋体"/>
          <w:sz w:val="24"/>
        </w:rPr>
        <w:lastRenderedPageBreak/>
        <w:t>形成不同部门、不同岗位之间的制衡机制，从制度上减少和防范风险。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7" w:name="_Toc240548880"/>
      <w:r>
        <w:rPr>
          <w:rFonts w:ascii="Times New Roman" w:hAnsi="Times New Roman"/>
          <w:sz w:val="30"/>
        </w:rPr>
        <w:lastRenderedPageBreak/>
        <w:t>四、基金托管人</w:t>
      </w:r>
      <w:bookmarkEnd w:id="7"/>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方合英先生，本行党委书记、董事长、执行董事，代为履行行长职责。方先生于2020年12月起任中国中信集团有限公司副总经理、中国中信股份有限公司副总经</w:t>
      </w:r>
      <w:r>
        <w:rPr>
          <w:rFonts w:ascii="宋体" w:hAnsi="宋体"/>
          <w:sz w:val="24"/>
        </w:rPr>
        <w:lastRenderedPageBreak/>
        <w:t>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w:t>
      </w:r>
      <w:r>
        <w:rPr>
          <w:rFonts w:ascii="宋体" w:hAnsi="宋体"/>
          <w:sz w:val="24"/>
        </w:rPr>
        <w:lastRenderedPageBreak/>
        <w:t>析、控制和避免风险，确保基金财产安全，维护基金份额持有人利益。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8" w:name="_Toc240548881"/>
      <w:r>
        <w:rPr>
          <w:rFonts w:ascii="Times New Roman" w:hAnsi="Times New Roman"/>
          <w:sz w:val="30"/>
        </w:rPr>
        <w:lastRenderedPageBreak/>
        <w:t>五、相关服务机构</w:t>
      </w:r>
      <w:bookmarkEnd w:id="8"/>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（5）名称：宁波银行股份有限公司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（6）名称：中国银河证券股份有限公司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（8）名称：中国中金财富证券有限公司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（9）名称：西部证券股份有限公司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办公地址：陕西省西安市新城区东新街 319 号 8 幢 10000 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（10）名称：国投证券股份有限公司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（11）名称：中信建投证券股份有限公司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（12）名称：东方财富证券股份有限公司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网址：http://www.18.cn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（13）名称：国信证券股份有限公司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（14）名称：华泰证券股份有限公司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（15）名称：海通证券股份有限公司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（16）名称：大同证券有限责任公司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办公地址：太原市长治路 111 号山西世贸中心 A 座 F12、F13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（17）名称：招商证券股份有限公司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（18）名称：国泰海通证券股份有限公司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（19）名称：中信证券华南股份有限公司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（20）名称：华西证券股份有限公司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（21）名称：国新证券股份有限公司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（22）名称：国金证券股份有限公司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网址：www.gjzq.com.cn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（23）名称：中信证券（山东）有限责任公司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（24）名称：平安证券股份有限公司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（25）名称：广发证券股份有限公司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（26）名称：申万宏源证券有限公司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办公地址：上海市徐汇区长乐路989号世纪商贸广场45层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（27）名称：申万宏源西部证券有限公司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（28）名称：华宝证券股份有限公司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（29）名称：深圳市新兰德证券投资咨询有限公司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联系人：刘宝文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（30）名称：济安财富（北京）基金销售有限公司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（31）名称：博时财富基金销售有限公司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（32）名称：大连网金基金销售有限公司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（33）名称：阳光人寿保险股份有限公司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（34）名称：玄元保险代理有限公司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（35）名称：京东肯特瑞基金销售有限公司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（36）名称：上海大智慧基金销售有限公司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法定代表人：申健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（37）名称：和耕传承基金销售有限公司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（38）名称：腾安基金销售（深圳）有限公司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（39）名称：珠海盈米基金销售有限公司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传真：（020）89629011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（40）名称：上海华夏财富投资管理有限公司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（41）名称：北京度小满基金销售有限公司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（42）名称：南京苏宁基金销售有限公司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网址：www.snjijin.com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（43）名称：嘉实财富管理有限公司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（44）名称：北京汇成基金销售有限公司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（45）名称：上海利得基金销售有限公司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（46）名称：北京虹点基金销售有限公司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办公地址：北京市朝阳区工人体育场北路甲2号裙房2层222单元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（47）名称：上海挖财基金销售有限公司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（48）名称：万家财富基金销售（天津）有限公司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（49）名称：上海万得基金销售有限公司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电话：021-50712782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（50）名称：格上富信投资顾问有限公司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（51）名称：深圳市金斧子基金销售有限公司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（52）名称：北京雪球基金销售有限公司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客户服务电话：400-1599-288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（53）名称：中证金牛（北京）基金销售有限公司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（54）名称：上海证达通基金销售有限公司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（55）名称：北京创金启富基金销售有限公司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（56）名称：奕丰基金销售有限公司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住所：深圳市前海深港合作区前湾一路1号A栋201室（入住深圳市前海商务秘书有限公司）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（57）名称：上海天天基金销售有限公司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（58）名称：和讯信息科技有限公司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（59）名称：诺亚正行基金销售有限公司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法定代表：汪静波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（60）名称：上海好买基金销售有限公司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（61）名称：上海长量基金销售有限公司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（62）名称：深圳众禄基金销售股份有限公司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客户服务电话：4006-788-887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（63）名称：蚂蚁（杭州）基金销售有限公司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（64）名称：中信期货有限公司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（65）名称：上海基煜基金销售有限公司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客户服务电话：（021）65370077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（66）名称：浙江同花顺基金销售有限公司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（67）名称：宜信普泽（北京）基金销售有限公司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（68）名称：上海联泰基金销售有限公司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（69）名称：泛华普益基金销售有限公司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住所：成都市成华区建设路9号高地中心1101室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（70）名称：北京展恒基金销售股份有限公司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（71）名称：上海中欧财富基金销售有限公司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（72）名称：深圳前海微众银行股份有限公司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法定代表人：顾敏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（73）名称：中国人寿保险股份有限公司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办公地址：上海市银城中路68号时代金融中心18-20楼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经办律师：黎明、丁媛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9" w:name="_Toc240548882"/>
      <w:r>
        <w:rPr>
          <w:rFonts w:ascii="Times New Roman" w:hAnsi="Times New Roman"/>
          <w:sz w:val="30"/>
        </w:rPr>
        <w:lastRenderedPageBreak/>
        <w:t>六、基金的募集</w:t>
      </w:r>
      <w:bookmarkEnd w:id="9"/>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本基金由基金管理人依照《基金法》、《运作办法》、《销售办法》、基金合同及其他有关规定，并经中国证监会2023年6月2日证监许可【2023】1214号文准予募集注册。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本基金2023年8月17日至2023年9月1日进行发售，本基金设立募集期共募集618,626,407.28份基金份额，有效认购户数为14,442户。</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0" w:name="_Toc240548883"/>
      <w:r>
        <w:rPr>
          <w:rFonts w:ascii="Times New Roman" w:hAnsi="Times New Roman"/>
          <w:sz w:val="30"/>
        </w:rPr>
        <w:lastRenderedPageBreak/>
        <w:t>七、基金合同的生效</w:t>
      </w:r>
      <w:bookmarkEnd w:id="10"/>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根据有关规定，本基金满足基金合同生效条件，基金合同已于2023年9月6日正式生效。自基金合同生效之日起，本基金管理人正式开始管理本基金。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1" w:name="_Toc240548884"/>
      <w:r>
        <w:rPr>
          <w:rFonts w:ascii="Times New Roman" w:hAnsi="Times New Roman"/>
          <w:sz w:val="30"/>
        </w:rPr>
        <w:lastRenderedPageBreak/>
        <w:t>八、基金份额的申购与赎回</w:t>
      </w:r>
      <w:bookmarkEnd w:id="11"/>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本基金除基金管理人之外的其他销售机构参见本招募说明书“五、相关服务机构”章节或拨打基金管理人客户服务电话进行咨询。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w:t>
      </w:r>
      <w:r>
        <w:rPr>
          <w:rFonts w:ascii="宋体" w:hAnsi="宋体"/>
          <w:sz w:val="24"/>
        </w:rPr>
        <w:lastRenderedPageBreak/>
        <w:t>规定公告暂停申购、赎回时除外。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本基金已于2023年12月5日起开放申购、赎回业务。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w:t>
      </w:r>
      <w:r>
        <w:rPr>
          <w:rFonts w:ascii="宋体" w:hAnsi="宋体"/>
          <w:sz w:val="24"/>
        </w:rPr>
        <w:lastRenderedPageBreak/>
        <w:t>元。本基金直销机构单笔申购最低金额可由基金管理人酌情调整。其他销售机构接受申购申请的最低金额为单笔1元，如果销售机构业务规则规定的最低单笔申购金额高于1元，以该销售机构的规定为准。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w:t>
      </w:r>
      <w:r>
        <w:rPr>
          <w:rFonts w:ascii="宋体" w:hAnsi="宋体"/>
          <w:sz w:val="24"/>
        </w:rPr>
        <w:lastRenderedPageBreak/>
        <w:t>项。在发生巨额赎回或基金合同载明的其他暂停赎回或延缓支付赎回款项的情形时，款项的支付办法参照基金合同有关条款处理。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本基金A类基金份额的申购费用由申购A类基金份额的基金申购人承担，不列入基金财产，主要用于本基金的市场推广、销售、登记等各项费用。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w:t>
      </w:r>
      <w:r>
        <w:rPr>
          <w:rFonts w:ascii="宋体" w:hAnsi="宋体"/>
          <w:sz w:val="24"/>
        </w:rPr>
        <w:lastRenderedPageBreak/>
        <w:t>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将赎回费总额的25%计入基金财产。上述“月”指的是30个自然日。未归入基金财产的部分用于支付登记费和其他必要的手续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47F9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47F9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47F95" w:rsidRDefault="00747F9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47F9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47F95" w:rsidRDefault="00747F9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747F9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47F95" w:rsidRDefault="00747F9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47F9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47F95" w:rsidRDefault="00747F9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747F9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747F9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47F95" w:rsidRDefault="00747F9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747F9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47F95" w:rsidRDefault="00747F9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747F9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747F95" w:rsidRDefault="00747F9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3、经与基金托管人协商一致，基金管理人可以在基金合同约定的范围内调整费率或收费方式，并最迟应于新的费率或收费方式实施日前依照《信息披露办法》的有关规定在规定媒介上公告。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1、申购和赎回数额、余额的处理方式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和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申购份额=（申购总金额-申购费用）/T日A类基金份额净值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例四：某投资者（非养老金客户）投资100,000元申购本基金A类基金份额，假设申购当日A类基金份额净值为1.0400元，申购费率为1.5%，则其可得到的申购份额为：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净申购金额=100,000/（1+1.5%）=98,522.17元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申购费用=100,000-98,522.17=1,477.83元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申购份额=（100,000-1,477.83）/1.0400=94,732.86份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即：某投资者（非养老金客户）投资100,000元申购本基金A类基金份额，假设申购当日A类基金份额净值为1.0400元，则其可得到94,732.86份A类基金份额。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例五：某养老金客户投资1,000,000元通过基金管理人的直销柜台申购本基金A类基金份额，假设申购当日A类基金份额净值为1.0400元，申购费率为0.6%，则其可得到的申购份额为：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净申购金额=1,000,000/（1+0.6%）=994,035.79元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申购费用=1,000,000-994,035.79=5,964.21元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申购份额=（1,000,000-5,964.21）/1.0400=955,803.64份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即：该养老金客户投资1,000,000元通过基金管理人的直销柜台申购本基金A类基金份额，假设申购当日A类基金份额净值为1.0400元，则其可得到955,803.64份A类基金份额。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例六：某投资者投资100,000元申购本基金的C类基金份额，假设申购当日C类基金份额净值为1.0400元，则其可得到的申购份额为：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例七：某投资者赎回持有的10,000份A类基金份额，持有期限为30日，对应的赎回费率为0.5%，假设赎回当日A类基金份额净值是1.0160元，则其可得到的赎回金额为：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即：该投资者赎回本基金10,000份A类基金份额，持有期限为30日，对应的赎回费率为0.5%，假设赎回当日A类基金份额净值是1.0160元，则其可得到的赎回金额为10,109.20元。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如果投资者赎回C类基金份额，赎回金额的计算方法如下：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例八：某投资者赎回持有的10,000份C类基金份额，持有时间为20日，对应的赎回费率为0.5%，假设赎回当日C类基金份额净值是1.0160元，则其可得到的赎回金额为：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赎回费用=10,000×1.0160×0.5%＝50.80元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赎回金额=10,000×1.0160-50.80＝10,109.20元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A类基金份额和C类基金份额的份额净值的计算，均保留到小数点后4位，小数点后第5位四舍五入，由此产生的收益或损失由基金财产承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6、当前一估值日基金资产净值50%以上的资产出现无可参考的活跃市场价格且采用估值技术仍导致公允价值存在重大不确定性时，经与基金托管人协商确认后，基金管理人应当暂停接受基金申购申请。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w:t>
      </w:r>
      <w:r>
        <w:rPr>
          <w:rFonts w:ascii="宋体" w:hAnsi="宋体"/>
          <w:sz w:val="24"/>
        </w:rPr>
        <w:lastRenderedPageBreak/>
        <w:t>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如投资人在提交赎回申请时未作明确选择，投资人未能赎回部分作自动延期赎回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w:t>
      </w:r>
      <w:r>
        <w:rPr>
          <w:rFonts w:ascii="宋体" w:hAnsi="宋体"/>
          <w:sz w:val="24"/>
        </w:rPr>
        <w:lastRenderedPageBreak/>
        <w:t>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2、如发生暂停的时间为1日，基金管理人应于重新开放日，在规定媒介上刊登基金重新开放申购或赎回公告，并公布最近1个开放日各类基金份额的基金份额净值。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w:t>
      </w:r>
      <w:r>
        <w:rPr>
          <w:rFonts w:ascii="宋体" w:hAnsi="宋体"/>
          <w:sz w:val="24"/>
        </w:rPr>
        <w:lastRenderedPageBreak/>
        <w:t>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本基金2023年11月30日刊登公告自2023年12月5日起开通定期定额投资计划业务，具体开通销售机构名单和业务规则参见相关公告。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w:t>
      </w:r>
      <w:r>
        <w:rPr>
          <w:rFonts w:ascii="宋体" w:hAnsi="宋体"/>
          <w:sz w:val="24"/>
        </w:rPr>
        <w:lastRenderedPageBreak/>
        <w:t>基金管理人可制定相应的业务规则，并依照《信息披露办法》的有关规定进行公告。</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2" w:name="_Toc240548885"/>
      <w:r>
        <w:rPr>
          <w:rFonts w:ascii="Times New Roman" w:hAnsi="Times New Roman"/>
          <w:sz w:val="30"/>
        </w:rPr>
        <w:lastRenderedPageBreak/>
        <w:t>九、基金的转换</w:t>
      </w:r>
      <w:bookmarkEnd w:id="12"/>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本基金2023年11月30日刊登公告自2023年12月5日起开放日常转换业务。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3" w:name="_Toc240548886"/>
      <w:r>
        <w:rPr>
          <w:rFonts w:ascii="Times New Roman" w:hAnsi="Times New Roman"/>
          <w:sz w:val="30"/>
        </w:rPr>
        <w:lastRenderedPageBreak/>
        <w:t>十、基金的投资</w:t>
      </w:r>
      <w:bookmarkEnd w:id="13"/>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在合理控制风险的前提下，充分发挥专业的研究与管理能力，力争实现基金资产的长期稳健增值。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w:t>
      </w:r>
      <w:r>
        <w:rPr>
          <w:rFonts w:ascii="宋体" w:hAnsi="宋体"/>
          <w:sz w:val="24"/>
        </w:rPr>
        <w:lastRenderedPageBreak/>
        <w:t>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（4）存托凭证的投资策略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调整策略、类属配置策略、期限结构配置策略、回购策略、信用债券投资策略、可转换债券投资策略等多种策略，以期获取债券市场的长期稳定收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基金的投资组合应遵循以下限制：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w:t>
      </w:r>
      <w:r>
        <w:rPr>
          <w:rFonts w:ascii="宋体" w:hAnsi="宋体"/>
          <w:sz w:val="24"/>
        </w:rPr>
        <w:lastRenderedPageBreak/>
        <w:t>股票，不得超过该上市公司可流通股票的30%；完全按照有关指数的构成比例进行证券投资的开放式基金以及中国证监会认定的特殊投资组合可不受前述比例限制；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本基金业绩比较基准：中证800指数收益率×65%+中债-国债总财富(1-3年)指数收益率×25%+中证港股通综合指数（人民币）收益率×10%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w:t>
      </w:r>
      <w:r>
        <w:rPr>
          <w:rFonts w:ascii="宋体" w:hAnsi="宋体"/>
          <w:sz w:val="24"/>
        </w:rPr>
        <w:lastRenderedPageBreak/>
        <w:t>比例为60%-95%（其中投资于港股通标的股票的比例占股票资产的 0%-50%）等投资比例限制，以及预期的资产配置比例，本基金将股票资产与债券资产所对应的基准要素权重分别设置为75%与25%，其中将股票资产中的A股股票与港股通标的股票所对应的基准要素权重分别设置为65%与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中证800指数和中证港股通综合指数（人民币）分别作为A股股票和港股通标的股票部分的业绩比较基准要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中证800指数由沪深市场市值较大、流动性较好的800只股票构成，反映沪深市场大中盘上市公司证券的整体表现。指数样本量大，行业覆盖面广，适合作为本基金A股股票部分的业绩比较基准要素。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中证800指数由中证指数有限公司编制发布，指数代码为000906，指数具体信息详见中证指数有限公司网站，网址：www.csindex.com.cn。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w:t>
      </w:r>
      <w:r>
        <w:rPr>
          <w:rFonts w:ascii="宋体" w:hAnsi="宋体"/>
          <w:sz w:val="24"/>
        </w:rPr>
        <w:lastRenderedPageBreak/>
        <w:t>930933，指数具体信息详见中证指数有限公司网站，网址：www.csindex.com.cn。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证800指数、中证港股通综合指数（人民币）、中债-国债总财富（1-3年）指数的每日收益率，再按照预设权重比例计算当日组合要素基准的日收益率，并连乘每日收益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w:t>
      </w:r>
      <w:r>
        <w:rPr>
          <w:rFonts w:ascii="宋体" w:hAnsi="宋体"/>
          <w:sz w:val="24"/>
        </w:rPr>
        <w:lastRenderedPageBreak/>
        <w:t>绩比较基准代表性更强，且符合相关法律法规规定的；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本基金是一只混合型基金，其预期风险和预期收益理论上高于债券型基金和货币市场基金，低于股票型基金。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w:t>
      </w:r>
      <w:r w:rsidRPr="00BB248E">
        <w:rPr>
          <w:rFonts w:ascii="宋体" w:hAnsi="宋体" w:hint="eastAsia"/>
          <w:b/>
          <w:kern w:val="0"/>
          <w:sz w:val="24"/>
        </w:rPr>
        <w:lastRenderedPageBreak/>
        <w:t>述或重大遗漏，并对其内容的真实性、准确性和完整性承担个别及连带责任。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本基金托管人中信银行股份有限公司根据本基金合同规定，于2026年04月20日复核了本报告中的财务指标、净值表现和投资组合报告等内容，保证复核内容不存在虚假记载、误导性陈述或者重大遗漏。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58,703,971.57</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81.36</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58,703,971.57</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81.36</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13,450,022.06</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18.64</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2,774.28</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72,156,767.91</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注：本基金本报告期末通过港股通机制投资香港股票的公允价值为23,166,071.27元，占基金资产净值比例为32.52%。</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1,187,736.00</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1.67</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23,198,287.59</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32.57</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F</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2,174,669.71</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8,350,530.00</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11.72</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626,677.00</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0.88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35,537,900.30</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49.89</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13,347,709.66</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18.74</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2,770,555.83</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3.89</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2,359,129.38</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3.31</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2,307,678.12</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3.24</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1,184,141.90</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1.66</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852,876.72</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1.20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原材料</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343,979.66</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23,166,071.27</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32.52</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68,900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6,759,090.00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9.49</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宁德时代</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10,300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4,137,510.00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5.81</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06618 HK</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京东健康</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74,250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3,085,208.30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4.33</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01801 HK</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信达生物</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40,000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2,998,498.20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4.21</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01209 HK</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华润万象生活</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56,800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2,359,129.38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3.31</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5,400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2,307,678.12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3.24</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80,933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2,174,669.71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3.05</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603345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安井食品</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21,000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1,958,460.00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2.75</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02162 HK</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康诺亚</w:t>
            </w: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36,000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1,929,422.34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2.71</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002028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思源电气</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9,500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1,919,000.00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2.69</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11、投资组合报告附注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2,774.28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2,774.28</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4" w:name="_Toc240548887"/>
      <w:r>
        <w:rPr>
          <w:rFonts w:ascii="Times New Roman" w:hAnsi="Times New Roman"/>
          <w:sz w:val="30"/>
        </w:rPr>
        <w:lastRenderedPageBreak/>
        <w:t>十一、基金的业绩</w:t>
      </w:r>
      <w:bookmarkEnd w:id="14"/>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（1）交银悦信精选混合A：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-3.10%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23.31%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9.33%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-4.19%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-17.85%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-1.69%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5.59%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（2）交银悦信精选混合C：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-3.25%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22.57%</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1.28%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8.59%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-4.76%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-18.42%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747F9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-7.28%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5.40%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bl>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747F95" w:rsidRDefault="00437F4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交银施罗德悦信精选混合型证券投资基金</w:t>
      </w:r>
    </w:p>
    <w:p w:rsidR="00747F95" w:rsidRDefault="00437F4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（1）交银悦信精选混合A</w:t>
      </w:r>
    </w:p>
    <w:p w:rsidR="00747F95" w:rsidRDefault="006B2E6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（2）交银悦信精选混合C</w:t>
      </w:r>
    </w:p>
    <w:p w:rsidR="00747F95" w:rsidRDefault="006B2E6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5" w:name="_Toc240548888"/>
      <w:r>
        <w:rPr>
          <w:rFonts w:ascii="Times New Roman" w:hAnsi="Times New Roman"/>
          <w:sz w:val="30"/>
        </w:rPr>
        <w:lastRenderedPageBreak/>
        <w:t>十二、基金的财产</w:t>
      </w:r>
      <w:bookmarkEnd w:id="15"/>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6" w:name="_Toc240548889"/>
      <w:r>
        <w:rPr>
          <w:rFonts w:ascii="Times New Roman" w:hAnsi="Times New Roman"/>
          <w:sz w:val="30"/>
        </w:rPr>
        <w:lastRenderedPageBreak/>
        <w:t>十三、基金资产的估值</w:t>
      </w:r>
      <w:bookmarkEnd w:id="16"/>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9、当发生大额申购或赎回情形时，基金管理人可以采用摆动定价机制，以确保基金估值的公平性。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（五）估值程序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基金管理人于每个工作日计算各类基金份额的基金资产净值及基金份额净值，并按规定公告。如遇特殊情况，经履行适当程序，可以适当延迟计算或公告。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w:t>
      </w:r>
      <w:r>
        <w:rPr>
          <w:rFonts w:ascii="宋体" w:hAnsi="宋体"/>
          <w:sz w:val="24"/>
        </w:rPr>
        <w:lastRenderedPageBreak/>
        <w:t>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w:t>
      </w:r>
      <w:r>
        <w:rPr>
          <w:rFonts w:ascii="宋体" w:hAnsi="宋体"/>
          <w:sz w:val="24"/>
        </w:rPr>
        <w:lastRenderedPageBreak/>
        <w:t>并报中国证监会备案；错误偏差达到基金份额净值的0.5%时，基金管理人应当公告，并报中国证监会备案。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各类基金份额的基金资产净值和基金份额净值由基金管理人负责计算，基金托管人负责进行复核。基金管理人应于每个开放日交易结束后计算当日各类基金份额</w:t>
      </w:r>
      <w:r>
        <w:rPr>
          <w:rFonts w:ascii="宋体" w:hAnsi="宋体"/>
          <w:sz w:val="24"/>
        </w:rPr>
        <w:lastRenderedPageBreak/>
        <w:t>的基金资产净值和基金份额净值并发送给基金托管人。基金托管人对净值计算结果复核确认后发送给基金管理人，由基金管理人依据基金合同和相关法律法规的规定对基金净值予以公布。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1、基金管理人或基金托管人按估值方法的第8项进行估值时，所造成的误差不作为基金资产估值错误处理。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7" w:name="_Toc240548890"/>
      <w:r>
        <w:rPr>
          <w:rFonts w:ascii="Times New Roman" w:hAnsi="Times New Roman"/>
          <w:sz w:val="30"/>
        </w:rPr>
        <w:lastRenderedPageBreak/>
        <w:t>十四、基金收益与分配</w:t>
      </w:r>
      <w:bookmarkEnd w:id="17"/>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和C类基金份额分别选择不同的收益分配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8" w:name="_Toc240548891"/>
      <w:r>
        <w:rPr>
          <w:rFonts w:ascii="Times New Roman" w:hAnsi="Times New Roman"/>
          <w:sz w:val="30"/>
        </w:rPr>
        <w:lastRenderedPageBreak/>
        <w:t>十五、基金的费用与税收</w:t>
      </w:r>
      <w:bookmarkEnd w:id="18"/>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10、本基金从C类基金份额的基金财产中计提的销售服务费；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无误后于次月首日起3个工作日内从基金财产中一次性支付给基金管理人。若遇法定节假日、休息日或不可抗力致使无法按时支付的，顺延至最近可支付日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本基金的托管费按前一日基金资产净值的0.2%年费率计提。托管费的计算方法如下：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无误后于次月首日起3个工作日内从基金财产中一次性支付给基金托管人。若遇法定节假日、休息日或不可抗力致使无法按时支付的，顺延至最近可支付日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本基金A类基金份额不收取销售服务费，C类基金份额的销售服务费按前一日C类基金资产净值的0.6%年费率计提。计算方法如下：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顺延至最近可支付日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C类基金份额的销售服务费将专门用于本基金的市场推广、销售与基金份额持有人服务。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（4）上述“（一）基金费用的种类”中第3－9项、第11项费用，根据有关法规及相应协议规定，按费用实际支出金额列入当期费用，由基金托管人从基金财产中支付。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（三）不列入基金费用的项目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19" w:name="_Toc240548892"/>
      <w:r>
        <w:rPr>
          <w:rFonts w:ascii="Times New Roman" w:hAnsi="Times New Roman"/>
          <w:sz w:val="30"/>
        </w:rPr>
        <w:lastRenderedPageBreak/>
        <w:t>十六、基金的会计与审计</w:t>
      </w:r>
      <w:bookmarkEnd w:id="19"/>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0" w:name="_Toc240548893"/>
      <w:r>
        <w:rPr>
          <w:rFonts w:ascii="Times New Roman" w:hAnsi="Times New Roman"/>
          <w:sz w:val="30"/>
        </w:rPr>
        <w:lastRenderedPageBreak/>
        <w:t>十七、基金的信息披露</w:t>
      </w:r>
      <w:bookmarkEnd w:id="20"/>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本基金的信息披露应符合《基金法》、《运作办法》、《信息披露办法》、《流动性风险管理规定》、《基金合同》及其他有关规定。相关法律法规关于信息披露的规定发生变化时，本基金从其最新规定。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1、基金招募说明书、《基金合同》、基金托管协议、基金产品资料概要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4、基金净值信息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《基金合同》生效后，在开始办理基金份额申购或者赎回前，基金管理人应当至少每周在规定网站分别披露一次A类基金份额和C类基金份额所对应的基金份额净值和基金份额累计净值。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分别披露开放日的A类基金份额和C类基金份额所对应的基金份额净值和基金份额累计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基金管理人应当在不晚于半年度和年度最后一日的次日，在规定网站披露半年度和年度最后一日A类基金份额和C类基金份额所对应的基金份额净值和基金份额累计净值。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w:t>
      </w:r>
      <w:r>
        <w:rPr>
          <w:rFonts w:ascii="宋体" w:hAnsi="宋体"/>
          <w:sz w:val="24"/>
        </w:rPr>
        <w:lastRenderedPageBreak/>
        <w:t>性风险分析等。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本基金发生重大事件，有关信息披露义务人应当依照《信息披露办法》的规定编制临时报告书，并登载在规定报刊和规定网站上。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（15）管理费、托管费、销售服务费、申购费、赎回费等费用计提标准、计提方式和费率发生变更；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w:t>
      </w:r>
      <w:r>
        <w:rPr>
          <w:rFonts w:ascii="宋体" w:hAnsi="宋体"/>
          <w:sz w:val="24"/>
        </w:rPr>
        <w:lastRenderedPageBreak/>
        <w:t>出清算报告。清算报告应当经过符合《中华人民共和国证券法》规定的会计师事务所审计，并由律师事务所出具法律意见书。清算小组应当将清算报告登载在规定网站上，并将清算报告提示性公告登载在规定报刊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本基金可投资港股通标的股票，基金应当在季度报告、中期报告、年度报告等定期报告和招募说明书（更新）等文件中披露港股通标的股票的投资情况。法律法规或中国证监会另有规定的，从其规定。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的基金份额净值、基金份额申购赎回价格、基金定期报告、更新的招募说明书、基金产品资料概要、基金清算报告等相关基金信息进行复核、审查，并向基金管理人进行书面或电子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w:t>
      </w:r>
      <w:r>
        <w:rPr>
          <w:rFonts w:ascii="宋体" w:hAnsi="宋体"/>
          <w:sz w:val="24"/>
        </w:rPr>
        <w:lastRenderedPageBreak/>
        <w:t>保证相关报送信息的真实、准确、完整、及时。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基金管理人、基金托管人除依法在规定媒介上披露信息外，还可以根据需要在其他公共媒介披露信息，但是其他公共媒介不得早于规定媒介披露信息，并且在不同媒介上披露同一信息的内容应当一致。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1" w:name="_Toc240548894"/>
      <w:r>
        <w:rPr>
          <w:rFonts w:ascii="Times New Roman" w:hAnsi="Times New Roman"/>
          <w:sz w:val="30"/>
        </w:rPr>
        <w:lastRenderedPageBreak/>
        <w:t>十八、侧袋机制</w:t>
      </w:r>
      <w:bookmarkEnd w:id="21"/>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747F95" w:rsidRDefault="00437F42">
      <w:pPr>
        <w:pStyle w:val="1"/>
        <w:snapToGrid w:val="0"/>
        <w:spacing w:beforeLines="0" w:before="240" w:after="240"/>
        <w:rPr>
          <w:rFonts w:ascii="宋体" w:hAnsi="宋体"/>
          <w:szCs w:val="30"/>
        </w:rPr>
      </w:pPr>
      <w:bookmarkStart w:id="22" w:name="_Toc240548895"/>
      <w:r>
        <w:rPr>
          <w:rFonts w:ascii="Times New Roman" w:hAnsi="Times New Roman"/>
          <w:sz w:val="30"/>
        </w:rPr>
        <w:lastRenderedPageBreak/>
        <w:t>十九、风险揭示</w:t>
      </w:r>
      <w:bookmarkEnd w:id="22"/>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w:t>
      </w:r>
      <w:r>
        <w:rPr>
          <w:rFonts w:ascii="宋体" w:hAnsi="宋体"/>
          <w:sz w:val="24"/>
        </w:rPr>
        <w:lastRenderedPageBreak/>
        <w:t>金份额净值。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可根据实际情况依法决定本基金开始办理申购的具体日期，具体业务办理时间在申购开始公告中规定。基金管理人自基金合同生效之日起不超过3个月开始办理赎回，具体业务办理时间在赎回开始公告中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以下一开放日该类基金份额的基金份额净值为基础计算赎回金额，以此类推，直到全部赎回为止。如投资人在提交赎回申请时未作明确选择，投资人未能赎回部分作自动延期赎回处理。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该类基金份额的基金份额净值为基础计算赎回金额，以此类推，直到全部赎回为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w:t>
      </w:r>
      <w:r>
        <w:rPr>
          <w:rFonts w:ascii="宋体" w:hAnsi="宋体"/>
          <w:sz w:val="24"/>
        </w:rPr>
        <w:lastRenderedPageBreak/>
        <w:t>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3、基金合同提前终止风险。连续50个工作日出现基金份额持有人数量不满200人或者基金资产净值低于5000万元情形的，基金合同终止，不需召开基金份额持有人大会。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w:t>
      </w:r>
      <w:r>
        <w:rPr>
          <w:rFonts w:ascii="宋体" w:hAnsi="宋体"/>
          <w:sz w:val="24"/>
        </w:rPr>
        <w:lastRenderedPageBreak/>
        <w:t>跌幅限制，第六个交易日开始涨跌幅限制比例为20%。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（九）投资港股通标的股票的特定风险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w:t>
      </w:r>
      <w:r>
        <w:rPr>
          <w:rFonts w:ascii="宋体" w:hAnsi="宋体"/>
          <w:sz w:val="24"/>
        </w:rPr>
        <w:lastRenderedPageBreak/>
        <w:t>市场制度以及交易规则等差异带来的特有风险，具体如下：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c）香港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w:t>
      </w:r>
      <w:r>
        <w:rPr>
          <w:rFonts w:ascii="宋体" w:hAnsi="宋体"/>
          <w:sz w:val="24"/>
        </w:rPr>
        <w:lastRenderedPageBreak/>
        <w:t>险；存托凭证退市的风险；已在境外上市的基础证券发行人，在持续信息披露监管方面与境内可能存在差异的风险；境内外法律制度、监管环境差异可能导致的其他风险。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（十一）投资科创板股票的特定风险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w:t>
      </w:r>
      <w:r>
        <w:rPr>
          <w:rFonts w:ascii="宋体" w:hAnsi="宋体"/>
          <w:sz w:val="24"/>
        </w:rPr>
        <w:lastRenderedPageBreak/>
        <w:t>在趋同，所以科创板个股相关性较高，市场表现不佳时，系统性风险将更为显著。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（十二）本基金法律文件风险收益特征表述与销售机构基金风险评价可能不一致的风险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（十三）其他风险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3" w:name="_Toc240548896"/>
      <w:r>
        <w:rPr>
          <w:rFonts w:ascii="Times New Roman" w:hAnsi="Times New Roman"/>
          <w:sz w:val="30"/>
        </w:rPr>
        <w:lastRenderedPageBreak/>
        <w:t>二十、基金合同的变更、终止与基金财产的清算</w:t>
      </w:r>
      <w:bookmarkEnd w:id="23"/>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4" w:name="_Toc240548897"/>
      <w:r>
        <w:rPr>
          <w:rFonts w:ascii="Times New Roman" w:hAnsi="Times New Roman"/>
          <w:sz w:val="30"/>
        </w:rPr>
        <w:lastRenderedPageBreak/>
        <w:t>二十一、基金合同内容摘要</w:t>
      </w:r>
      <w:bookmarkEnd w:id="24"/>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（4）根据相关市场规则，为基金开设资金账户、证券账户、期货结算账户等投资所需账户，为基金办理证券、期货交易资金清算；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（6）按规定开设基金财产的资金账户、证券账户和期货结算账户等投资所需账户，按照《基金合同》的约定，根据基金管理人的投资指令，及时办理清算、交割事宜；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监管机构、司法机关等有权机关要求，或审计、法律等外部专业顾问提供服务需要的情况外，在基金信息公开披露前予以保密，不得向他人泄露。如向审计、法</w:t>
      </w:r>
      <w:r>
        <w:rPr>
          <w:rFonts w:ascii="宋体" w:hAnsi="宋体"/>
          <w:sz w:val="24"/>
        </w:rPr>
        <w:lastRenderedPageBreak/>
        <w:t>律等外部专业顾问提供上述信息，基金托管人保证审计、法律等外部专业顾问遵守与基金托管人同等的保密义务；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（8）返还在基金交易过程中因任何原因获得的不当得利；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5）调整基金管理人、基金托管人的报酬标准或提高销售服务费率；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（2）在法律法规规定和《基金合同》约定的范围内且对基金份额持有人利益无实质性不利影响的前提下，以下情况可由基金管理人和基金托管人协商后修改，不需召开基金份额持有人大会：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1）调低基金销售服务费率；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3）在法律法规和《基金合同》规定的范围内调整本基金的申购费率、在对现有基金份额持有人利益无实质性不利影响的前提下变更收费方式；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7）在符合法律法规及本基金合同规定、并且对基金份额持有人利益无实质不利影响的前提下，调整本基金份额类别的设置、对基金份额分类办法及规则进行调整；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w:t>
      </w:r>
      <w:r>
        <w:rPr>
          <w:rFonts w:ascii="宋体" w:hAnsi="宋体"/>
          <w:sz w:val="24"/>
        </w:rPr>
        <w:lastRenderedPageBreak/>
        <w:t>当配合；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w:t>
      </w:r>
      <w:r>
        <w:rPr>
          <w:rFonts w:ascii="宋体" w:hAnsi="宋体"/>
          <w:sz w:val="24"/>
        </w:rPr>
        <w:lastRenderedPageBreak/>
        <w:t>方式和联系人、表决意见寄交的截止时间和收取方式。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基金份额持有人大会不得对未事先公告的议事内容进行表决。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w:t>
      </w:r>
      <w:r>
        <w:rPr>
          <w:rFonts w:ascii="宋体" w:hAnsi="宋体"/>
          <w:sz w:val="24"/>
        </w:rPr>
        <w:lastRenderedPageBreak/>
        <w:t>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w:t>
      </w:r>
      <w:r>
        <w:rPr>
          <w:rFonts w:ascii="宋体" w:hAnsi="宋体"/>
          <w:sz w:val="24"/>
        </w:rPr>
        <w:lastRenderedPageBreak/>
        <w:t>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w:t>
      </w:r>
      <w:r>
        <w:rPr>
          <w:rFonts w:ascii="宋体" w:hAnsi="宋体"/>
          <w:sz w:val="24"/>
        </w:rPr>
        <w:lastRenderedPageBreak/>
        <w:t>分之二以上（含三分之二）通过。</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本部分对基金份额持有人大会召开事由、召开条件、议事程序、表决条件等规定，凡是直接引用法律法规或监管规则的部分，如将来法律法规或监管规则修改导致相关内容被取消或变更的，基金管理人经与基金托管人协商一致并提前公告后，可直接对本部分内容进行修改和调整，无需召开基金份额持有人大会审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《基金合同》正本一式三份，除上报有关监管机构一份外，基金管理人、基金托管人各持有一份，每份具有同等的法律效力。</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5" w:name="_Toc240548898"/>
      <w:r>
        <w:rPr>
          <w:rFonts w:ascii="Times New Roman" w:hAnsi="Times New Roman"/>
          <w:sz w:val="30"/>
        </w:rPr>
        <w:lastRenderedPageBreak/>
        <w:t>二十二、托管协议的内容摘要</w:t>
      </w:r>
      <w:bookmarkEnd w:id="25"/>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w:t>
      </w:r>
      <w:r>
        <w:rPr>
          <w:rFonts w:ascii="宋体" w:hAnsi="宋体"/>
          <w:sz w:val="24"/>
        </w:rPr>
        <w:lastRenderedPageBreak/>
        <w:t>售汇业务；代理开放式基金业务；办理黄金业务；黄金进出口；开展证券投资基金、企业年金基金、保险资金、合格境外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本基金持有的现金或者到期日在一年以内的政府债券的投资比例合计不低于基金资产净值的5%，其中现金不包括结算备付金、存出保证金、应收申购款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3）本基金持有一家公司发行的证券（同一家公司在内地和香港同时上市的A+H股合计计算），其市值不超过基金资产净值的10％；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股合计计算），不超过该证券的10％，完全按照有关指数的构成比例进行证券投资的基金品种可以不受此条款规定的比例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w:t>
      </w:r>
      <w:r>
        <w:rPr>
          <w:rFonts w:ascii="宋体" w:hAnsi="宋体"/>
          <w:sz w:val="24"/>
        </w:rPr>
        <w:lastRenderedPageBreak/>
        <w:t>素致使基金不符合该比例限制的，基金管理人不得主动新增流动性受限资产的投资；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c.本基金在任何交易日日终，持有的卖出股指期货合约价值不得超过基金持有的股票总市值的20%；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w:t>
      </w:r>
      <w:r>
        <w:rPr>
          <w:rFonts w:ascii="宋体" w:hAnsi="宋体"/>
          <w:sz w:val="24"/>
        </w:rPr>
        <w:lastRenderedPageBreak/>
        <w:t>本基金投资不再受相关限制。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如法律、行政法规或监管部门取消或变更上述规定，如适用于本基金，基金管理人在履行适当程序后，本基金可不受上述规定的限制或以变更后的规定为准。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w:t>
      </w:r>
      <w:r>
        <w:rPr>
          <w:rFonts w:ascii="宋体" w:hAnsi="宋体"/>
          <w:sz w:val="24"/>
        </w:rPr>
        <w:lastRenderedPageBreak/>
        <w:t>仍违规进行交易，并造成基金资产损失的，由基金管理人承担责任，基金托管人不承担相应损失和责任。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如果基金托管人发现基金管理人与不在名单内的银行间债券市场交易对手进行交易，应及时提醒基金管理人撤销交易，经提醒后基金管理人仍执行交易并造成基金资产损失的，基金托管人不承担相应责任。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相应损失和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1）基金投资流通受限证券，应遵守有关法律法规规定。流通受限证券包括由《上市公司证券发行管理办法》规范的在发行时明确一定期限锁定期的可交易证</w:t>
      </w:r>
      <w:r>
        <w:rPr>
          <w:rFonts w:ascii="宋体" w:hAnsi="宋体"/>
          <w:sz w:val="24"/>
        </w:rPr>
        <w:lastRenderedPageBreak/>
        <w:t>券，不包括由于发布重大消息或其他原因而临时停牌的证券、已发行未上市证券、回购交易中的质押券等流通受限证券。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两个工作日将上述资料书面发至基金托管人，保证基金托管人有足够的时间进行审核。基金托管人应在收到上述资料后两个工作日内，以书面或其他双方认可的方式确认收到上述资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相应责任，但基金托管人未经提前告知基金管理人于合理时间内提供说明的除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（7）基金托管人根据有关法律法规的规定及基金合同的约定，对基金管理人选择存款银行进行监督。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w:t>
      </w:r>
      <w:r>
        <w:rPr>
          <w:rFonts w:ascii="宋体" w:hAnsi="宋体"/>
          <w:sz w:val="24"/>
        </w:rPr>
        <w:lastRenderedPageBreak/>
        <w:t>各项规定。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各类基金份额的基金资产净值计算、基金份额净值计算、应收资金到账、基金费用开支及收入确定、基金收益分配、相关信息披露、基金宣传推介材料中登载基金业绩表现数据等进行监督和核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在限期内，基金托管人有权随时对通知事项进行复查，督促基金管理人改正。基金管理人对基金托管人通知的违规事项未能在限期内纠正的，基金托管人应报告中国证监会。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基金托管人发现基金管理人的投资指令违反有关法律法规规定或者违反基金合同约定的，应当拒绝执行，立即通知基金管理人。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积极配合和协助基金托管人的监督和核查，必须在规定时间内答复基金托管人并改正，就基金托管人的合理疑义进行解释或举证，对基金托管人按照法规要求需向中国证监会报送基金监督报告的，基金管理人应积极配合提供相关数据资料和制度等。</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遵守中华人民共和国反洗钱法律法规，不参与涉嫌洗钱、恐怖融资、扩散融资等违法犯罪活动；主动配合基金托管人客户身份识别与尽职调查，提供真实、准确、完整客户资料，遵守反洗钱与反恐怖融资相关管理规定。对具备合理理由怀疑涉嫌洗钱、恐怖融资的客户，基金托管人将按照中国人民银行反洗钱监管规定采取必要管控措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基金托管人履行托管职责情况进行核查，核查事项包括但不限于基金托管人安全保管基金财产、开设基金财产的资金账户和证券账户等投资所需账户、复核基金管理人计算的各类基金份额的基金资产净值和基金份额净值、根据基金管理人指令办理清算交收、相关信息披露和监督基金投资运作等行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本基金、基金管理人因此所遭受的损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基金管理人发现基金托管人有重大违规行为，应立即报告中国证监会和银行业监督管理机构，同时通知基金托管人限期纠正。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基金托管人应积极配合基金管理人的核查行为，包括但不限于：提交相关资料以供基金管理人核查托管财产的完整性和真实性，在规定时间内答复基金管理人并改正。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（1）基金财产应独立于基金管理人、基金托管人和证券经纪机构的固有财产。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（2）基金托管人应安全保管基金财产。除依据法律法规规定、基金合同和本托管协议约定及基金管理人的正当指令外，不得自行运用、处分、分配基金的任何财产。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基金募集期间募集认购款项应存于基金认购专用账户，该账户由基金管理人或基金管理人委托的登记机构开立并管理。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符合《中华人民共和国证券法》规定的会计师事务所进行验资，出具验资报告，出具的验资报告应由参加验资的2名以上（含2名）中国注册会计师签字有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若基金募集期限届满，未能达到基金备案条件，由基金管理人按规定办理退款事宜，基金托管人应提供充分协助。</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w:t>
      </w:r>
      <w:r>
        <w:rPr>
          <w:rFonts w:ascii="宋体" w:hAnsi="宋体"/>
          <w:sz w:val="24"/>
        </w:rPr>
        <w:lastRenderedPageBreak/>
        <w:t>构的有关规定。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4、基金证券账户与证券交易资金账户的开设和管理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基金托管人以基金托管人和本基金联名的方式在中国证券登记结算有限责任公司（以下简称“中登公司”）上海分公司/深圳分公司开设证券账户。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基金证券账户的开立和使用，限于满足开展本基金业务的需要。基金托管人和基金管理人不得出借和未经对方同意擅自转让基金的任何证券账户；亦不得使用基金的任何账户进行本基金业务以外的活动。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证券经纪机构进行的交易由证券经纪机构作为结算参与人代理本基金进行结算。基金管理人承诺证券交易资金账户为主资金账户，不开立任何辅助资金账户；不为证券交易资金账户另行开立银行托管账户以外的其他银行账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基金证券账户与证券交易资金账户相关证明文件的保管由基金托管人或证券经纪机构负责，账户资产的管理和运用由基金管理人负责。</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本基金进行交易；基金托管人负责以本基金的名义在中央国债登记结算有限责任公司和银行间市场清算所股份有限公司开设银行间债券市场债券托管账户，并由基金托管人负责本基金的债券的后台匹配及资金的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或银行间市场清算所股份有限公司或中登公司上海分公司/深圳分公司或票据营业中心的代保管库。实物证券的购买和转让，由基金托管人根据基金管理人的指令办理。属于基金托管人控制下的实</w:t>
      </w:r>
      <w:r>
        <w:rPr>
          <w:rFonts w:ascii="宋体" w:hAnsi="宋体"/>
          <w:sz w:val="24"/>
        </w:rPr>
        <w:lastRenderedPageBreak/>
        <w:t>物证券在基金托管人保管期间的损坏、灭失，由此产生的责任应由基金托管人承担。基金托管人对基金托管人以外机构实际有效控制的证券不承担保管责任。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本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不低于法律法规规定的最低期限。对于无法取得二份以上的正本的，基金管理人应向基金托管人提供加盖授权业务章的合同传真件，未经双方协商或未在合同约定范围内，合同原件不得转移，由基金管理人保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（五）基金资产净值计算和会计核算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各类基金份额的基金份额净值是指按照每个工作日闭市后，该类基金份额的基金资产净值除以当日该类基金份额的余额数量计算，精确到0.0001元，小数点后第5位四舍五入。基金管理人可以设立大额赎回情形下的净值精度应急调整机制，具体可参见相关公告。国家另有规定的，从其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估值日对各类基金份额的基金资产估值，但基金管理人根据法律法规或基金合同的规定暂停估值时除外。估值原则应符合基金合同及相关法律、法规的规定。各类基金份额的基金资产净值和基金份额净值由基金管理人负责计算，基金托管人复核。基金管理人应于每个估值日交易结束后计算当日的各类基金份额净值并以双方认可的方式发送给基金托管人。基金托管人对净值计算结果复核后以双方认可的方式发送给基金管理人，由基金管理人依据基金合同和相关法律法规的规定对基金净值予以公布。月末、年中和年末估值复核与基金会计账目的核对同时进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根据《基金法》，基金管理人计算并公告各类基金份额的基金资产净值，基金托管人复核、审查基金管理人计算的基金资产净值。因此，本基金的会计责任方是</w:t>
      </w:r>
      <w:r>
        <w:rPr>
          <w:rFonts w:ascii="宋体" w:hAnsi="宋体"/>
          <w:sz w:val="24"/>
        </w:rPr>
        <w:lastRenderedPageBreak/>
        <w:t>基金管理人，就与本基金有关的会计问题，如经相关各方在平等基础上充分讨论后，仍无法达成一致的意见，按照基金管理人对基金净值信息的计算结果对外予以公布。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（2）估值原则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（3）估值方法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①交易所上市的有价证券，以其估值日在证券交易所挂牌的市价（收盘价）估</w:t>
      </w:r>
      <w:r>
        <w:rPr>
          <w:rFonts w:ascii="宋体" w:hAnsi="宋体"/>
          <w:sz w:val="24"/>
        </w:rPr>
        <w:lastRenderedPageBreak/>
        <w:t>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②交易所上市交易或挂牌转让的固定收益品种（另有规定的除外），选取估值日第三方估值机构提供的相应品种当日的估值净价进行估值；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④交易所上市实行全价交易的债券（可转债除外），选取第三方估值机构提供的估值全价减去估值全价中所含的债券（税后）应收利息得到的净价进行估值；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⑤交易所上市不存在活跃市场的有价证券，采用估值技术确定公允价值。交易所市场挂牌转让的资产支持证券，采用估值技术确定公允价值；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①送股、转增股、配股和公开增发的新股，按估值日在证券交易所挂牌的同一股票的估值方法估值；该日无交易的，以最近一日的市价（收盘价）估值；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②首次公开发行未上市的股票和债券，采用估值技术确定公允价值，在估值技术难以可靠计量公允价值的情况下，按成本估值；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w:t>
      </w:r>
      <w:r>
        <w:rPr>
          <w:rFonts w:ascii="宋体" w:hAnsi="宋体"/>
          <w:sz w:val="24"/>
        </w:rPr>
        <w:lastRenderedPageBreak/>
        <w:t>行业协会有关规定确定公允价值。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5）估值计算中涉及港币对人民币汇率的，将依据下列信息提供机构所提供的汇率为基准：当日中国人民银行或其授权机构公布的人民币与港币的中间价。</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6）对于因税收规定调整或其他原因导致产品实际交纳税金与估算的应交税金有差异的，产品将在相关税金调整日或实际支付日进行相应的会计处理。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7）本基金投资存托凭证的估值核算依照境内上市交易的股票执行。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8）如有确凿证据表明按上述方法进行估值不能客观反映其公允价值的，基金管理人可根据具体情况与基金托管人商定后，按最能反映公允价值的价格估值。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9）当发生大额申购或赎回情形时，基金管理人可以采用摆动定价机制，以确保基金估值的公平性。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10）相关法律法规以及监管部门有强制规定的，从其规定。如有新增事项，按国家最新规定估值。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基金管理人计算的基金资产净值、基金份额净值已由基金托管人复核确认后公告的，由此造成的投资人或基金的损失，应根据法律法规的规定对投资人或基金支付赔偿金，就实际向投资人或基金支付的赔偿金额，基金管理人与基金托管人按照过错程度各自承担相应的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基金管理人或基金托管人按估值方法的第8）项进行估值的，所造成的误差不作为基金资产估值错误处理。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估值错误责任方追偿。</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w:t>
      </w:r>
      <w:r>
        <w:rPr>
          <w:rFonts w:ascii="宋体" w:hAnsi="宋体"/>
          <w:sz w:val="24"/>
        </w:rPr>
        <w:lastRenderedPageBreak/>
        <w:t>明原因并纠正，保证相关各方平行登录的账册记录完全相符。若当日核对不符，暂时无法查找到错账的原因而影响到基金净值信息的计算和公告的，以基金管理人的账册为准。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5、基金定期报告、招募说明书、基金产品资料概要的编制和复核</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基金财务报表由基金管理人和基金托管人每月分别独立编制。月度报表的编制，应于每月终了后5个工作日内完成。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季度结束之日起15个工作日内完成季度报告编制并公告；在上半年结束之日起两个月内完成中期报告编制并公告；在每年结束之日起三个月内完成年度报告编制并公告。基金合同生效不足2个月的，基金管理人可以不编制当期季度报告、中期报告或者年度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核对无误后，基金托管人在基金管理人提供的报告上加盖业务印鉴或者出具加盖托管业务部门公章的复核意见书，相关各方各自留存一份。</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基金托管人在对月度报表、季度、中期报告或年度报告复核完毕后，需盖章确认或出具相应的复核确认书，以备有权机构对相关文件审核时提示。</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w:t>
      </w:r>
      <w:r>
        <w:rPr>
          <w:rFonts w:ascii="宋体" w:hAnsi="宋体"/>
          <w:sz w:val="24"/>
        </w:rPr>
        <w:lastRenderedPageBreak/>
        <w:t>营业时；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7、实施侧袋机制期间的基金资产估值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基金管理人和基金托管人须分别妥善保管的基金份额持有人名册，基金份额持有人名册的内容必须包括基金份额持有人的名称和持有的基金份额。</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的登记机构根据基金管理人的指令编制和保管，基金管理人和基金托管人应按照目前相关规则分别保管基金份额持有人名册。保管方式可以采用电子或文档的形式。保管期限不低于法律法规规定的最低期限。</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不低于法律法规规定的最低期限。基金托管人不得将所保管的基金份额持有人名册用于基金托管业务以外的其他用途，并应遵守保密义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若基金管理人或基金托管人由于自身原因无法妥善保管基金份额持有人名册，应按有关法规规定各自承担相应的责任。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双方当事人均有约束力，除非仲裁裁决另有规定，仲裁费由败诉方承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争议处理期间，双方当事人应恪守基金管理人和基金托管人职责，继续忠实、勤勉、尽责地履行基金合同和托管协议规定的义务，维护基金份额持有人的合法权</w:t>
      </w:r>
      <w:r>
        <w:rPr>
          <w:rFonts w:ascii="宋体" w:hAnsi="宋体"/>
          <w:sz w:val="24"/>
        </w:rPr>
        <w:lastRenderedPageBreak/>
        <w:t>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（八）基金托管协议的变更、终止与基金财产的清算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1、托管协议的变更与终止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（1）基金财产的清算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①《基金合同》终止情形出现时，由基金财产清算小组统一接管基金；</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②对基金财产和债权债务进行清理和确认；</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③对基金财产进行估值和变现；</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④制作清算报告；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⑤聘请会计师事务所对清算报告进行外部审计，聘请律师事务所对清算报告出具法律意见书；</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⑥将清算报告报中国证监会备案并公告；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⑦对基金剩余财产进行分配。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（4）基金财产清算剩余资产的分配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6" w:name="_Toc240548899"/>
      <w:r>
        <w:rPr>
          <w:rFonts w:ascii="Times New Roman" w:hAnsi="Times New Roman"/>
          <w:sz w:val="30"/>
        </w:rPr>
        <w:lastRenderedPageBreak/>
        <w:t>二十三、对基金份额持有人的服务</w:t>
      </w:r>
      <w:bookmarkEnd w:id="26"/>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A类基金份额和C类基金份额的申购、赎回、转换、定期定额投资等业务。通过网上直销交易平台办理本基金A类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（四）基金转换业务</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7" w:name="_Toc240548900"/>
      <w:r>
        <w:rPr>
          <w:rFonts w:ascii="Times New Roman" w:hAnsi="Times New Roman"/>
          <w:sz w:val="30"/>
        </w:rPr>
        <w:lastRenderedPageBreak/>
        <w:t>二十四、其他应披露事项</w:t>
      </w:r>
      <w:bookmarkEnd w:id="27"/>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747F9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交银施罗德悦信精选混合型证券投资基金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747F95" w:rsidRDefault="00437F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8" w:name="_Toc240548901"/>
      <w:r>
        <w:rPr>
          <w:rFonts w:ascii="Times New Roman" w:hAnsi="Times New Roman"/>
          <w:sz w:val="30"/>
        </w:rPr>
        <w:lastRenderedPageBreak/>
        <w:t>二十五、招募说明书的存放及查阅方式</w:t>
      </w:r>
      <w:bookmarkEnd w:id="28"/>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37F4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747F95" w:rsidRDefault="00437F42">
      <w:pPr>
        <w:pStyle w:val="1"/>
        <w:snapToGrid w:val="0"/>
        <w:spacing w:beforeLines="0" w:before="240" w:after="240"/>
        <w:rPr>
          <w:rFonts w:ascii="宋体" w:hAnsi="宋体"/>
          <w:szCs w:val="30"/>
        </w:rPr>
      </w:pPr>
      <w:bookmarkStart w:id="29" w:name="_Toc240548902"/>
      <w:r>
        <w:rPr>
          <w:rFonts w:ascii="Times New Roman" w:hAnsi="Times New Roman"/>
          <w:sz w:val="30"/>
        </w:rPr>
        <w:lastRenderedPageBreak/>
        <w:t>二十六、备查文件</w:t>
      </w:r>
      <w:bookmarkEnd w:id="29"/>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（一）中国证监会准予交银施罗德悦信精选混合型证券投资基金募集注册的文件</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（二）《交银施罗德悦信精选混合型证券投资基金基金合同》</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（三）《交银施罗德悦信精选混合型证券投资基金托管协议》</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747F95" w:rsidRDefault="00437F4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（六）关于申请募集注册交银施罗德悦信精选混合型证券投资基金的法律意见书</w:t>
      </w:r>
    </w:p>
    <w:sectPr w:rsidR="00747F95">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5CF8" w:rsidRDefault="00437F42">
      <w:r>
        <w:separator/>
      </w:r>
    </w:p>
  </w:endnote>
  <w:endnote w:type="continuationSeparator" w:id="0">
    <w:p w:rsidR="005D5CF8" w:rsidRDefault="00437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747F9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6B2E6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747F95" w:rsidRDefault="00437F4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B2E66">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747F9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6B2E6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747F95" w:rsidRDefault="00437F4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6B2E66">
                  <w:rPr>
                    <w:rFonts w:ascii="Times New Roman" w:hAnsi="Times New Roman"/>
                    <w:noProof/>
                    <w:kern w:val="0"/>
                    <w:sz w:val="18"/>
                    <w:szCs w:val="18"/>
                  </w:rPr>
                  <w:t>162</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5CF8" w:rsidRDefault="00437F42">
      <w:r>
        <w:separator/>
      </w:r>
    </w:p>
  </w:footnote>
  <w:footnote w:type="continuationSeparator" w:id="0">
    <w:p w:rsidR="005D5CF8" w:rsidRDefault="00437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747F9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437F42">
    <w:pPr>
      <w:pStyle w:val="a3"/>
      <w:jc w:val="right"/>
      <w:rPr>
        <w:rFonts w:ascii="宋体" w:hAnsi="宋体"/>
      </w:rPr>
    </w:pPr>
    <w:r>
      <w:rPr>
        <w:rFonts w:ascii="宋体" w:hAnsi="宋体" w:hint="eastAsia"/>
      </w:rPr>
      <w:t>交银施罗德悦信精选混合型证券投资基金招募说明书更新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747F95">
    <w:pPr>
      <w:pStyle w:val="10"/>
      <w:jc w:val="right"/>
    </w:pPr>
  </w:p>
  <w:p w:rsidR="00747F95" w:rsidRDefault="00747F95">
    <w:pPr>
      <w:pStyle w:val="10"/>
      <w:jc w:val="right"/>
    </w:pPr>
  </w:p>
  <w:p w:rsidR="00747F95" w:rsidRDefault="00747F95">
    <w:pPr>
      <w:pStyle w:val="a3"/>
      <w:jc w:val="right"/>
    </w:pPr>
  </w:p>
  <w:p w:rsidR="00747F95" w:rsidRDefault="00437F42">
    <w:pPr>
      <w:pStyle w:val="a3"/>
      <w:jc w:val="right"/>
      <w:rPr>
        <w:rFonts w:ascii="宋体" w:hAnsi="宋体"/>
      </w:rPr>
    </w:pPr>
    <w:r>
      <w:rPr>
        <w:rFonts w:ascii="宋体" w:hAnsi="宋体" w:hint="eastAsia"/>
      </w:rPr>
      <w:t>交银施罗德悦信精选混合型证券投资基金招募说明书更新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F95" w:rsidRDefault="00747F95">
    <w:pPr>
      <w:pStyle w:val="a3"/>
      <w:jc w:val="right"/>
    </w:pPr>
  </w:p>
  <w:p w:rsidR="00747F95" w:rsidRDefault="00747F95">
    <w:pPr>
      <w:pStyle w:val="a3"/>
      <w:jc w:val="right"/>
    </w:pPr>
  </w:p>
  <w:p w:rsidR="00747F95" w:rsidRDefault="00747F95">
    <w:pPr>
      <w:pStyle w:val="a3"/>
      <w:jc w:val="right"/>
    </w:pPr>
  </w:p>
  <w:p w:rsidR="00747F95" w:rsidRDefault="00437F42">
    <w:pPr>
      <w:pStyle w:val="a3"/>
      <w:jc w:val="right"/>
      <w:rPr>
        <w:rFonts w:ascii="宋体" w:hAnsi="宋体"/>
      </w:rPr>
    </w:pPr>
    <w:r>
      <w:rPr>
        <w:rFonts w:ascii="宋体" w:hAnsi="宋体" w:hint="eastAsia"/>
      </w:rPr>
      <w:t>交银施罗德悦信精选混合型证券投资基金招募说明书更新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37F42"/>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2E66"/>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47F95"/>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73CEF055-8DC9-47BE-8808-BECA7A731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163</Pages>
  <Words>17384</Words>
  <Characters>99091</Characters>
  <Application>Microsoft Office Word</Application>
  <DocSecurity>0</DocSecurity>
  <Lines>825</Lines>
  <Paragraphs>232</Paragraphs>
  <ScaleCrop>false</ScaleCrop>
  <Company>Microsoft</Company>
  <LinksUpToDate>false</LinksUpToDate>
  <CharactersWithSpaces>116243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2026-09-17T06:47:00Z</dcterms:created>
  <dcterms:modified xsi:type="dcterms:W3CDTF">2026-09-17T06:47:00Z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