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交银施罗德内需增长一年持有期混合型证券投资基金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交银内需增长一年混合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010454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2020-12-11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韩威俊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2020-12-11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内需增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中证内地消费主题指数收益率×70%+恒生消费指数收益率×20%+中债-国债总财富（1-3年）指数收益率×10%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详见《交银施罗德内需增长一年持有期混合型证券投资基金招募说明书》“基金的投资”。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2、本基金合同于2020年12月11日生效，合同生效当年净值增长率按实际存续期计算；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本基金不收取赎回费。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（3）本基金投资于内需增长主题相关证券的比例不低于非现金基金资产的80%，因此本基金的股票投资业绩与本基金界定的“内需增长”主题覆盖的上市公司发行证券的相关性较大，需承担相应风险。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4）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5）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（6）基金合同提前终止风险。连续50个工作日出现基金份额持有人数量不满200人或者基金资产净值低于5000万元情形的，基金合同终止，不需召开基金份额持有人大会。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（7）本基金可投资创业板股票，创业板个股上市后的前五个交易日不设价格涨跌幅限制，第六个交易日开始涨跌幅限制比例为20%。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●《交银施罗德内需增长一年持有期混合型证券投资基金基金合同》、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《交银施罗德内需增长一年持有期混合型证券投资基金托管协议》、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《交银施罗德内需增长一年持有期混合型证券投资基金招募说明书》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237E3"/>
    <w:rsid w:val="00C0525C"/>
    <w:rsid w:val="00CD7637"/>
    <w:rsid w:val="00D04A15"/>
    <w:rsid w:val="00D373CC"/>
    <w:rsid w:val="00DB319C"/>
    <w:rsid w:val="00E51B6D"/>
    <w:rsid w:val="00F75715"/>
    <w:rsid w:val="00F811C4"/>
    <w:rsid w:val="00FC2918"/>
    <w:rsid w:val="7B1D43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826</Words>
  <Characters>4714</Characters>
  <Lines>39</Lines>
  <Paragraphs>11</Paragraphs>
  <TotalTime>1</TotalTime>
  <ScaleCrop>false</ScaleCrop>
  <LinksUpToDate>false</LinksUpToDate>
  <CharactersWithSpaces>5529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2026-09-17T02:41:00Z</dcterms:created>
  <dc:creator>Cc</dc:creator>
  <cp:lastModifiedBy>haotingting</cp:lastModifiedBy>
  <dcterms:modified xsi:type="dcterms:W3CDTF">2026-09-17T07:58:47Z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77D1F1D05F2E4E598C29776DFD300A12</vt:lpwstr>
  </property>
</Properties>
</file>