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交银施罗德养老目标日期2035三年持有期混合型基金中基金（FOF）（Y类份额）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交银养老2035三年Y</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017229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2020-04-29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2035年12月31日前，每个开放日开放申购，每份基金份额最短持有期限为三年，三年内不能提出赎回申请；2036年起，不再设置最短持有期。</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本基金为基金中基金，依照下滑曲线进行大类资产配置，力争实现养老资产的长期稳健增值，满足养老资金理财需求。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本基金持有的现金或者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1、大类资产配置；2、基金投资策略；3、股票投资策略；4、债券投资策略；5、资产支持证券投资策略；6、港股通标的股票投资策略；7、风险控制策略。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沪深300指数收益率×X+中债综合全价指数收益率×（1-X）</w:t>
            </w:r>
          </w:p>
          <w:p>
            <w:pPr>
              <w:ind w:firstLine="420"/>
              <w:jc w:val="left"/>
              <w:rPr>
                <w:rFonts w:ascii="仿宋_GB2312" w:eastAsia="仿宋_GB2312"/>
                <w:szCs w:val="21"/>
              </w:rPr>
            </w:pPr>
            <w:r>
              <w:rPr>
                <w:rFonts w:hint="eastAsia" w:ascii="仿宋_GB2312" w:eastAsia="仿宋_GB2312"/>
                <w:szCs w:val="21"/>
              </w:rPr>
              <w:t>其中X的取值如下表列示：</w:t>
            </w:r>
          </w:p>
          <w:p>
            <w:pPr>
              <w:ind w:firstLine="420"/>
              <w:jc w:val="left"/>
              <w:rPr>
                <w:rFonts w:ascii="仿宋_GB2312" w:eastAsia="仿宋_GB2312"/>
                <w:szCs w:val="21"/>
              </w:rPr>
            </w:pPr>
            <w:r>
              <w:rPr>
                <w:rFonts w:hint="eastAsia" w:ascii="仿宋_GB2312" w:eastAsia="仿宋_GB2312"/>
                <w:szCs w:val="21"/>
              </w:rPr>
              <w:t>年份                       X的取值</w:t>
            </w:r>
          </w:p>
          <w:p>
            <w:pPr>
              <w:ind w:firstLine="420"/>
              <w:jc w:val="left"/>
              <w:rPr>
                <w:rFonts w:ascii="仿宋_GB2312" w:eastAsia="仿宋_GB2312"/>
                <w:szCs w:val="21"/>
              </w:rPr>
            </w:pPr>
            <w:r>
              <w:rPr>
                <w:rFonts w:hint="eastAsia" w:ascii="仿宋_GB2312" w:eastAsia="仿宋_GB2312"/>
                <w:szCs w:val="21"/>
              </w:rPr>
              <w:t>基金合同生效之日至2020.12.31 53%</w:t>
            </w:r>
          </w:p>
          <w:p>
            <w:pPr>
              <w:ind w:firstLine="420"/>
              <w:jc w:val="left"/>
              <w:rPr>
                <w:rFonts w:ascii="仿宋_GB2312" w:eastAsia="仿宋_GB2312"/>
                <w:szCs w:val="21"/>
              </w:rPr>
            </w:pPr>
            <w:r>
              <w:rPr>
                <w:rFonts w:hint="eastAsia" w:ascii="仿宋_GB2312" w:eastAsia="仿宋_GB2312"/>
                <w:szCs w:val="21"/>
              </w:rPr>
              <w:t>2021.1.1-2023.12.31          46%</w:t>
            </w:r>
          </w:p>
          <w:p>
            <w:pPr>
              <w:ind w:firstLine="420"/>
              <w:jc w:val="left"/>
              <w:rPr>
                <w:rFonts w:ascii="仿宋_GB2312" w:eastAsia="仿宋_GB2312"/>
                <w:szCs w:val="21"/>
              </w:rPr>
            </w:pPr>
            <w:r>
              <w:rPr>
                <w:rFonts w:hint="eastAsia" w:ascii="仿宋_GB2312" w:eastAsia="仿宋_GB2312"/>
                <w:szCs w:val="21"/>
              </w:rPr>
              <w:t>2024.1.1-2026.12.31          39%</w:t>
            </w:r>
          </w:p>
          <w:p>
            <w:pPr>
              <w:ind w:firstLine="420"/>
              <w:jc w:val="left"/>
              <w:rPr>
                <w:rFonts w:ascii="仿宋_GB2312" w:eastAsia="仿宋_GB2312"/>
                <w:szCs w:val="21"/>
              </w:rPr>
            </w:pPr>
            <w:r>
              <w:rPr>
                <w:rFonts w:hint="eastAsia" w:ascii="仿宋_GB2312" w:eastAsia="仿宋_GB2312"/>
                <w:szCs w:val="21"/>
              </w:rPr>
              <w:t>2027.1.1-2029.12.31          35%</w:t>
            </w:r>
          </w:p>
          <w:p>
            <w:pPr>
              <w:ind w:firstLine="420"/>
              <w:jc w:val="left"/>
              <w:rPr>
                <w:rFonts w:ascii="仿宋_GB2312" w:eastAsia="仿宋_GB2312"/>
                <w:szCs w:val="21"/>
              </w:rPr>
            </w:pPr>
            <w:r>
              <w:rPr>
                <w:rFonts w:hint="eastAsia" w:ascii="仿宋_GB2312" w:eastAsia="仿宋_GB2312"/>
                <w:szCs w:val="21"/>
              </w:rPr>
              <w:t>2030.1.1-2032.12.31          32%</w:t>
            </w:r>
          </w:p>
          <w:p>
            <w:pPr>
              <w:ind w:firstLine="420"/>
              <w:jc w:val="left"/>
              <w:rPr>
                <w:rFonts w:ascii="仿宋_GB2312" w:eastAsia="仿宋_GB2312"/>
                <w:szCs w:val="21"/>
              </w:rPr>
            </w:pPr>
            <w:r>
              <w:rPr>
                <w:rFonts w:hint="eastAsia" w:ascii="仿宋_GB2312" w:eastAsia="仿宋_GB2312"/>
                <w:szCs w:val="21"/>
              </w:rPr>
              <w:t>2033.1.1-2035.12.31          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详见《交银施罗德养老目标日期2035三年持有期混合型基金中基金(FOF)招募说明书》第九部分“基金的投资”。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2、本基金自2022年11月11日起，增加Y类份额，基金份额类别首次确认当年净值增长率按实际存续期计算。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本基金不收取赎回费。其中，对于不受最短持有期限制的红利再投资所得基金份额，对持续持有期少于7日的投资者收取1.5%的赎回费，并全额计入基金财产。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Y类基金份额可对基金管理费和基金托管费实施一定的费率优惠，具体优惠请参看招募说明书或相关公告。3、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0.56%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目标日期前，本基金设置基金份额持有人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到达目标日期（2035年12月31日）后2036年第一个工作日，本基金转型为“交银施罗德债基优选债券型基金中基金（FOF）”，不再设置最短持有期，基金管理人将根据转型后基金合同的约定在开放日办理基金份额的申购和赎回。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5）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6）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7）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（8）本基金为基金中基金，本基金可投资于商品基金，因此将间接承担商品基金可能面临的商品价格波动风险、投资商品期货合约的风险、盯市风险等商品投资风险。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（9）本基金可投资港股通标的股票，会面临港股通机制下因投资环境、投资标的、市场制度以及交易规则等差异带来的特有风险，具体如下：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连续五十个工作日出现基金份额持有人数量不满200人或基金资产净值低于5000万元情形时，基金管理人提前终止《基金合同》，不需召开基金份额持有人大会。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448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BB23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1000</Words>
  <Characters>5700</Characters>
  <Lines>47</Lines>
  <Paragraphs>13</Paragraphs>
  <TotalTime>0</TotalTime>
  <ScaleCrop>false</ScaleCrop>
  <LinksUpToDate>false</LinksUpToDate>
  <CharactersWithSpaces>6687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2026-09-07T06:26:00Z</dcterms:created>
  <dc:creator>Cc</dc:creator>
  <cp:lastModifiedBy>haotingting</cp:lastModifiedBy>
  <dcterms:modified xsi:type="dcterms:W3CDTF">2026-09-07T07:06:10Z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7D4792C8EFDF4B2A90712BFF1594B0A3</vt:lpwstr>
  </property>
</Properties>
</file>