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交银施罗德安悦平衡养老目标三年持有期混合型发起式基金中基金（FOF）（Y类份额）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交银安悦平衡养老三年持有期混合发起（FOF）Y</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023459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2024-02-05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本基金为基金中基金，在保持基金资产良好的流动性的前提下，力争实现基金资产的长期增值，满足养老资金理财需求。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本基金投资于权益类资产包括股票（含存托凭证）、股票型基金（包括股票指数基金）、混合型基金的战略配置目标比例为50%，投资比例为基金资产的35%-60%。</w:t>
            </w:r>
          </w:p>
          <w:p>
            <w:pPr>
              <w:ind w:firstLine="420"/>
              <w:jc w:val="left"/>
              <w:rPr>
                <w:rFonts w:ascii="仿宋_GB2312" w:eastAsia="仿宋_GB2312"/>
                <w:szCs w:val="21"/>
              </w:rPr>
            </w:pPr>
            <w:r>
              <w:rPr>
                <w:rFonts w:hint="eastAsia" w:ascii="仿宋_GB2312" w:eastAsia="仿宋_GB2312"/>
                <w:szCs w:val="21"/>
              </w:rPr>
              <w:t>计入上述权益类资产的混合型基金需符合下列两个条件之一：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1、基金合同中约定股票投资占基金资产的比例不低于60%的混合型基金；</w:t>
            </w:r>
          </w:p>
          <w:p>
            <w:pPr>
              <w:ind w:firstLine="420"/>
              <w:jc w:val="left"/>
              <w:rPr>
                <w:rFonts w:ascii="仿宋_GB2312" w:eastAsia="仿宋_GB2312"/>
                <w:szCs w:val="21"/>
              </w:rPr>
            </w:pPr>
            <w:r>
              <w:rPr>
                <w:rFonts w:hint="eastAsia" w:ascii="仿宋_GB2312" w:eastAsia="仿宋_GB2312"/>
                <w:szCs w:val="21"/>
              </w:rPr>
              <w:t>2、最近四个季度披露的股票投资占基金资产的比例均不低于60%的混合型基金。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48%×中证偏股型基金指数收益率+2%×恒生指数收益率+50%×中债综合全价指数收益率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详见《交银施罗德安悦平衡养老目标三年持有期混合型发起式基金中基金（FOF）招募说明书》第九部分“基金的投资”。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500万元≤M＜1000万元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0.075%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Y类基金份额可对基金管理费和基金托管费实施一定的费率优惠，具体优惠请参看招募说明书或相关公告。2、本基金基金财产中持有的基金管理人自身管理的基金部分不收取管理费；持有的基金托管人自身托管的基金部分不收取托管费。3、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0.63%</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定位为平衡型目标风险策略基金，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（7）本基金为基金中基金，本基金可投资于商品基金，因此将间接承担商品基金可能面临的商品价格波动风险、投资商品期货合约的风险、盯市风险等商品投资风险。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8）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10）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hint="eastAsia" w:ascii="仿宋_GB2312" w:eastAsia="仿宋_GB2312"/>
          <w:szCs w:val="21"/>
        </w:rPr>
        <w:t>《基金合同》生效三年后继续存续的，基金存续期内，连续50个工作日出现基金份额持有人数量不满200人或基金资产净值低于5000万元情形时，基金合同终止，不需召开基金份额持有人大会。投资者可能面临基金合同提前终止的风险。</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●《交银施罗德安悦平衡养老目标三年持有期混合型发起式基金中基金（FOF）基金合同》、</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《交银施罗德安悦平衡养老目标三年持有期混合型发起式基金中基金（FOF）托管协议》、</w:t>
      </w:r>
    </w:p>
    <w:p>
      <w:pPr>
        <w:ind w:firstLine="420"/>
        <w:jc w:val="left"/>
        <w:rPr>
          <w:rFonts w:ascii="仿宋_GB2312" w:eastAsia="仿宋_GB2312"/>
          <w:szCs w:val="21"/>
        </w:rPr>
      </w:pPr>
      <w:r>
        <w:rPr>
          <w:rFonts w:hint="eastAsia" w:ascii="仿宋_GB2312" w:eastAsia="仿宋_GB2312"/>
          <w:szCs w:val="21"/>
        </w:rPr>
        <w:t>《交银施罗德安悦平衡养老目标三年持有期混合型发起式基金中基金（FOF）招募说明书》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415E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05F0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996</Words>
  <Characters>5682</Characters>
  <Lines>47</Lines>
  <Paragraphs>13</Paragraphs>
  <TotalTime>0</TotalTime>
  <ScaleCrop>false</ScaleCrop>
  <LinksUpToDate>false</LinksUpToDate>
  <CharactersWithSpaces>6665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2026-09-07T07:12:00Z</dcterms:created>
  <dc:creator>Cc</dc:creator>
  <cp:lastModifiedBy>haotingting</cp:lastModifiedBy>
  <dcterms:modified xsi:type="dcterms:W3CDTF">2026-09-07T07:13:29Z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F6C52929C97841DEBD1889BF863706C6</vt:lpwstr>
  </property>
</Properties>
</file>