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交银施罗德安悦平衡养老目标三年持有期混合型发起式基金中基金（FOF）（A类份额）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交银安悦平衡养老三年持有期混合发起（FOF）A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010910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2024-02-05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本基金为基金中基金，在保持基金资产良好的流动性的前提下，力争实现基金资产的长期增值，满足养老资金理财需求。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本基金投资于权益类资产包括股票（含存托凭证）、股票型基金（包括股票指数基金）、混合型基金的战略配置目标比例为50%，投资比例为基金资产的35%-60%。</w:t>
            </w:r>
          </w:p>
          <w:p>
            <w:pPr>
              <w:ind w:firstLine="420"/>
              <w:jc w:val="left"/>
              <w:rPr>
                <w:rFonts w:ascii="仿宋_GB2312" w:eastAsia="仿宋_GB2312"/>
                <w:szCs w:val="21"/>
              </w:rPr>
            </w:pPr>
            <w:r>
              <w:rPr>
                <w:rFonts w:hint="eastAsia" w:ascii="仿宋_GB2312" w:eastAsia="仿宋_GB2312"/>
                <w:szCs w:val="21"/>
              </w:rPr>
              <w:t>计入上述权益类资产的混合型基金需符合下列两个条件之一：</w:t>
            </w:r>
          </w:p>
          <w:p>
            <w:pPr>
              <w:ind w:firstLine="420"/>
              <w:jc w:val="left"/>
              <w:rPr>
                <w:rFonts w:ascii="仿宋_GB2312" w:eastAsia="仿宋_GB2312"/>
                <w:szCs w:val="21"/>
              </w:rPr>
            </w:pPr>
            <w:r>
              <w:rPr>
                <w:rFonts w:hint="eastAsia" w:ascii="仿宋_GB2312" w:eastAsia="仿宋_GB2312"/>
                <w:szCs w:val="21"/>
              </w:rPr>
              <w:t>1、基金合同中约定股票投资占基金资产的比例不低于60%的混合型基金；</w:t>
            </w:r>
          </w:p>
          <w:p>
            <w:pPr>
              <w:ind w:firstLine="420"/>
              <w:jc w:val="left"/>
              <w:rPr>
                <w:rFonts w:ascii="仿宋_GB2312" w:eastAsia="仿宋_GB2312"/>
                <w:szCs w:val="21"/>
              </w:rPr>
            </w:pPr>
            <w:r>
              <w:rPr>
                <w:rFonts w:hint="eastAsia" w:ascii="仿宋_GB2312" w:eastAsia="仿宋_GB2312"/>
                <w:szCs w:val="21"/>
              </w:rPr>
              <w:t>2、最近四个季度披露的股票投资占基金资产的比例均不低于60%的混合型基金。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本基金投资策略主要分为以下七个部分：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1、大类资产配置；2、基金投资策略；3、股票投资策略；4、港股通标的股票投资策略；5、债券投资策略；6、资产支持证券投资策略；7、风险控制策略。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48%×中证偏股型基金指数收益率+2%×恒生指数收益率+50%×中债综合全价指数收益率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详见《交银施罗德安悦平衡养老目标三年持有期混合型发起式基金中基金（FOF）招募说明书》第九部分“基金的投资”。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2、本基金合同于于2024年2月5日生效，合同生效当年净值增长率按实际存续期计算。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500万元≤M＜1000万元</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三年，最短持有期限届满后，本基金不收取赎回费。其中，对于不受最短持有期限制的红利再投资所得基金份额，对持续持有期少于7日的投资者收取1.5%的赎回费，并全额计入基金财产。2、本基金管理人对非个人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本基金尚未披露基金年报，暂不披露该内容。</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（1）本基金为养老目标基金，致力于满足投资者的养老资金理财需求，但养老目标基金并不代表收益保障或其他任何形式的收益承诺。本基金非保本产品，存在投资者承担亏损的可能性。</w:t>
      </w:r>
    </w:p>
    <w:p>
      <w:pPr>
        <w:ind w:firstLine="420"/>
        <w:jc w:val="left"/>
        <w:rPr>
          <w:rFonts w:ascii="仿宋_GB2312" w:eastAsia="仿宋_GB2312"/>
          <w:szCs w:val="21"/>
        </w:rPr>
      </w:pPr>
      <w:r>
        <w:rPr>
          <w:rFonts w:hint="eastAsia" w:ascii="仿宋_GB2312" w:eastAsia="仿宋_GB2312"/>
          <w:szCs w:val="21"/>
        </w:rPr>
        <w:t>（2）本基金定位为平衡型目标风险策略基金，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5）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6）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（7）本基金为基金中基金，本基金可投资于商品基金，因此将间接承担商品基金可能面临的商品价格波动风险、投资商品期货合约的风险、盯市风险等商品投资风险。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8）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pPr>
        <w:ind w:firstLine="420"/>
        <w:jc w:val="left"/>
        <w:rPr>
          <w:rFonts w:ascii="仿宋_GB2312" w:eastAsia="仿宋_GB2312"/>
          <w:szCs w:val="21"/>
        </w:rPr>
      </w:pPr>
      <w:r>
        <w:rPr>
          <w:rFonts w:hint="eastAsia" w:ascii="仿宋_GB2312" w:eastAsia="仿宋_GB2312"/>
          <w:szCs w:val="21"/>
        </w:rPr>
        <w:t>（9）本基金可投资创业板股票，创业板个股上市后的前五个交易日不设价格涨跌幅限制，第六个交易日开始涨跌幅限制比例为20%。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hint="eastAsia" w:ascii="仿宋_GB2312" w:eastAsia="仿宋_GB2312"/>
          <w:szCs w:val="21"/>
        </w:rPr>
        <w:t>《基金合同》生效三年后继续存续的，基金存续期内，连续50个工作日出现基金份额持有人数量不满200人或基金资产净值低于5000万元情形时，基金合同终止，不需召开基金份额持有人大会。投资者可能面临基金合同提前终止的风险。</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13、其他风险</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●《交银施罗德安悦平衡养老目标三年持有期混合型发起式基金中基金（FOF）基金合同》、</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《交银施罗德安悦平衡养老目标三年持有期混合型发起式基金中基金（FOF）托管协议》、</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8D105F"/>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B992E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982</Words>
  <Characters>5604</Characters>
  <Lines>46</Lines>
  <Paragraphs>13</Paragraphs>
  <TotalTime>3</TotalTime>
  <ScaleCrop>false</ScaleCrop>
  <LinksUpToDate>false</LinksUpToDate>
  <CharactersWithSpaces>6573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2026-09-07T06:26:00Z</dcterms:created>
  <dc:creator>Cc</dc:creator>
  <cp:lastModifiedBy>haotingting</cp:lastModifiedBy>
  <dcterms:modified xsi:type="dcterms:W3CDTF">2026-09-07T06:42:08Z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4BA5D48FCFAB43C586D6B4237411C44C</vt:lpwstr>
  </property>
</Properties>
</file>