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C27F82">
      <w:pPr>
        <w:rPr>
          <w:sz w:val="32"/>
        </w:rPr>
      </w:pPr>
    </w:p>
    <w:p w:rsidR="00C92FC0" w:rsidRPr="00EB07BC" w:rsidRDefault="00C27F82">
      <w:pPr>
        <w:rPr>
          <w:sz w:val="32"/>
        </w:rPr>
      </w:pPr>
    </w:p>
    <w:p w:rsidR="00C92FC0" w:rsidRPr="00EB07BC" w:rsidRDefault="00C27F82">
      <w:pPr>
        <w:rPr>
          <w:sz w:val="32"/>
        </w:rPr>
      </w:pPr>
    </w:p>
    <w:p w:rsidR="005E553A" w:rsidRDefault="005E553A">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5E553A" w:rsidRDefault="005E553A">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5E553A" w:rsidRDefault="005E553A">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5E553A" w:rsidRDefault="007A645A">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交银施罗德养老目标日期</w:t>
      </w:r>
      <w:r>
        <w:rPr>
          <w:rFonts w:ascii="Times New Roman" w:hAnsi="Times New Roman"/>
          <w:b/>
          <w:spacing w:val="2"/>
          <w:w w:val="99"/>
          <w:kern w:val="0"/>
          <w:position w:val="-4"/>
          <w:sz w:val="44"/>
          <w:szCs w:val="44"/>
        </w:rPr>
        <w:t>2035</w:t>
      </w:r>
      <w:r>
        <w:rPr>
          <w:rFonts w:ascii="Times New Roman" w:hAnsi="Times New Roman"/>
          <w:b/>
          <w:spacing w:val="2"/>
          <w:w w:val="99"/>
          <w:kern w:val="0"/>
          <w:position w:val="-4"/>
          <w:sz w:val="44"/>
          <w:szCs w:val="44"/>
        </w:rPr>
        <w:t>三年持有期混合型基金中基金（</w:t>
      </w:r>
      <w:r>
        <w:rPr>
          <w:rFonts w:ascii="Times New Roman" w:hAnsi="Times New Roman"/>
          <w:b/>
          <w:spacing w:val="2"/>
          <w:w w:val="99"/>
          <w:kern w:val="0"/>
          <w:position w:val="-4"/>
          <w:sz w:val="44"/>
          <w:szCs w:val="44"/>
        </w:rPr>
        <w:t>FOF</w:t>
      </w:r>
      <w:r>
        <w:rPr>
          <w:rFonts w:ascii="Times New Roman" w:hAnsi="Times New Roman"/>
          <w:b/>
          <w:spacing w:val="2"/>
          <w:w w:val="99"/>
          <w:kern w:val="0"/>
          <w:position w:val="-4"/>
          <w:sz w:val="44"/>
          <w:szCs w:val="44"/>
        </w:rPr>
        <w:t>）</w:t>
      </w:r>
    </w:p>
    <w:p w:rsidR="005E553A" w:rsidRDefault="007A645A">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5E553A" w:rsidRDefault="005E553A">
      <w:pPr>
        <w:snapToGrid w:val="0"/>
        <w:spacing w:line="360" w:lineRule="auto"/>
        <w:jc w:val="center"/>
        <w:rPr>
          <w:rFonts w:ascii="宋体" w:hAnsi="宋体"/>
          <w:b/>
          <w:sz w:val="30"/>
          <w:szCs w:val="30"/>
        </w:rPr>
      </w:pPr>
    </w:p>
    <w:p w:rsidR="005E553A" w:rsidRDefault="005E553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E553A" w:rsidRDefault="005E553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E553A" w:rsidRDefault="005E553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E553A" w:rsidRDefault="005E553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E553A" w:rsidRDefault="005E553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E553A" w:rsidRDefault="005E553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E553A" w:rsidRDefault="007A645A">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5E553A" w:rsidRDefault="007A645A">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基金托管人：中信银行股份有限公司</w:t>
      </w:r>
    </w:p>
    <w:p w:rsidR="005E553A" w:rsidRDefault="005E553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E553A" w:rsidRDefault="005E553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E553A" w:rsidRDefault="007A645A">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二〇二六年九月</w:t>
      </w:r>
    </w:p>
    <w:p w:rsidR="005E553A" w:rsidRDefault="005E553A">
      <w:pPr>
        <w:autoSpaceDE w:val="0"/>
        <w:autoSpaceDN w:val="0"/>
        <w:adjustRightInd w:val="0"/>
        <w:snapToGrid w:val="0"/>
        <w:spacing w:line="360" w:lineRule="auto"/>
        <w:ind w:left="1347" w:rightChars="6" w:right="13"/>
        <w:rPr>
          <w:rFonts w:ascii="宋体" w:hAnsi="宋体"/>
          <w:kern w:val="0"/>
          <w:sz w:val="32"/>
          <w:szCs w:val="32"/>
        </w:rPr>
        <w:sectPr w:rsidR="005E553A">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5E553A" w:rsidRDefault="007A645A">
      <w:pPr>
        <w:pStyle w:val="1"/>
        <w:snapToGrid w:val="0"/>
        <w:spacing w:beforeLines="0" w:before="240" w:after="240"/>
        <w:rPr>
          <w:rFonts w:ascii="宋体" w:hAnsi="宋体"/>
          <w:kern w:val="0"/>
        </w:rPr>
      </w:pPr>
      <w:bookmarkStart w:id="0" w:name="_Toc324920538"/>
      <w:bookmarkStart w:id="1" w:name="_Toc496884613"/>
      <w:bookmarkStart w:id="2" w:name="_Toc239686219"/>
      <w:r>
        <w:rPr>
          <w:rFonts w:ascii="Times New Roman" w:hAnsi="Times New Roman"/>
          <w:kern w:val="0"/>
        </w:rPr>
        <w:lastRenderedPageBreak/>
        <w:t>重要提示</w:t>
      </w:r>
      <w:bookmarkEnd w:id="0"/>
      <w:bookmarkEnd w:id="1"/>
      <w:bookmarkEnd w:id="2"/>
    </w:p>
    <w:p w:rsidR="005E553A" w:rsidRDefault="007A645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交银施罗德养老目标日期</w:t>
      </w:r>
      <w:r>
        <w:rPr>
          <w:rFonts w:ascii="Times New Roman" w:hAnsi="Times New Roman"/>
          <w:kern w:val="0"/>
          <w:sz w:val="24"/>
        </w:rPr>
        <w:t>2035</w:t>
      </w:r>
      <w:r>
        <w:rPr>
          <w:rFonts w:ascii="Times New Roman" w:hAnsi="Times New Roman"/>
          <w:kern w:val="0"/>
          <w:sz w:val="24"/>
        </w:rPr>
        <w:t>三年持有期混合型基金中基金（</w:t>
      </w:r>
      <w:r>
        <w:rPr>
          <w:rFonts w:ascii="Times New Roman" w:hAnsi="Times New Roman"/>
          <w:kern w:val="0"/>
          <w:sz w:val="24"/>
        </w:rPr>
        <w:t>FOF</w:t>
      </w:r>
      <w:r>
        <w:rPr>
          <w:rFonts w:ascii="Times New Roman" w:hAnsi="Times New Roman"/>
          <w:kern w:val="0"/>
          <w:sz w:val="24"/>
        </w:rPr>
        <w:t>）（以下简称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2019</w:t>
      </w:r>
      <w:r>
        <w:rPr>
          <w:rFonts w:ascii="Times New Roman" w:hAnsi="Times New Roman"/>
          <w:kern w:val="0"/>
          <w:sz w:val="24"/>
        </w:rPr>
        <w:t>年</w:t>
      </w:r>
      <w:r>
        <w:rPr>
          <w:rFonts w:ascii="Times New Roman" w:hAnsi="Times New Roman"/>
          <w:kern w:val="0"/>
          <w:sz w:val="24"/>
        </w:rPr>
        <w:t>11</w:t>
      </w:r>
      <w:r>
        <w:rPr>
          <w:rFonts w:ascii="Times New Roman" w:hAnsi="Times New Roman"/>
          <w:kern w:val="0"/>
          <w:sz w:val="24"/>
        </w:rPr>
        <w:t>月</w:t>
      </w:r>
      <w:r>
        <w:rPr>
          <w:rFonts w:ascii="Times New Roman" w:hAnsi="Times New Roman"/>
          <w:kern w:val="0"/>
          <w:sz w:val="24"/>
        </w:rPr>
        <w:t>26</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2019</w:t>
      </w:r>
      <w:r>
        <w:rPr>
          <w:rFonts w:ascii="Times New Roman" w:hAnsi="Times New Roman"/>
          <w:kern w:val="0"/>
          <w:sz w:val="24"/>
        </w:rPr>
        <w:t>】</w:t>
      </w:r>
      <w:r>
        <w:rPr>
          <w:rFonts w:ascii="Times New Roman" w:hAnsi="Times New Roman"/>
          <w:kern w:val="0"/>
          <w:sz w:val="24"/>
        </w:rPr>
        <w:t>2546</w:t>
      </w:r>
      <w:r>
        <w:rPr>
          <w:rFonts w:ascii="Times New Roman" w:hAnsi="Times New Roman"/>
          <w:kern w:val="0"/>
          <w:sz w:val="24"/>
        </w:rPr>
        <w:t>号文准予募集注册。本基金基金合同于</w:t>
      </w:r>
      <w:r>
        <w:rPr>
          <w:rFonts w:ascii="Times New Roman" w:hAnsi="Times New Roman"/>
          <w:kern w:val="0"/>
          <w:sz w:val="24"/>
        </w:rPr>
        <w:t>2020</w:t>
      </w:r>
      <w:r>
        <w:rPr>
          <w:rFonts w:ascii="Times New Roman" w:hAnsi="Times New Roman"/>
          <w:kern w:val="0"/>
          <w:sz w:val="24"/>
        </w:rPr>
        <w:t>年</w:t>
      </w:r>
      <w:r>
        <w:rPr>
          <w:rFonts w:ascii="Times New Roman" w:hAnsi="Times New Roman"/>
          <w:kern w:val="0"/>
          <w:sz w:val="24"/>
        </w:rPr>
        <w:t>4</w:t>
      </w:r>
      <w:r>
        <w:rPr>
          <w:rFonts w:ascii="Times New Roman" w:hAnsi="Times New Roman"/>
          <w:kern w:val="0"/>
          <w:sz w:val="24"/>
        </w:rPr>
        <w:t>月</w:t>
      </w:r>
      <w:r>
        <w:rPr>
          <w:rFonts w:ascii="Times New Roman" w:hAnsi="Times New Roman"/>
          <w:kern w:val="0"/>
          <w:sz w:val="24"/>
        </w:rPr>
        <w:t>29</w:t>
      </w:r>
      <w:r>
        <w:rPr>
          <w:rFonts w:ascii="Times New Roman" w:hAnsi="Times New Roman"/>
          <w:kern w:val="0"/>
          <w:sz w:val="24"/>
        </w:rPr>
        <w:t>日正式生效。</w:t>
      </w:r>
    </w:p>
    <w:p w:rsidR="005E553A" w:rsidRDefault="007A645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中国证监会不对基金的投资价值及市场前景等作出实质性判断或者保证。</w:t>
      </w:r>
    </w:p>
    <w:p w:rsidR="005E553A" w:rsidRDefault="007A645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5E553A" w:rsidRDefault="007A645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本基金为基金中基金，由于本基金主要投资于经中国证监会依法核准或注册的公开募集证券投资基金的基金份额，投资本基金可能遇到的风险包括：因受到经济因素、政治因素、投资心理和交易制度等各种因素的影响而引起的市场风险；基金管理人在基金管理运作过程中产生的基金管理风险；流动性风险；信用风险；基金中基金的特有风险；投资资产支持证券的特定风险；投资流通受限证券的特定风险；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管理人提前终止基金合同的风险；投资科创板股票的特定风险；投资本基金的其他风险等等。本基金为混合型基金中基金，由于本基金主要投资于公开募集证券投资基金的基金份额，持有基金的预期风险和预期收益间接成为本基金的预期风险和预期收益。本基金的预期风险与预期收益高于债券型基金、债券型基金中基金、货币市场基金和货币型基金中基金，低于股票型基金和股票型基金中基金。</w:t>
      </w:r>
    </w:p>
    <w:p w:rsidR="005E553A" w:rsidRDefault="007A645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本基金为养老目标基金，致力于满足投资者的养老资金理财需求，但养老目标基金并不代表收益保障或其他任何形式的收益承诺。本基金非保本产品，存在</w:t>
      </w:r>
      <w:r>
        <w:rPr>
          <w:rFonts w:ascii="Times New Roman" w:hAnsi="Times New Roman"/>
          <w:kern w:val="0"/>
          <w:sz w:val="24"/>
        </w:rPr>
        <w:lastRenderedPageBreak/>
        <w:t>投资者承担亏损的可能性。</w:t>
      </w:r>
    </w:p>
    <w:p w:rsidR="005E553A" w:rsidRDefault="007A645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目标日期前，本基金设置基金份额持有人最短持有期限。基金份额持有人持有的每份基金份额最短持有期限为三年，在最短持有期限内该份基金份额不可赎回，自最短持有期限的下一工作日起（含该日）可赎回。对于每笔认购的基金份额而言，最短持有期限自基金合同生效之日起（含该日）至三年后的年度对日的前一日；对于每笔申购的基金份额而言，最短持有期限自该笔申购份额确认日（含该日，通常</w:t>
      </w:r>
      <w:r>
        <w:rPr>
          <w:rFonts w:ascii="Times New Roman" w:hAnsi="Times New Roman"/>
          <w:kern w:val="0"/>
          <w:sz w:val="24"/>
        </w:rPr>
        <w:t>T</w:t>
      </w:r>
      <w:r>
        <w:rPr>
          <w:rFonts w:ascii="Times New Roman" w:hAnsi="Times New Roman"/>
          <w:kern w:val="0"/>
          <w:sz w:val="24"/>
        </w:rPr>
        <w:t>日提交的有效申购申请于</w:t>
      </w:r>
      <w:r>
        <w:rPr>
          <w:rFonts w:ascii="Times New Roman" w:hAnsi="Times New Roman"/>
          <w:kern w:val="0"/>
          <w:sz w:val="24"/>
        </w:rPr>
        <w:t>T+3</w:t>
      </w:r>
      <w:r>
        <w:rPr>
          <w:rFonts w:ascii="Times New Roman" w:hAnsi="Times New Roman"/>
          <w:kern w:val="0"/>
          <w:sz w:val="24"/>
        </w:rPr>
        <w:t>日确认）至三年后的年度对日的前一日。</w:t>
      </w:r>
    </w:p>
    <w:p w:rsidR="005E553A" w:rsidRDefault="007A645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到达目标日期（</w:t>
      </w:r>
      <w:r>
        <w:rPr>
          <w:rFonts w:ascii="Times New Roman" w:hAnsi="Times New Roman"/>
          <w:kern w:val="0"/>
          <w:sz w:val="24"/>
        </w:rPr>
        <w:t>2035</w:t>
      </w:r>
      <w:r>
        <w:rPr>
          <w:rFonts w:ascii="Times New Roman" w:hAnsi="Times New Roman"/>
          <w:kern w:val="0"/>
          <w:sz w:val="24"/>
        </w:rPr>
        <w:t>年</w:t>
      </w:r>
      <w:r>
        <w:rPr>
          <w:rFonts w:ascii="Times New Roman" w:hAnsi="Times New Roman"/>
          <w:kern w:val="0"/>
          <w:sz w:val="24"/>
        </w:rPr>
        <w:t>12</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日）后</w:t>
      </w:r>
      <w:r>
        <w:rPr>
          <w:rFonts w:ascii="Times New Roman" w:hAnsi="Times New Roman"/>
          <w:kern w:val="0"/>
          <w:sz w:val="24"/>
        </w:rPr>
        <w:t>2036</w:t>
      </w:r>
      <w:r>
        <w:rPr>
          <w:rFonts w:ascii="Times New Roman" w:hAnsi="Times New Roman"/>
          <w:kern w:val="0"/>
          <w:sz w:val="24"/>
        </w:rPr>
        <w:t>年第一个工作日，本基金转型为</w:t>
      </w:r>
      <w:r>
        <w:rPr>
          <w:rFonts w:ascii="Times New Roman" w:hAnsi="Times New Roman"/>
          <w:kern w:val="0"/>
          <w:sz w:val="24"/>
        </w:rPr>
        <w:t>“</w:t>
      </w:r>
      <w:r>
        <w:rPr>
          <w:rFonts w:ascii="Times New Roman" w:hAnsi="Times New Roman"/>
          <w:kern w:val="0"/>
          <w:sz w:val="24"/>
        </w:rPr>
        <w:t>交银施罗德债基优选债券型基金中基金（</w:t>
      </w:r>
      <w:r>
        <w:rPr>
          <w:rFonts w:ascii="Times New Roman" w:hAnsi="Times New Roman"/>
          <w:kern w:val="0"/>
          <w:sz w:val="24"/>
        </w:rPr>
        <w:t>FOF</w:t>
      </w:r>
      <w:r>
        <w:rPr>
          <w:rFonts w:ascii="Times New Roman" w:hAnsi="Times New Roman"/>
          <w:kern w:val="0"/>
          <w:sz w:val="24"/>
        </w:rPr>
        <w:t>）</w:t>
      </w:r>
      <w:r>
        <w:rPr>
          <w:rFonts w:ascii="Times New Roman" w:hAnsi="Times New Roman"/>
          <w:kern w:val="0"/>
          <w:sz w:val="24"/>
        </w:rPr>
        <w:t>”</w:t>
      </w:r>
      <w:r>
        <w:rPr>
          <w:rFonts w:ascii="Times New Roman" w:hAnsi="Times New Roman"/>
          <w:kern w:val="0"/>
          <w:sz w:val="24"/>
        </w:rPr>
        <w:t>，不再设置最短持有期，基金管理人将根据转型后基金合同的约定在开放日办理基金份额的申购和赎回。</w:t>
      </w:r>
    </w:p>
    <w:p w:rsidR="005E553A" w:rsidRDefault="007A645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因此，对于基金份额持有人而言，存在投资本基金后三年内无法赎回的风险。</w:t>
      </w:r>
    </w:p>
    <w:p w:rsidR="005E553A" w:rsidRDefault="007A645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若基金份额持有人多次认购或申购本基金导致持有多笔不同期限的本基金份额时，基金份额持有人在赎回时需特别关注申请赎回的基金份额数量，若申请赎回的基金份额超过了该份额持有人持续持有超过三年的基金份额数量，则基金份额持有人的赎回申请将被予以拒绝。基金份额持有人需承担赎回申请失败的风险。</w:t>
      </w:r>
    </w:p>
    <w:p w:rsidR="005E553A" w:rsidRDefault="007A645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基金管理人可以对招募说明书中披露的下滑曲线进行调整，实际投资与预设的下滑曲线可能存在差异。目标日期前，本基金的预期风险与预期收益水平随着目标日期的临近而逐步降低。</w:t>
      </w:r>
    </w:p>
    <w:p w:rsidR="005E553A" w:rsidRDefault="007A645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本基金资产可投资于内地与香港股票市场交易互联互通机制允许买卖的规定范围内的香港联合交易所有限公司（以下简称</w:t>
      </w:r>
      <w:r>
        <w:rPr>
          <w:rFonts w:ascii="Times New Roman" w:hAnsi="Times New Roman"/>
          <w:kern w:val="0"/>
          <w:sz w:val="24"/>
        </w:rPr>
        <w:t>“</w:t>
      </w:r>
      <w:r>
        <w:rPr>
          <w:rFonts w:ascii="Times New Roman" w:hAnsi="Times New Roman"/>
          <w:kern w:val="0"/>
          <w:sz w:val="24"/>
        </w:rPr>
        <w:t>香港联合交易所</w:t>
      </w:r>
      <w:r>
        <w:rPr>
          <w:rFonts w:ascii="Times New Roman" w:hAnsi="Times New Roman"/>
          <w:kern w:val="0"/>
          <w:sz w:val="24"/>
        </w:rPr>
        <w:t>”</w:t>
      </w:r>
      <w:r>
        <w:rPr>
          <w:rFonts w:ascii="Times New Roman" w:hAnsi="Times New Roman"/>
          <w:kern w:val="0"/>
          <w:sz w:val="24"/>
        </w:rPr>
        <w:t>）上市的股票（以下简称</w:t>
      </w:r>
      <w:r>
        <w:rPr>
          <w:rFonts w:ascii="Times New Roman" w:hAnsi="Times New Roman"/>
          <w:kern w:val="0"/>
          <w:sz w:val="24"/>
        </w:rPr>
        <w:t>“</w:t>
      </w:r>
      <w:r>
        <w:rPr>
          <w:rFonts w:ascii="Times New Roman" w:hAnsi="Times New Roman"/>
          <w:kern w:val="0"/>
          <w:sz w:val="24"/>
        </w:rPr>
        <w:t>港股通标的股票</w:t>
      </w:r>
      <w:r>
        <w:rPr>
          <w:rFonts w:ascii="Times New Roman" w:hAnsi="Times New Roman"/>
          <w:kern w:val="0"/>
          <w:sz w:val="24"/>
        </w:rPr>
        <w:t>”</w:t>
      </w:r>
      <w:r>
        <w:rPr>
          <w:rFonts w:ascii="Times New Roman" w:hAnsi="Times New Roman"/>
          <w:kern w:val="0"/>
          <w:sz w:val="24"/>
        </w:rPr>
        <w:t>），会面临港股通机制下因投资环境、投资标的、市场制度以及交易规则等差异带来的特有风险，包括港股市场股价波动较大的风险（港股市场实行</w:t>
      </w:r>
      <w:r>
        <w:rPr>
          <w:rFonts w:ascii="Times New Roman" w:hAnsi="Times New Roman"/>
          <w:kern w:val="0"/>
          <w:sz w:val="24"/>
        </w:rPr>
        <w:t>T+0</w:t>
      </w:r>
      <w:r>
        <w:rPr>
          <w:rFonts w:ascii="Times New Roman" w:hAnsi="Times New Roman"/>
          <w:kern w:val="0"/>
          <w:sz w:val="24"/>
        </w:rPr>
        <w:t>回转交易，且对个股不设涨跌幅限制，港股股价可能表现出比</w:t>
      </w:r>
      <w:r>
        <w:rPr>
          <w:rFonts w:ascii="Times New Roman" w:hAnsi="Times New Roman"/>
          <w:kern w:val="0"/>
          <w:sz w:val="24"/>
        </w:rPr>
        <w:t>A</w:t>
      </w:r>
      <w:r>
        <w:rPr>
          <w:rFonts w:ascii="Times New Roman" w:hAnsi="Times New Roman"/>
          <w:kern w:val="0"/>
          <w:sz w:val="24"/>
        </w:rPr>
        <w:t>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w:t>
      </w:r>
    </w:p>
    <w:p w:rsidR="005E553A" w:rsidRDefault="007A645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本基金可根据投资策略需要或不同配置地市场环境的变化，选择将部分基金资产投资于港股或选择不将基金资产投资于港股，基金资产并非必然投资港股。</w:t>
      </w:r>
    </w:p>
    <w:p w:rsidR="005E553A" w:rsidRDefault="007A645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5E553A" w:rsidRDefault="007A645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5E553A" w:rsidRDefault="007A645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5E553A" w:rsidRDefault="007A645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5E553A" w:rsidRDefault="007A645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5E553A" w:rsidRDefault="007A645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本基金的</w:t>
      </w:r>
      <w:r>
        <w:rPr>
          <w:rFonts w:ascii="Times New Roman" w:hAnsi="Times New Roman"/>
          <w:kern w:val="0"/>
          <w:sz w:val="24"/>
        </w:rPr>
        <w:t>Y</w:t>
      </w:r>
      <w:r>
        <w:rPr>
          <w:rFonts w:ascii="Times New Roman" w:hAnsi="Times New Roman"/>
          <w:kern w:val="0"/>
          <w:sz w:val="24"/>
        </w:rPr>
        <w:t>类基金份额为针对个人养老金投资基金业务设立的单独的基金份额类别，投资者仅能通过个人养老金资金账户购买</w:t>
      </w:r>
      <w:r>
        <w:rPr>
          <w:rFonts w:ascii="Times New Roman" w:hAnsi="Times New Roman"/>
          <w:kern w:val="0"/>
          <w:sz w:val="24"/>
        </w:rPr>
        <w:t>Y</w:t>
      </w:r>
      <w:r>
        <w:rPr>
          <w:rFonts w:ascii="Times New Roman" w:hAnsi="Times New Roman"/>
          <w:kern w:val="0"/>
          <w:sz w:val="24"/>
        </w:rPr>
        <w:t>类基金份额参与个人养老金投资基金业务。根据个人养老金账户要求，个人养老金投资基金的基金份额申购赎回等款项将在个人养老金账户内流转，投资者未达到领取基本养老金年龄或者政策规定的其他领取条件时不可领取个人养老金。具体业务规则请关注基金管理人届时发布的相关公告。</w:t>
      </w:r>
    </w:p>
    <w:p w:rsidR="005E553A" w:rsidRDefault="007A645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本次更新招募说明书主要对基金经理变更相关事项进行了相应更新，更新截止日为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03</w:t>
      </w:r>
      <w:r>
        <w:rPr>
          <w:rFonts w:ascii="Times New Roman" w:hAnsi="Times New Roman"/>
          <w:kern w:val="0"/>
          <w:sz w:val="24"/>
        </w:rPr>
        <w:t>日，除非另有说明，本招募说明书其他所载内容截止日为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12</w:t>
      </w:r>
      <w:r>
        <w:rPr>
          <w:rFonts w:ascii="Times New Roman" w:hAnsi="Times New Roman"/>
          <w:kern w:val="0"/>
          <w:sz w:val="24"/>
        </w:rPr>
        <w:t>月</w:t>
      </w:r>
      <w:r>
        <w:rPr>
          <w:rFonts w:ascii="Times New Roman" w:hAnsi="Times New Roman"/>
          <w:kern w:val="0"/>
          <w:sz w:val="24"/>
        </w:rPr>
        <w:t>01</w:t>
      </w:r>
      <w:r>
        <w:rPr>
          <w:rFonts w:ascii="Times New Roman" w:hAnsi="Times New Roman"/>
          <w:kern w:val="0"/>
          <w:sz w:val="24"/>
        </w:rPr>
        <w:t>日，有关财务数据和净值表现截止日为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日。本招募说</w:t>
      </w:r>
      <w:r>
        <w:rPr>
          <w:rFonts w:ascii="Times New Roman" w:hAnsi="Times New Roman"/>
          <w:kern w:val="0"/>
          <w:sz w:val="24"/>
        </w:rPr>
        <w:lastRenderedPageBreak/>
        <w:t>明书所载的财务数据未经审计。</w:t>
      </w:r>
    </w:p>
    <w:p w:rsidR="005E553A" w:rsidRDefault="005E553A">
      <w:pPr>
        <w:autoSpaceDE w:val="0"/>
        <w:autoSpaceDN w:val="0"/>
        <w:adjustRightInd w:val="0"/>
        <w:snapToGrid w:val="0"/>
        <w:spacing w:before="51" w:line="360" w:lineRule="auto"/>
        <w:ind w:left="120" w:rightChars="6" w:right="13" w:firstLine="480"/>
        <w:rPr>
          <w:rFonts w:ascii="宋体" w:hAnsi="宋体"/>
          <w:kern w:val="0"/>
          <w:szCs w:val="24"/>
        </w:rPr>
        <w:sectPr w:rsidR="005E553A">
          <w:headerReference w:type="default" r:id="rId14"/>
          <w:pgSz w:w="11920" w:h="16840"/>
          <w:pgMar w:top="1440" w:right="1680" w:bottom="280" w:left="1680" w:header="0" w:footer="1073" w:gutter="0"/>
          <w:pgNumType w:start="1"/>
          <w:cols w:space="720"/>
        </w:sectPr>
      </w:pPr>
    </w:p>
    <w:p w:rsidR="00C27F82" w:rsidRPr="00C27F82" w:rsidRDefault="007A645A" w:rsidP="00C27F82">
      <w:pPr>
        <w:pStyle w:val="ad"/>
        <w:snapToGrid w:val="0"/>
        <w:spacing w:after="240" w:line="360" w:lineRule="auto"/>
        <w:jc w:val="center"/>
        <w:rPr>
          <w:rFonts w:ascii="宋体" w:hAnsi="宋体"/>
          <w:noProof/>
          <w:sz w:val="24"/>
        </w:rPr>
      </w:pPr>
      <w:r w:rsidRPr="00C27F82">
        <w:rPr>
          <w:rFonts w:ascii="宋体" w:hAnsi="宋体"/>
          <w:color w:val="000000"/>
          <w:position w:val="-4"/>
          <w:sz w:val="24"/>
          <w:szCs w:val="30"/>
        </w:rPr>
        <w:lastRenderedPageBreak/>
        <w:t>目</w:t>
      </w:r>
      <w:r w:rsidRPr="00C27F82">
        <w:rPr>
          <w:rFonts w:ascii="宋体" w:hAnsi="宋体"/>
          <w:color w:val="000000"/>
          <w:position w:val="-4"/>
          <w:sz w:val="24"/>
          <w:szCs w:val="30"/>
        </w:rPr>
        <w:tab/>
        <w:t>录</w:t>
      </w:r>
      <w:r w:rsidR="00C27F82" w:rsidRPr="00C27F82">
        <w:rPr>
          <w:rFonts w:ascii="宋体" w:hAnsi="宋体"/>
          <w:color w:val="000000"/>
          <w:position w:val="-4"/>
          <w:sz w:val="24"/>
          <w:szCs w:val="30"/>
        </w:rPr>
        <w:fldChar w:fldCharType="begin"/>
      </w:r>
      <w:r w:rsidR="00C27F82" w:rsidRPr="00C27F82">
        <w:rPr>
          <w:rFonts w:ascii="宋体" w:hAnsi="宋体"/>
          <w:color w:val="000000"/>
          <w:position w:val="-4"/>
          <w:sz w:val="24"/>
          <w:szCs w:val="30"/>
        </w:rPr>
        <w:instrText xml:space="preserve"> TOC \o "1-3" \f - \h \t "-1" </w:instrText>
      </w:r>
      <w:r w:rsidR="00C27F82" w:rsidRPr="00C27F82">
        <w:rPr>
          <w:rFonts w:ascii="宋体" w:hAnsi="宋体"/>
          <w:color w:val="000000"/>
          <w:position w:val="-4"/>
          <w:sz w:val="24"/>
          <w:szCs w:val="30"/>
        </w:rPr>
        <w:fldChar w:fldCharType="separate"/>
      </w:r>
    </w:p>
    <w:p w:rsidR="00C27F82" w:rsidRPr="00C27F82" w:rsidRDefault="00C27F82" w:rsidP="00C27F82">
      <w:pPr>
        <w:pStyle w:val="10"/>
        <w:tabs>
          <w:tab w:val="right" w:leader="dot" w:pos="8550"/>
        </w:tabs>
        <w:spacing w:line="360" w:lineRule="auto"/>
        <w:rPr>
          <w:rFonts w:ascii="宋体" w:hAnsi="宋体" w:cstheme="minorBidi"/>
          <w:noProof/>
          <w:sz w:val="24"/>
        </w:rPr>
      </w:pPr>
      <w:hyperlink w:anchor="_Toc239686219" w:history="1">
        <w:r w:rsidRPr="00C27F82">
          <w:rPr>
            <w:rStyle w:val="aa"/>
            <w:rFonts w:ascii="宋体" w:hAnsi="宋体" w:hint="eastAsia"/>
            <w:noProof/>
            <w:kern w:val="0"/>
            <w:sz w:val="24"/>
          </w:rPr>
          <w:t>重要提示</w:t>
        </w:r>
        <w:r w:rsidRPr="00C27F82">
          <w:rPr>
            <w:rFonts w:ascii="宋体" w:hAnsi="宋体"/>
            <w:noProof/>
            <w:sz w:val="24"/>
          </w:rPr>
          <w:tab/>
        </w:r>
        <w:r w:rsidRPr="00C27F82">
          <w:rPr>
            <w:rFonts w:ascii="宋体" w:hAnsi="宋体"/>
            <w:noProof/>
            <w:sz w:val="24"/>
          </w:rPr>
          <w:fldChar w:fldCharType="begin"/>
        </w:r>
        <w:r w:rsidRPr="00C27F82">
          <w:rPr>
            <w:rFonts w:ascii="宋体" w:hAnsi="宋体"/>
            <w:noProof/>
            <w:sz w:val="24"/>
          </w:rPr>
          <w:instrText xml:space="preserve"> PAGEREF _Toc239686219 \h </w:instrText>
        </w:r>
        <w:r w:rsidRPr="00C27F82">
          <w:rPr>
            <w:rFonts w:ascii="宋体" w:hAnsi="宋体"/>
            <w:noProof/>
            <w:sz w:val="24"/>
          </w:rPr>
        </w:r>
        <w:r w:rsidRPr="00C27F82">
          <w:rPr>
            <w:rFonts w:ascii="宋体" w:hAnsi="宋体"/>
            <w:noProof/>
            <w:sz w:val="24"/>
          </w:rPr>
          <w:fldChar w:fldCharType="separate"/>
        </w:r>
        <w:r w:rsidRPr="00C27F82">
          <w:rPr>
            <w:rFonts w:ascii="宋体" w:hAnsi="宋体"/>
            <w:noProof/>
            <w:sz w:val="24"/>
          </w:rPr>
          <w:t>1</w:t>
        </w:r>
        <w:r w:rsidRPr="00C27F82">
          <w:rPr>
            <w:rFonts w:ascii="宋体" w:hAnsi="宋体"/>
            <w:noProof/>
            <w:sz w:val="24"/>
          </w:rPr>
          <w:fldChar w:fldCharType="end"/>
        </w:r>
      </w:hyperlink>
    </w:p>
    <w:p w:rsidR="00C27F82" w:rsidRPr="00C27F82" w:rsidRDefault="00C27F82" w:rsidP="00C27F82">
      <w:pPr>
        <w:pStyle w:val="10"/>
        <w:tabs>
          <w:tab w:val="right" w:leader="dot" w:pos="8550"/>
        </w:tabs>
        <w:spacing w:line="360" w:lineRule="auto"/>
        <w:rPr>
          <w:rFonts w:ascii="宋体" w:hAnsi="宋体" w:cstheme="minorBidi"/>
          <w:noProof/>
          <w:sz w:val="24"/>
        </w:rPr>
      </w:pPr>
      <w:hyperlink w:anchor="_Toc239686220" w:history="1">
        <w:r w:rsidRPr="00C27F82">
          <w:rPr>
            <w:rStyle w:val="aa"/>
            <w:rFonts w:ascii="宋体" w:hAnsi="宋体" w:hint="eastAsia"/>
            <w:noProof/>
            <w:sz w:val="24"/>
          </w:rPr>
          <w:t>一、绪言</w:t>
        </w:r>
        <w:r w:rsidRPr="00C27F82">
          <w:rPr>
            <w:rFonts w:ascii="宋体" w:hAnsi="宋体"/>
            <w:noProof/>
            <w:sz w:val="24"/>
          </w:rPr>
          <w:tab/>
        </w:r>
        <w:r w:rsidRPr="00C27F82">
          <w:rPr>
            <w:rFonts w:ascii="宋体" w:hAnsi="宋体"/>
            <w:noProof/>
            <w:sz w:val="24"/>
          </w:rPr>
          <w:fldChar w:fldCharType="begin"/>
        </w:r>
        <w:r w:rsidRPr="00C27F82">
          <w:rPr>
            <w:rFonts w:ascii="宋体" w:hAnsi="宋体"/>
            <w:noProof/>
            <w:sz w:val="24"/>
          </w:rPr>
          <w:instrText xml:space="preserve"> PAGEREF _Toc239686220 \h </w:instrText>
        </w:r>
        <w:r w:rsidRPr="00C27F82">
          <w:rPr>
            <w:rFonts w:ascii="宋体" w:hAnsi="宋体"/>
            <w:noProof/>
            <w:sz w:val="24"/>
          </w:rPr>
        </w:r>
        <w:r w:rsidRPr="00C27F82">
          <w:rPr>
            <w:rFonts w:ascii="宋体" w:hAnsi="宋体"/>
            <w:noProof/>
            <w:sz w:val="24"/>
          </w:rPr>
          <w:fldChar w:fldCharType="separate"/>
        </w:r>
        <w:r w:rsidRPr="00C27F82">
          <w:rPr>
            <w:rFonts w:ascii="宋体" w:hAnsi="宋体"/>
            <w:noProof/>
            <w:sz w:val="24"/>
          </w:rPr>
          <w:t>6</w:t>
        </w:r>
        <w:r w:rsidRPr="00C27F82">
          <w:rPr>
            <w:rFonts w:ascii="宋体" w:hAnsi="宋体"/>
            <w:noProof/>
            <w:sz w:val="24"/>
          </w:rPr>
          <w:fldChar w:fldCharType="end"/>
        </w:r>
      </w:hyperlink>
    </w:p>
    <w:p w:rsidR="00C27F82" w:rsidRPr="00C27F82" w:rsidRDefault="00C27F82" w:rsidP="00C27F82">
      <w:pPr>
        <w:pStyle w:val="10"/>
        <w:tabs>
          <w:tab w:val="right" w:leader="dot" w:pos="8550"/>
        </w:tabs>
        <w:spacing w:line="360" w:lineRule="auto"/>
        <w:rPr>
          <w:rFonts w:ascii="宋体" w:hAnsi="宋体" w:cstheme="minorBidi"/>
          <w:noProof/>
          <w:sz w:val="24"/>
        </w:rPr>
      </w:pPr>
      <w:hyperlink w:anchor="_Toc239686221" w:history="1">
        <w:r w:rsidRPr="00C27F82">
          <w:rPr>
            <w:rStyle w:val="aa"/>
            <w:rFonts w:ascii="宋体" w:hAnsi="宋体" w:hint="eastAsia"/>
            <w:noProof/>
            <w:sz w:val="24"/>
          </w:rPr>
          <w:t>二、释义</w:t>
        </w:r>
        <w:r w:rsidRPr="00C27F82">
          <w:rPr>
            <w:rFonts w:ascii="宋体" w:hAnsi="宋体"/>
            <w:noProof/>
            <w:sz w:val="24"/>
          </w:rPr>
          <w:tab/>
        </w:r>
        <w:r w:rsidRPr="00C27F82">
          <w:rPr>
            <w:rFonts w:ascii="宋体" w:hAnsi="宋体"/>
            <w:noProof/>
            <w:sz w:val="24"/>
          </w:rPr>
          <w:fldChar w:fldCharType="begin"/>
        </w:r>
        <w:r w:rsidRPr="00C27F82">
          <w:rPr>
            <w:rFonts w:ascii="宋体" w:hAnsi="宋体"/>
            <w:noProof/>
            <w:sz w:val="24"/>
          </w:rPr>
          <w:instrText xml:space="preserve"> PAGEREF _Toc239686221 \h </w:instrText>
        </w:r>
        <w:r w:rsidRPr="00C27F82">
          <w:rPr>
            <w:rFonts w:ascii="宋体" w:hAnsi="宋体"/>
            <w:noProof/>
            <w:sz w:val="24"/>
          </w:rPr>
        </w:r>
        <w:r w:rsidRPr="00C27F82">
          <w:rPr>
            <w:rFonts w:ascii="宋体" w:hAnsi="宋体"/>
            <w:noProof/>
            <w:sz w:val="24"/>
          </w:rPr>
          <w:fldChar w:fldCharType="separate"/>
        </w:r>
        <w:r w:rsidRPr="00C27F82">
          <w:rPr>
            <w:rFonts w:ascii="宋体" w:hAnsi="宋体"/>
            <w:noProof/>
            <w:sz w:val="24"/>
          </w:rPr>
          <w:t>7</w:t>
        </w:r>
        <w:r w:rsidRPr="00C27F82">
          <w:rPr>
            <w:rFonts w:ascii="宋体" w:hAnsi="宋体"/>
            <w:noProof/>
            <w:sz w:val="24"/>
          </w:rPr>
          <w:fldChar w:fldCharType="end"/>
        </w:r>
      </w:hyperlink>
    </w:p>
    <w:p w:rsidR="00C27F82" w:rsidRPr="00C27F82" w:rsidRDefault="00C27F82" w:rsidP="00C27F82">
      <w:pPr>
        <w:pStyle w:val="10"/>
        <w:tabs>
          <w:tab w:val="right" w:leader="dot" w:pos="8550"/>
        </w:tabs>
        <w:spacing w:line="360" w:lineRule="auto"/>
        <w:rPr>
          <w:rFonts w:ascii="宋体" w:hAnsi="宋体" w:cstheme="minorBidi"/>
          <w:noProof/>
          <w:sz w:val="24"/>
        </w:rPr>
      </w:pPr>
      <w:hyperlink w:anchor="_Toc239686222" w:history="1">
        <w:r w:rsidRPr="00C27F82">
          <w:rPr>
            <w:rStyle w:val="aa"/>
            <w:rFonts w:ascii="宋体" w:hAnsi="宋体" w:hint="eastAsia"/>
            <w:noProof/>
            <w:sz w:val="24"/>
          </w:rPr>
          <w:t>三、基金管理人</w:t>
        </w:r>
        <w:r w:rsidRPr="00C27F82">
          <w:rPr>
            <w:rFonts w:ascii="宋体" w:hAnsi="宋体"/>
            <w:noProof/>
            <w:sz w:val="24"/>
          </w:rPr>
          <w:tab/>
        </w:r>
        <w:r w:rsidRPr="00C27F82">
          <w:rPr>
            <w:rFonts w:ascii="宋体" w:hAnsi="宋体"/>
            <w:noProof/>
            <w:sz w:val="24"/>
          </w:rPr>
          <w:fldChar w:fldCharType="begin"/>
        </w:r>
        <w:r w:rsidRPr="00C27F82">
          <w:rPr>
            <w:rFonts w:ascii="宋体" w:hAnsi="宋体"/>
            <w:noProof/>
            <w:sz w:val="24"/>
          </w:rPr>
          <w:instrText xml:space="preserve"> PAGEREF _Toc239686222 \h </w:instrText>
        </w:r>
        <w:r w:rsidRPr="00C27F82">
          <w:rPr>
            <w:rFonts w:ascii="宋体" w:hAnsi="宋体"/>
            <w:noProof/>
            <w:sz w:val="24"/>
          </w:rPr>
        </w:r>
        <w:r w:rsidRPr="00C27F82">
          <w:rPr>
            <w:rFonts w:ascii="宋体" w:hAnsi="宋体"/>
            <w:noProof/>
            <w:sz w:val="24"/>
          </w:rPr>
          <w:fldChar w:fldCharType="separate"/>
        </w:r>
        <w:r w:rsidRPr="00C27F82">
          <w:rPr>
            <w:rFonts w:ascii="宋体" w:hAnsi="宋体"/>
            <w:noProof/>
            <w:sz w:val="24"/>
          </w:rPr>
          <w:t>12</w:t>
        </w:r>
        <w:r w:rsidRPr="00C27F82">
          <w:rPr>
            <w:rFonts w:ascii="宋体" w:hAnsi="宋体"/>
            <w:noProof/>
            <w:sz w:val="24"/>
          </w:rPr>
          <w:fldChar w:fldCharType="end"/>
        </w:r>
      </w:hyperlink>
    </w:p>
    <w:p w:rsidR="00C27F82" w:rsidRPr="00C27F82" w:rsidRDefault="00C27F82" w:rsidP="00C27F82">
      <w:pPr>
        <w:pStyle w:val="10"/>
        <w:tabs>
          <w:tab w:val="right" w:leader="dot" w:pos="8550"/>
        </w:tabs>
        <w:spacing w:line="360" w:lineRule="auto"/>
        <w:rPr>
          <w:rFonts w:ascii="宋体" w:hAnsi="宋体" w:cstheme="minorBidi"/>
          <w:noProof/>
          <w:sz w:val="24"/>
        </w:rPr>
      </w:pPr>
      <w:hyperlink w:anchor="_Toc239686223" w:history="1">
        <w:r w:rsidRPr="00C27F82">
          <w:rPr>
            <w:rStyle w:val="aa"/>
            <w:rFonts w:ascii="宋体" w:hAnsi="宋体" w:hint="eastAsia"/>
            <w:noProof/>
            <w:sz w:val="24"/>
          </w:rPr>
          <w:t>四、基金托管人</w:t>
        </w:r>
        <w:r w:rsidRPr="00C27F82">
          <w:rPr>
            <w:rFonts w:ascii="宋体" w:hAnsi="宋体"/>
            <w:noProof/>
            <w:sz w:val="24"/>
          </w:rPr>
          <w:tab/>
        </w:r>
        <w:r w:rsidRPr="00C27F82">
          <w:rPr>
            <w:rFonts w:ascii="宋体" w:hAnsi="宋体"/>
            <w:noProof/>
            <w:sz w:val="24"/>
          </w:rPr>
          <w:fldChar w:fldCharType="begin"/>
        </w:r>
        <w:r w:rsidRPr="00C27F82">
          <w:rPr>
            <w:rFonts w:ascii="宋体" w:hAnsi="宋体"/>
            <w:noProof/>
            <w:sz w:val="24"/>
          </w:rPr>
          <w:instrText xml:space="preserve"> PAGEREF _Toc239686223 \h </w:instrText>
        </w:r>
        <w:r w:rsidRPr="00C27F82">
          <w:rPr>
            <w:rFonts w:ascii="宋体" w:hAnsi="宋体"/>
            <w:noProof/>
            <w:sz w:val="24"/>
          </w:rPr>
        </w:r>
        <w:r w:rsidRPr="00C27F82">
          <w:rPr>
            <w:rFonts w:ascii="宋体" w:hAnsi="宋体"/>
            <w:noProof/>
            <w:sz w:val="24"/>
          </w:rPr>
          <w:fldChar w:fldCharType="separate"/>
        </w:r>
        <w:r w:rsidRPr="00C27F82">
          <w:rPr>
            <w:rFonts w:ascii="宋体" w:hAnsi="宋体"/>
            <w:noProof/>
            <w:sz w:val="24"/>
          </w:rPr>
          <w:t>19</w:t>
        </w:r>
        <w:r w:rsidRPr="00C27F82">
          <w:rPr>
            <w:rFonts w:ascii="宋体" w:hAnsi="宋体"/>
            <w:noProof/>
            <w:sz w:val="24"/>
          </w:rPr>
          <w:fldChar w:fldCharType="end"/>
        </w:r>
      </w:hyperlink>
    </w:p>
    <w:p w:rsidR="00C27F82" w:rsidRPr="00C27F82" w:rsidRDefault="00C27F82" w:rsidP="00C27F82">
      <w:pPr>
        <w:pStyle w:val="10"/>
        <w:tabs>
          <w:tab w:val="right" w:leader="dot" w:pos="8550"/>
        </w:tabs>
        <w:spacing w:line="360" w:lineRule="auto"/>
        <w:rPr>
          <w:rFonts w:ascii="宋体" w:hAnsi="宋体" w:cstheme="minorBidi"/>
          <w:noProof/>
          <w:sz w:val="24"/>
        </w:rPr>
      </w:pPr>
      <w:hyperlink w:anchor="_Toc239686224" w:history="1">
        <w:r w:rsidRPr="00C27F82">
          <w:rPr>
            <w:rStyle w:val="aa"/>
            <w:rFonts w:ascii="宋体" w:hAnsi="宋体" w:hint="eastAsia"/>
            <w:noProof/>
            <w:sz w:val="24"/>
          </w:rPr>
          <w:t>五、相关服务机构</w:t>
        </w:r>
        <w:r w:rsidRPr="00C27F82">
          <w:rPr>
            <w:rFonts w:ascii="宋体" w:hAnsi="宋体"/>
            <w:noProof/>
            <w:sz w:val="24"/>
          </w:rPr>
          <w:tab/>
        </w:r>
        <w:r w:rsidRPr="00C27F82">
          <w:rPr>
            <w:rFonts w:ascii="宋体" w:hAnsi="宋体"/>
            <w:noProof/>
            <w:sz w:val="24"/>
          </w:rPr>
          <w:fldChar w:fldCharType="begin"/>
        </w:r>
        <w:r w:rsidRPr="00C27F82">
          <w:rPr>
            <w:rFonts w:ascii="宋体" w:hAnsi="宋体"/>
            <w:noProof/>
            <w:sz w:val="24"/>
          </w:rPr>
          <w:instrText xml:space="preserve"> PAGEREF _Toc239686224 \h </w:instrText>
        </w:r>
        <w:r w:rsidRPr="00C27F82">
          <w:rPr>
            <w:rFonts w:ascii="宋体" w:hAnsi="宋体"/>
            <w:noProof/>
            <w:sz w:val="24"/>
          </w:rPr>
        </w:r>
        <w:r w:rsidRPr="00C27F82">
          <w:rPr>
            <w:rFonts w:ascii="宋体" w:hAnsi="宋体"/>
            <w:noProof/>
            <w:sz w:val="24"/>
          </w:rPr>
          <w:fldChar w:fldCharType="separate"/>
        </w:r>
        <w:r w:rsidRPr="00C27F82">
          <w:rPr>
            <w:rFonts w:ascii="宋体" w:hAnsi="宋体"/>
            <w:noProof/>
            <w:sz w:val="24"/>
          </w:rPr>
          <w:t>23</w:t>
        </w:r>
        <w:r w:rsidRPr="00C27F82">
          <w:rPr>
            <w:rFonts w:ascii="宋体" w:hAnsi="宋体"/>
            <w:noProof/>
            <w:sz w:val="24"/>
          </w:rPr>
          <w:fldChar w:fldCharType="end"/>
        </w:r>
      </w:hyperlink>
    </w:p>
    <w:p w:rsidR="00C27F82" w:rsidRPr="00C27F82" w:rsidRDefault="00C27F82" w:rsidP="00C27F82">
      <w:pPr>
        <w:pStyle w:val="10"/>
        <w:tabs>
          <w:tab w:val="right" w:leader="dot" w:pos="8550"/>
        </w:tabs>
        <w:spacing w:line="360" w:lineRule="auto"/>
        <w:rPr>
          <w:rFonts w:ascii="宋体" w:hAnsi="宋体" w:cstheme="minorBidi"/>
          <w:noProof/>
          <w:sz w:val="24"/>
        </w:rPr>
      </w:pPr>
      <w:hyperlink w:anchor="_Toc239686225" w:history="1">
        <w:r w:rsidRPr="00C27F82">
          <w:rPr>
            <w:rStyle w:val="aa"/>
            <w:rFonts w:ascii="宋体" w:hAnsi="宋体" w:hint="eastAsia"/>
            <w:noProof/>
            <w:sz w:val="24"/>
          </w:rPr>
          <w:t>六、基金的募集</w:t>
        </w:r>
        <w:r w:rsidRPr="00C27F82">
          <w:rPr>
            <w:rFonts w:ascii="宋体" w:hAnsi="宋体"/>
            <w:noProof/>
            <w:sz w:val="24"/>
          </w:rPr>
          <w:tab/>
        </w:r>
        <w:r w:rsidRPr="00C27F82">
          <w:rPr>
            <w:rFonts w:ascii="宋体" w:hAnsi="宋体"/>
            <w:noProof/>
            <w:sz w:val="24"/>
          </w:rPr>
          <w:fldChar w:fldCharType="begin"/>
        </w:r>
        <w:r w:rsidRPr="00C27F82">
          <w:rPr>
            <w:rFonts w:ascii="宋体" w:hAnsi="宋体"/>
            <w:noProof/>
            <w:sz w:val="24"/>
          </w:rPr>
          <w:instrText xml:space="preserve"> PAGEREF _Toc239686225 \h </w:instrText>
        </w:r>
        <w:r w:rsidRPr="00C27F82">
          <w:rPr>
            <w:rFonts w:ascii="宋体" w:hAnsi="宋体"/>
            <w:noProof/>
            <w:sz w:val="24"/>
          </w:rPr>
        </w:r>
        <w:r w:rsidRPr="00C27F82">
          <w:rPr>
            <w:rFonts w:ascii="宋体" w:hAnsi="宋体"/>
            <w:noProof/>
            <w:sz w:val="24"/>
          </w:rPr>
          <w:fldChar w:fldCharType="separate"/>
        </w:r>
        <w:r w:rsidRPr="00C27F82">
          <w:rPr>
            <w:rFonts w:ascii="宋体" w:hAnsi="宋体"/>
            <w:noProof/>
            <w:sz w:val="24"/>
          </w:rPr>
          <w:t>47</w:t>
        </w:r>
        <w:r w:rsidRPr="00C27F82">
          <w:rPr>
            <w:rFonts w:ascii="宋体" w:hAnsi="宋体"/>
            <w:noProof/>
            <w:sz w:val="24"/>
          </w:rPr>
          <w:fldChar w:fldCharType="end"/>
        </w:r>
      </w:hyperlink>
    </w:p>
    <w:p w:rsidR="00C27F82" w:rsidRPr="00C27F82" w:rsidRDefault="00C27F82" w:rsidP="00C27F82">
      <w:pPr>
        <w:pStyle w:val="10"/>
        <w:tabs>
          <w:tab w:val="right" w:leader="dot" w:pos="8550"/>
        </w:tabs>
        <w:spacing w:line="360" w:lineRule="auto"/>
        <w:rPr>
          <w:rFonts w:ascii="宋体" w:hAnsi="宋体" w:cstheme="minorBidi"/>
          <w:noProof/>
          <w:sz w:val="24"/>
        </w:rPr>
      </w:pPr>
      <w:hyperlink w:anchor="_Toc239686226" w:history="1">
        <w:r w:rsidRPr="00C27F82">
          <w:rPr>
            <w:rStyle w:val="aa"/>
            <w:rFonts w:ascii="宋体" w:hAnsi="宋体" w:hint="eastAsia"/>
            <w:noProof/>
            <w:sz w:val="24"/>
          </w:rPr>
          <w:t>七、基金合同的生效</w:t>
        </w:r>
        <w:r w:rsidRPr="00C27F82">
          <w:rPr>
            <w:rFonts w:ascii="宋体" w:hAnsi="宋体"/>
            <w:noProof/>
            <w:sz w:val="24"/>
          </w:rPr>
          <w:tab/>
        </w:r>
        <w:r w:rsidRPr="00C27F82">
          <w:rPr>
            <w:rFonts w:ascii="宋体" w:hAnsi="宋体"/>
            <w:noProof/>
            <w:sz w:val="24"/>
          </w:rPr>
          <w:fldChar w:fldCharType="begin"/>
        </w:r>
        <w:r w:rsidRPr="00C27F82">
          <w:rPr>
            <w:rFonts w:ascii="宋体" w:hAnsi="宋体"/>
            <w:noProof/>
            <w:sz w:val="24"/>
          </w:rPr>
          <w:instrText xml:space="preserve"> PAGEREF _Toc239686226 \h </w:instrText>
        </w:r>
        <w:r w:rsidRPr="00C27F82">
          <w:rPr>
            <w:rFonts w:ascii="宋体" w:hAnsi="宋体"/>
            <w:noProof/>
            <w:sz w:val="24"/>
          </w:rPr>
        </w:r>
        <w:r w:rsidRPr="00C27F82">
          <w:rPr>
            <w:rFonts w:ascii="宋体" w:hAnsi="宋体"/>
            <w:noProof/>
            <w:sz w:val="24"/>
          </w:rPr>
          <w:fldChar w:fldCharType="separate"/>
        </w:r>
        <w:r w:rsidRPr="00C27F82">
          <w:rPr>
            <w:rFonts w:ascii="宋体" w:hAnsi="宋体"/>
            <w:noProof/>
            <w:sz w:val="24"/>
          </w:rPr>
          <w:t>48</w:t>
        </w:r>
        <w:r w:rsidRPr="00C27F82">
          <w:rPr>
            <w:rFonts w:ascii="宋体" w:hAnsi="宋体"/>
            <w:noProof/>
            <w:sz w:val="24"/>
          </w:rPr>
          <w:fldChar w:fldCharType="end"/>
        </w:r>
      </w:hyperlink>
    </w:p>
    <w:p w:rsidR="00C27F82" w:rsidRPr="00C27F82" w:rsidRDefault="00C27F82" w:rsidP="00C27F82">
      <w:pPr>
        <w:pStyle w:val="10"/>
        <w:tabs>
          <w:tab w:val="right" w:leader="dot" w:pos="8550"/>
        </w:tabs>
        <w:spacing w:line="360" w:lineRule="auto"/>
        <w:rPr>
          <w:rFonts w:ascii="宋体" w:hAnsi="宋体" w:cstheme="minorBidi"/>
          <w:noProof/>
          <w:sz w:val="24"/>
        </w:rPr>
      </w:pPr>
      <w:hyperlink w:anchor="_Toc239686227" w:history="1">
        <w:r w:rsidRPr="00C27F82">
          <w:rPr>
            <w:rStyle w:val="aa"/>
            <w:rFonts w:ascii="宋体" w:hAnsi="宋体" w:hint="eastAsia"/>
            <w:noProof/>
            <w:sz w:val="24"/>
          </w:rPr>
          <w:t>八、基金份额的申购与赎回</w:t>
        </w:r>
        <w:r w:rsidRPr="00C27F82">
          <w:rPr>
            <w:rFonts w:ascii="宋体" w:hAnsi="宋体"/>
            <w:noProof/>
            <w:sz w:val="24"/>
          </w:rPr>
          <w:tab/>
        </w:r>
        <w:r w:rsidRPr="00C27F82">
          <w:rPr>
            <w:rFonts w:ascii="宋体" w:hAnsi="宋体"/>
            <w:noProof/>
            <w:sz w:val="24"/>
          </w:rPr>
          <w:fldChar w:fldCharType="begin"/>
        </w:r>
        <w:r w:rsidRPr="00C27F82">
          <w:rPr>
            <w:rFonts w:ascii="宋体" w:hAnsi="宋体"/>
            <w:noProof/>
            <w:sz w:val="24"/>
          </w:rPr>
          <w:instrText xml:space="preserve"> PAGEREF _Toc239686227 \h </w:instrText>
        </w:r>
        <w:r w:rsidRPr="00C27F82">
          <w:rPr>
            <w:rFonts w:ascii="宋体" w:hAnsi="宋体"/>
            <w:noProof/>
            <w:sz w:val="24"/>
          </w:rPr>
        </w:r>
        <w:r w:rsidRPr="00C27F82">
          <w:rPr>
            <w:rFonts w:ascii="宋体" w:hAnsi="宋体"/>
            <w:noProof/>
            <w:sz w:val="24"/>
          </w:rPr>
          <w:fldChar w:fldCharType="separate"/>
        </w:r>
        <w:r w:rsidRPr="00C27F82">
          <w:rPr>
            <w:rFonts w:ascii="宋体" w:hAnsi="宋体"/>
            <w:noProof/>
            <w:sz w:val="24"/>
          </w:rPr>
          <w:t>49</w:t>
        </w:r>
        <w:r w:rsidRPr="00C27F82">
          <w:rPr>
            <w:rFonts w:ascii="宋体" w:hAnsi="宋体"/>
            <w:noProof/>
            <w:sz w:val="24"/>
          </w:rPr>
          <w:fldChar w:fldCharType="end"/>
        </w:r>
      </w:hyperlink>
    </w:p>
    <w:p w:rsidR="00C27F82" w:rsidRPr="00C27F82" w:rsidRDefault="00C27F82" w:rsidP="00C27F82">
      <w:pPr>
        <w:pStyle w:val="10"/>
        <w:tabs>
          <w:tab w:val="right" w:leader="dot" w:pos="8550"/>
        </w:tabs>
        <w:spacing w:line="360" w:lineRule="auto"/>
        <w:rPr>
          <w:rFonts w:ascii="宋体" w:hAnsi="宋体" w:cstheme="minorBidi"/>
          <w:noProof/>
          <w:sz w:val="24"/>
        </w:rPr>
      </w:pPr>
      <w:hyperlink w:anchor="_Toc239686228" w:history="1">
        <w:r w:rsidRPr="00C27F82">
          <w:rPr>
            <w:rStyle w:val="aa"/>
            <w:rFonts w:ascii="宋体" w:hAnsi="宋体" w:hint="eastAsia"/>
            <w:noProof/>
            <w:sz w:val="24"/>
          </w:rPr>
          <w:t>九、基金的投资</w:t>
        </w:r>
        <w:r w:rsidRPr="00C27F82">
          <w:rPr>
            <w:rFonts w:ascii="宋体" w:hAnsi="宋体"/>
            <w:noProof/>
            <w:sz w:val="24"/>
          </w:rPr>
          <w:tab/>
        </w:r>
        <w:r w:rsidRPr="00C27F82">
          <w:rPr>
            <w:rFonts w:ascii="宋体" w:hAnsi="宋体"/>
            <w:noProof/>
            <w:sz w:val="24"/>
          </w:rPr>
          <w:fldChar w:fldCharType="begin"/>
        </w:r>
        <w:r w:rsidRPr="00C27F82">
          <w:rPr>
            <w:rFonts w:ascii="宋体" w:hAnsi="宋体"/>
            <w:noProof/>
            <w:sz w:val="24"/>
          </w:rPr>
          <w:instrText xml:space="preserve"> PAGEREF _Toc239686228 \h </w:instrText>
        </w:r>
        <w:r w:rsidRPr="00C27F82">
          <w:rPr>
            <w:rFonts w:ascii="宋体" w:hAnsi="宋体"/>
            <w:noProof/>
            <w:sz w:val="24"/>
          </w:rPr>
        </w:r>
        <w:r w:rsidRPr="00C27F82">
          <w:rPr>
            <w:rFonts w:ascii="宋体" w:hAnsi="宋体"/>
            <w:noProof/>
            <w:sz w:val="24"/>
          </w:rPr>
          <w:fldChar w:fldCharType="separate"/>
        </w:r>
        <w:r w:rsidRPr="00C27F82">
          <w:rPr>
            <w:rFonts w:ascii="宋体" w:hAnsi="宋体"/>
            <w:noProof/>
            <w:sz w:val="24"/>
          </w:rPr>
          <w:t>62</w:t>
        </w:r>
        <w:r w:rsidRPr="00C27F82">
          <w:rPr>
            <w:rFonts w:ascii="宋体" w:hAnsi="宋体"/>
            <w:noProof/>
            <w:sz w:val="24"/>
          </w:rPr>
          <w:fldChar w:fldCharType="end"/>
        </w:r>
      </w:hyperlink>
    </w:p>
    <w:p w:rsidR="00C27F82" w:rsidRPr="00C27F82" w:rsidRDefault="00C27F82" w:rsidP="00C27F82">
      <w:pPr>
        <w:pStyle w:val="10"/>
        <w:tabs>
          <w:tab w:val="right" w:leader="dot" w:pos="8550"/>
        </w:tabs>
        <w:spacing w:line="360" w:lineRule="auto"/>
        <w:rPr>
          <w:rFonts w:ascii="宋体" w:hAnsi="宋体" w:cstheme="minorBidi"/>
          <w:noProof/>
          <w:sz w:val="24"/>
        </w:rPr>
      </w:pPr>
      <w:hyperlink w:anchor="_Toc239686229" w:history="1">
        <w:r w:rsidRPr="00C27F82">
          <w:rPr>
            <w:rStyle w:val="aa"/>
            <w:rFonts w:ascii="宋体" w:hAnsi="宋体" w:hint="eastAsia"/>
            <w:noProof/>
            <w:sz w:val="24"/>
          </w:rPr>
          <w:t>十、基金的业绩</w:t>
        </w:r>
        <w:r w:rsidRPr="00C27F82">
          <w:rPr>
            <w:rFonts w:ascii="宋体" w:hAnsi="宋体"/>
            <w:noProof/>
            <w:sz w:val="24"/>
          </w:rPr>
          <w:tab/>
        </w:r>
        <w:r w:rsidRPr="00C27F82">
          <w:rPr>
            <w:rFonts w:ascii="宋体" w:hAnsi="宋体"/>
            <w:noProof/>
            <w:sz w:val="24"/>
          </w:rPr>
          <w:fldChar w:fldCharType="begin"/>
        </w:r>
        <w:r w:rsidRPr="00C27F82">
          <w:rPr>
            <w:rFonts w:ascii="宋体" w:hAnsi="宋体"/>
            <w:noProof/>
            <w:sz w:val="24"/>
          </w:rPr>
          <w:instrText xml:space="preserve"> PAGEREF _Toc239686229 \h </w:instrText>
        </w:r>
        <w:r w:rsidRPr="00C27F82">
          <w:rPr>
            <w:rFonts w:ascii="宋体" w:hAnsi="宋体"/>
            <w:noProof/>
            <w:sz w:val="24"/>
          </w:rPr>
        </w:r>
        <w:r w:rsidRPr="00C27F82">
          <w:rPr>
            <w:rFonts w:ascii="宋体" w:hAnsi="宋体"/>
            <w:noProof/>
            <w:sz w:val="24"/>
          </w:rPr>
          <w:fldChar w:fldCharType="separate"/>
        </w:r>
        <w:r w:rsidRPr="00C27F82">
          <w:rPr>
            <w:rFonts w:ascii="宋体" w:hAnsi="宋体"/>
            <w:noProof/>
            <w:sz w:val="24"/>
          </w:rPr>
          <w:t>74</w:t>
        </w:r>
        <w:r w:rsidRPr="00C27F82">
          <w:rPr>
            <w:rFonts w:ascii="宋体" w:hAnsi="宋体"/>
            <w:noProof/>
            <w:sz w:val="24"/>
          </w:rPr>
          <w:fldChar w:fldCharType="end"/>
        </w:r>
      </w:hyperlink>
    </w:p>
    <w:p w:rsidR="00C27F82" w:rsidRPr="00C27F82" w:rsidRDefault="00C27F82" w:rsidP="00C27F82">
      <w:pPr>
        <w:pStyle w:val="10"/>
        <w:tabs>
          <w:tab w:val="right" w:leader="dot" w:pos="8550"/>
        </w:tabs>
        <w:spacing w:line="360" w:lineRule="auto"/>
        <w:rPr>
          <w:rFonts w:ascii="宋体" w:hAnsi="宋体" w:cstheme="minorBidi"/>
          <w:noProof/>
          <w:sz w:val="24"/>
        </w:rPr>
      </w:pPr>
      <w:hyperlink w:anchor="_Toc239686230" w:history="1">
        <w:r w:rsidRPr="00C27F82">
          <w:rPr>
            <w:rStyle w:val="aa"/>
            <w:rFonts w:ascii="宋体" w:hAnsi="宋体" w:hint="eastAsia"/>
            <w:noProof/>
            <w:sz w:val="24"/>
          </w:rPr>
          <w:t>十一、到达目标日期后基金的转型</w:t>
        </w:r>
        <w:r w:rsidRPr="00C27F82">
          <w:rPr>
            <w:rFonts w:ascii="宋体" w:hAnsi="宋体"/>
            <w:noProof/>
            <w:sz w:val="24"/>
          </w:rPr>
          <w:tab/>
        </w:r>
        <w:r w:rsidRPr="00C27F82">
          <w:rPr>
            <w:rFonts w:ascii="宋体" w:hAnsi="宋体"/>
            <w:noProof/>
            <w:sz w:val="24"/>
          </w:rPr>
          <w:fldChar w:fldCharType="begin"/>
        </w:r>
        <w:r w:rsidRPr="00C27F82">
          <w:rPr>
            <w:rFonts w:ascii="宋体" w:hAnsi="宋体"/>
            <w:noProof/>
            <w:sz w:val="24"/>
          </w:rPr>
          <w:instrText xml:space="preserve"> PAGEREF _Toc239686230 \h </w:instrText>
        </w:r>
        <w:r w:rsidRPr="00C27F82">
          <w:rPr>
            <w:rFonts w:ascii="宋体" w:hAnsi="宋体"/>
            <w:noProof/>
            <w:sz w:val="24"/>
          </w:rPr>
        </w:r>
        <w:r w:rsidRPr="00C27F82">
          <w:rPr>
            <w:rFonts w:ascii="宋体" w:hAnsi="宋体"/>
            <w:noProof/>
            <w:sz w:val="24"/>
          </w:rPr>
          <w:fldChar w:fldCharType="separate"/>
        </w:r>
        <w:r w:rsidRPr="00C27F82">
          <w:rPr>
            <w:rFonts w:ascii="宋体" w:hAnsi="宋体"/>
            <w:noProof/>
            <w:sz w:val="24"/>
          </w:rPr>
          <w:t>77</w:t>
        </w:r>
        <w:r w:rsidRPr="00C27F82">
          <w:rPr>
            <w:rFonts w:ascii="宋体" w:hAnsi="宋体"/>
            <w:noProof/>
            <w:sz w:val="24"/>
          </w:rPr>
          <w:fldChar w:fldCharType="end"/>
        </w:r>
      </w:hyperlink>
    </w:p>
    <w:p w:rsidR="00C27F82" w:rsidRPr="00C27F82" w:rsidRDefault="00C27F82" w:rsidP="00C27F82">
      <w:pPr>
        <w:pStyle w:val="10"/>
        <w:tabs>
          <w:tab w:val="right" w:leader="dot" w:pos="8550"/>
        </w:tabs>
        <w:spacing w:line="360" w:lineRule="auto"/>
        <w:rPr>
          <w:rFonts w:ascii="宋体" w:hAnsi="宋体" w:cstheme="minorBidi"/>
          <w:noProof/>
          <w:sz w:val="24"/>
        </w:rPr>
      </w:pPr>
      <w:hyperlink w:anchor="_Toc239686231" w:history="1">
        <w:r w:rsidRPr="00C27F82">
          <w:rPr>
            <w:rStyle w:val="aa"/>
            <w:rFonts w:ascii="宋体" w:hAnsi="宋体" w:hint="eastAsia"/>
            <w:noProof/>
            <w:sz w:val="24"/>
          </w:rPr>
          <w:t>十二、基金的财产</w:t>
        </w:r>
        <w:r w:rsidRPr="00C27F82">
          <w:rPr>
            <w:rFonts w:ascii="宋体" w:hAnsi="宋体"/>
            <w:noProof/>
            <w:sz w:val="24"/>
          </w:rPr>
          <w:tab/>
        </w:r>
        <w:r w:rsidRPr="00C27F82">
          <w:rPr>
            <w:rFonts w:ascii="宋体" w:hAnsi="宋体"/>
            <w:noProof/>
            <w:sz w:val="24"/>
          </w:rPr>
          <w:fldChar w:fldCharType="begin"/>
        </w:r>
        <w:r w:rsidRPr="00C27F82">
          <w:rPr>
            <w:rFonts w:ascii="宋体" w:hAnsi="宋体"/>
            <w:noProof/>
            <w:sz w:val="24"/>
          </w:rPr>
          <w:instrText xml:space="preserve"> PAGEREF _Toc239686231 \h </w:instrText>
        </w:r>
        <w:r w:rsidRPr="00C27F82">
          <w:rPr>
            <w:rFonts w:ascii="宋体" w:hAnsi="宋体"/>
            <w:noProof/>
            <w:sz w:val="24"/>
          </w:rPr>
        </w:r>
        <w:r w:rsidRPr="00C27F82">
          <w:rPr>
            <w:rFonts w:ascii="宋体" w:hAnsi="宋体"/>
            <w:noProof/>
            <w:sz w:val="24"/>
          </w:rPr>
          <w:fldChar w:fldCharType="separate"/>
        </w:r>
        <w:r w:rsidRPr="00C27F82">
          <w:rPr>
            <w:rFonts w:ascii="宋体" w:hAnsi="宋体"/>
            <w:noProof/>
            <w:sz w:val="24"/>
          </w:rPr>
          <w:t>84</w:t>
        </w:r>
        <w:r w:rsidRPr="00C27F82">
          <w:rPr>
            <w:rFonts w:ascii="宋体" w:hAnsi="宋体"/>
            <w:noProof/>
            <w:sz w:val="24"/>
          </w:rPr>
          <w:fldChar w:fldCharType="end"/>
        </w:r>
      </w:hyperlink>
    </w:p>
    <w:p w:rsidR="00C27F82" w:rsidRPr="00C27F82" w:rsidRDefault="00C27F82" w:rsidP="00C27F82">
      <w:pPr>
        <w:pStyle w:val="10"/>
        <w:tabs>
          <w:tab w:val="right" w:leader="dot" w:pos="8550"/>
        </w:tabs>
        <w:spacing w:line="360" w:lineRule="auto"/>
        <w:rPr>
          <w:rFonts w:ascii="宋体" w:hAnsi="宋体" w:cstheme="minorBidi"/>
          <w:noProof/>
          <w:sz w:val="24"/>
        </w:rPr>
      </w:pPr>
      <w:hyperlink w:anchor="_Toc239686232" w:history="1">
        <w:r w:rsidRPr="00C27F82">
          <w:rPr>
            <w:rStyle w:val="aa"/>
            <w:rFonts w:ascii="宋体" w:hAnsi="宋体" w:hint="eastAsia"/>
            <w:noProof/>
            <w:sz w:val="24"/>
          </w:rPr>
          <w:t>十三、基金资产的估值</w:t>
        </w:r>
        <w:r w:rsidRPr="00C27F82">
          <w:rPr>
            <w:rFonts w:ascii="宋体" w:hAnsi="宋体"/>
            <w:noProof/>
            <w:sz w:val="24"/>
          </w:rPr>
          <w:tab/>
        </w:r>
        <w:r w:rsidRPr="00C27F82">
          <w:rPr>
            <w:rFonts w:ascii="宋体" w:hAnsi="宋体"/>
            <w:noProof/>
            <w:sz w:val="24"/>
          </w:rPr>
          <w:fldChar w:fldCharType="begin"/>
        </w:r>
        <w:r w:rsidRPr="00C27F82">
          <w:rPr>
            <w:rFonts w:ascii="宋体" w:hAnsi="宋体"/>
            <w:noProof/>
            <w:sz w:val="24"/>
          </w:rPr>
          <w:instrText xml:space="preserve"> PAGEREF _Toc239686232 \h </w:instrText>
        </w:r>
        <w:r w:rsidRPr="00C27F82">
          <w:rPr>
            <w:rFonts w:ascii="宋体" w:hAnsi="宋体"/>
            <w:noProof/>
            <w:sz w:val="24"/>
          </w:rPr>
        </w:r>
        <w:r w:rsidRPr="00C27F82">
          <w:rPr>
            <w:rFonts w:ascii="宋体" w:hAnsi="宋体"/>
            <w:noProof/>
            <w:sz w:val="24"/>
          </w:rPr>
          <w:fldChar w:fldCharType="separate"/>
        </w:r>
        <w:r w:rsidRPr="00C27F82">
          <w:rPr>
            <w:rFonts w:ascii="宋体" w:hAnsi="宋体"/>
            <w:noProof/>
            <w:sz w:val="24"/>
          </w:rPr>
          <w:t>85</w:t>
        </w:r>
        <w:r w:rsidRPr="00C27F82">
          <w:rPr>
            <w:rFonts w:ascii="宋体" w:hAnsi="宋体"/>
            <w:noProof/>
            <w:sz w:val="24"/>
          </w:rPr>
          <w:fldChar w:fldCharType="end"/>
        </w:r>
      </w:hyperlink>
    </w:p>
    <w:p w:rsidR="00C27F82" w:rsidRPr="00C27F82" w:rsidRDefault="00C27F82" w:rsidP="00C27F82">
      <w:pPr>
        <w:pStyle w:val="10"/>
        <w:tabs>
          <w:tab w:val="right" w:leader="dot" w:pos="8550"/>
        </w:tabs>
        <w:spacing w:line="360" w:lineRule="auto"/>
        <w:rPr>
          <w:rFonts w:ascii="宋体" w:hAnsi="宋体" w:cstheme="minorBidi"/>
          <w:noProof/>
          <w:sz w:val="24"/>
        </w:rPr>
      </w:pPr>
      <w:hyperlink w:anchor="_Toc239686233" w:history="1">
        <w:r w:rsidRPr="00C27F82">
          <w:rPr>
            <w:rStyle w:val="aa"/>
            <w:rFonts w:ascii="宋体" w:hAnsi="宋体" w:hint="eastAsia"/>
            <w:noProof/>
            <w:sz w:val="24"/>
          </w:rPr>
          <w:t>十四、基金收益与分配</w:t>
        </w:r>
        <w:r w:rsidRPr="00C27F82">
          <w:rPr>
            <w:rFonts w:ascii="宋体" w:hAnsi="宋体"/>
            <w:noProof/>
            <w:sz w:val="24"/>
          </w:rPr>
          <w:tab/>
        </w:r>
        <w:r w:rsidRPr="00C27F82">
          <w:rPr>
            <w:rFonts w:ascii="宋体" w:hAnsi="宋体"/>
            <w:noProof/>
            <w:sz w:val="24"/>
          </w:rPr>
          <w:fldChar w:fldCharType="begin"/>
        </w:r>
        <w:r w:rsidRPr="00C27F82">
          <w:rPr>
            <w:rFonts w:ascii="宋体" w:hAnsi="宋体"/>
            <w:noProof/>
            <w:sz w:val="24"/>
          </w:rPr>
          <w:instrText xml:space="preserve"> PAGEREF _Toc239686233 \h </w:instrText>
        </w:r>
        <w:r w:rsidRPr="00C27F82">
          <w:rPr>
            <w:rFonts w:ascii="宋体" w:hAnsi="宋体"/>
            <w:noProof/>
            <w:sz w:val="24"/>
          </w:rPr>
        </w:r>
        <w:r w:rsidRPr="00C27F82">
          <w:rPr>
            <w:rFonts w:ascii="宋体" w:hAnsi="宋体"/>
            <w:noProof/>
            <w:sz w:val="24"/>
          </w:rPr>
          <w:fldChar w:fldCharType="separate"/>
        </w:r>
        <w:r w:rsidRPr="00C27F82">
          <w:rPr>
            <w:rFonts w:ascii="宋体" w:hAnsi="宋体"/>
            <w:noProof/>
            <w:sz w:val="24"/>
          </w:rPr>
          <w:t>92</w:t>
        </w:r>
        <w:r w:rsidRPr="00C27F82">
          <w:rPr>
            <w:rFonts w:ascii="宋体" w:hAnsi="宋体"/>
            <w:noProof/>
            <w:sz w:val="24"/>
          </w:rPr>
          <w:fldChar w:fldCharType="end"/>
        </w:r>
      </w:hyperlink>
    </w:p>
    <w:p w:rsidR="00C27F82" w:rsidRPr="00C27F82" w:rsidRDefault="00C27F82" w:rsidP="00C27F82">
      <w:pPr>
        <w:pStyle w:val="10"/>
        <w:tabs>
          <w:tab w:val="right" w:leader="dot" w:pos="8550"/>
        </w:tabs>
        <w:spacing w:line="360" w:lineRule="auto"/>
        <w:rPr>
          <w:rFonts w:ascii="宋体" w:hAnsi="宋体" w:cstheme="minorBidi"/>
          <w:noProof/>
          <w:sz w:val="24"/>
        </w:rPr>
      </w:pPr>
      <w:hyperlink w:anchor="_Toc239686234" w:history="1">
        <w:r w:rsidRPr="00C27F82">
          <w:rPr>
            <w:rStyle w:val="aa"/>
            <w:rFonts w:ascii="宋体" w:hAnsi="宋体" w:hint="eastAsia"/>
            <w:noProof/>
            <w:sz w:val="24"/>
          </w:rPr>
          <w:t>十五、基金的费用与税收</w:t>
        </w:r>
        <w:r w:rsidRPr="00C27F82">
          <w:rPr>
            <w:rFonts w:ascii="宋体" w:hAnsi="宋体"/>
            <w:noProof/>
            <w:sz w:val="24"/>
          </w:rPr>
          <w:tab/>
        </w:r>
        <w:r w:rsidRPr="00C27F82">
          <w:rPr>
            <w:rFonts w:ascii="宋体" w:hAnsi="宋体"/>
            <w:noProof/>
            <w:sz w:val="24"/>
          </w:rPr>
          <w:fldChar w:fldCharType="begin"/>
        </w:r>
        <w:r w:rsidRPr="00C27F82">
          <w:rPr>
            <w:rFonts w:ascii="宋体" w:hAnsi="宋体"/>
            <w:noProof/>
            <w:sz w:val="24"/>
          </w:rPr>
          <w:instrText xml:space="preserve"> PAGEREF _Toc239686234 \h </w:instrText>
        </w:r>
        <w:r w:rsidRPr="00C27F82">
          <w:rPr>
            <w:rFonts w:ascii="宋体" w:hAnsi="宋体"/>
            <w:noProof/>
            <w:sz w:val="24"/>
          </w:rPr>
        </w:r>
        <w:r w:rsidRPr="00C27F82">
          <w:rPr>
            <w:rFonts w:ascii="宋体" w:hAnsi="宋体"/>
            <w:noProof/>
            <w:sz w:val="24"/>
          </w:rPr>
          <w:fldChar w:fldCharType="separate"/>
        </w:r>
        <w:r w:rsidRPr="00C27F82">
          <w:rPr>
            <w:rFonts w:ascii="宋体" w:hAnsi="宋体"/>
            <w:noProof/>
            <w:sz w:val="24"/>
          </w:rPr>
          <w:t>94</w:t>
        </w:r>
        <w:r w:rsidRPr="00C27F82">
          <w:rPr>
            <w:rFonts w:ascii="宋体" w:hAnsi="宋体"/>
            <w:noProof/>
            <w:sz w:val="24"/>
          </w:rPr>
          <w:fldChar w:fldCharType="end"/>
        </w:r>
      </w:hyperlink>
    </w:p>
    <w:p w:rsidR="00C27F82" w:rsidRPr="00C27F82" w:rsidRDefault="00C27F82" w:rsidP="00C27F82">
      <w:pPr>
        <w:pStyle w:val="10"/>
        <w:tabs>
          <w:tab w:val="right" w:leader="dot" w:pos="8550"/>
        </w:tabs>
        <w:spacing w:line="360" w:lineRule="auto"/>
        <w:rPr>
          <w:rFonts w:ascii="宋体" w:hAnsi="宋体" w:cstheme="minorBidi"/>
          <w:noProof/>
          <w:sz w:val="24"/>
        </w:rPr>
      </w:pPr>
      <w:hyperlink w:anchor="_Toc239686235" w:history="1">
        <w:r w:rsidRPr="00C27F82">
          <w:rPr>
            <w:rStyle w:val="aa"/>
            <w:rFonts w:ascii="宋体" w:hAnsi="宋体" w:hint="eastAsia"/>
            <w:noProof/>
            <w:sz w:val="24"/>
          </w:rPr>
          <w:t>十六、基金的会计与审计</w:t>
        </w:r>
        <w:r w:rsidRPr="00C27F82">
          <w:rPr>
            <w:rFonts w:ascii="宋体" w:hAnsi="宋体"/>
            <w:noProof/>
            <w:sz w:val="24"/>
          </w:rPr>
          <w:tab/>
        </w:r>
        <w:r w:rsidRPr="00C27F82">
          <w:rPr>
            <w:rFonts w:ascii="宋体" w:hAnsi="宋体"/>
            <w:noProof/>
            <w:sz w:val="24"/>
          </w:rPr>
          <w:fldChar w:fldCharType="begin"/>
        </w:r>
        <w:r w:rsidRPr="00C27F82">
          <w:rPr>
            <w:rFonts w:ascii="宋体" w:hAnsi="宋体"/>
            <w:noProof/>
            <w:sz w:val="24"/>
          </w:rPr>
          <w:instrText xml:space="preserve"> PAGEREF _Toc239686235 \h </w:instrText>
        </w:r>
        <w:r w:rsidRPr="00C27F82">
          <w:rPr>
            <w:rFonts w:ascii="宋体" w:hAnsi="宋体"/>
            <w:noProof/>
            <w:sz w:val="24"/>
          </w:rPr>
        </w:r>
        <w:r w:rsidRPr="00C27F82">
          <w:rPr>
            <w:rFonts w:ascii="宋体" w:hAnsi="宋体"/>
            <w:noProof/>
            <w:sz w:val="24"/>
          </w:rPr>
          <w:fldChar w:fldCharType="separate"/>
        </w:r>
        <w:r w:rsidRPr="00C27F82">
          <w:rPr>
            <w:rFonts w:ascii="宋体" w:hAnsi="宋体"/>
            <w:noProof/>
            <w:sz w:val="24"/>
          </w:rPr>
          <w:t>98</w:t>
        </w:r>
        <w:r w:rsidRPr="00C27F82">
          <w:rPr>
            <w:rFonts w:ascii="宋体" w:hAnsi="宋体"/>
            <w:noProof/>
            <w:sz w:val="24"/>
          </w:rPr>
          <w:fldChar w:fldCharType="end"/>
        </w:r>
      </w:hyperlink>
    </w:p>
    <w:p w:rsidR="00C27F82" w:rsidRPr="00C27F82" w:rsidRDefault="00C27F82" w:rsidP="00C27F82">
      <w:pPr>
        <w:pStyle w:val="10"/>
        <w:tabs>
          <w:tab w:val="right" w:leader="dot" w:pos="8550"/>
        </w:tabs>
        <w:spacing w:line="360" w:lineRule="auto"/>
        <w:rPr>
          <w:rFonts w:ascii="宋体" w:hAnsi="宋体" w:cstheme="minorBidi"/>
          <w:noProof/>
          <w:sz w:val="24"/>
        </w:rPr>
      </w:pPr>
      <w:hyperlink w:anchor="_Toc239686236" w:history="1">
        <w:r w:rsidRPr="00C27F82">
          <w:rPr>
            <w:rStyle w:val="aa"/>
            <w:rFonts w:ascii="宋体" w:hAnsi="宋体" w:hint="eastAsia"/>
            <w:noProof/>
            <w:sz w:val="24"/>
          </w:rPr>
          <w:t>十七、基金的信息披露</w:t>
        </w:r>
        <w:r w:rsidRPr="00C27F82">
          <w:rPr>
            <w:rFonts w:ascii="宋体" w:hAnsi="宋体"/>
            <w:noProof/>
            <w:sz w:val="24"/>
          </w:rPr>
          <w:tab/>
        </w:r>
        <w:r w:rsidRPr="00C27F82">
          <w:rPr>
            <w:rFonts w:ascii="宋体" w:hAnsi="宋体"/>
            <w:noProof/>
            <w:sz w:val="24"/>
          </w:rPr>
          <w:fldChar w:fldCharType="begin"/>
        </w:r>
        <w:r w:rsidRPr="00C27F82">
          <w:rPr>
            <w:rFonts w:ascii="宋体" w:hAnsi="宋体"/>
            <w:noProof/>
            <w:sz w:val="24"/>
          </w:rPr>
          <w:instrText xml:space="preserve"> PAGEREF _Toc239686236 \h </w:instrText>
        </w:r>
        <w:r w:rsidRPr="00C27F82">
          <w:rPr>
            <w:rFonts w:ascii="宋体" w:hAnsi="宋体"/>
            <w:noProof/>
            <w:sz w:val="24"/>
          </w:rPr>
        </w:r>
        <w:r w:rsidRPr="00C27F82">
          <w:rPr>
            <w:rFonts w:ascii="宋体" w:hAnsi="宋体"/>
            <w:noProof/>
            <w:sz w:val="24"/>
          </w:rPr>
          <w:fldChar w:fldCharType="separate"/>
        </w:r>
        <w:r w:rsidRPr="00C27F82">
          <w:rPr>
            <w:rFonts w:ascii="宋体" w:hAnsi="宋体"/>
            <w:noProof/>
            <w:sz w:val="24"/>
          </w:rPr>
          <w:t>99</w:t>
        </w:r>
        <w:r w:rsidRPr="00C27F82">
          <w:rPr>
            <w:rFonts w:ascii="宋体" w:hAnsi="宋体"/>
            <w:noProof/>
            <w:sz w:val="24"/>
          </w:rPr>
          <w:fldChar w:fldCharType="end"/>
        </w:r>
      </w:hyperlink>
    </w:p>
    <w:p w:rsidR="00C27F82" w:rsidRPr="00C27F82" w:rsidRDefault="00C27F82" w:rsidP="00C27F82">
      <w:pPr>
        <w:pStyle w:val="10"/>
        <w:tabs>
          <w:tab w:val="right" w:leader="dot" w:pos="8550"/>
        </w:tabs>
        <w:spacing w:line="360" w:lineRule="auto"/>
        <w:rPr>
          <w:rFonts w:ascii="宋体" w:hAnsi="宋体" w:cstheme="minorBidi"/>
          <w:noProof/>
          <w:sz w:val="24"/>
        </w:rPr>
      </w:pPr>
      <w:hyperlink w:anchor="_Toc239686237" w:history="1">
        <w:r w:rsidRPr="00C27F82">
          <w:rPr>
            <w:rStyle w:val="aa"/>
            <w:rFonts w:ascii="宋体" w:hAnsi="宋体" w:hint="eastAsia"/>
            <w:noProof/>
            <w:sz w:val="24"/>
          </w:rPr>
          <w:t>十八、风险揭示</w:t>
        </w:r>
        <w:r w:rsidRPr="00C27F82">
          <w:rPr>
            <w:rFonts w:ascii="宋体" w:hAnsi="宋体"/>
            <w:noProof/>
            <w:sz w:val="24"/>
          </w:rPr>
          <w:tab/>
        </w:r>
        <w:r w:rsidRPr="00C27F82">
          <w:rPr>
            <w:rFonts w:ascii="宋体" w:hAnsi="宋体"/>
            <w:noProof/>
            <w:sz w:val="24"/>
          </w:rPr>
          <w:fldChar w:fldCharType="begin"/>
        </w:r>
        <w:r w:rsidRPr="00C27F82">
          <w:rPr>
            <w:rFonts w:ascii="宋体" w:hAnsi="宋体"/>
            <w:noProof/>
            <w:sz w:val="24"/>
          </w:rPr>
          <w:instrText xml:space="preserve"> PAGEREF _Toc239686237 \h </w:instrText>
        </w:r>
        <w:r w:rsidRPr="00C27F82">
          <w:rPr>
            <w:rFonts w:ascii="宋体" w:hAnsi="宋体"/>
            <w:noProof/>
            <w:sz w:val="24"/>
          </w:rPr>
        </w:r>
        <w:r w:rsidRPr="00C27F82">
          <w:rPr>
            <w:rFonts w:ascii="宋体" w:hAnsi="宋体"/>
            <w:noProof/>
            <w:sz w:val="24"/>
          </w:rPr>
          <w:fldChar w:fldCharType="separate"/>
        </w:r>
        <w:r w:rsidRPr="00C27F82">
          <w:rPr>
            <w:rFonts w:ascii="宋体" w:hAnsi="宋体"/>
            <w:noProof/>
            <w:sz w:val="24"/>
          </w:rPr>
          <w:t>106</w:t>
        </w:r>
        <w:r w:rsidRPr="00C27F82">
          <w:rPr>
            <w:rFonts w:ascii="宋体" w:hAnsi="宋体"/>
            <w:noProof/>
            <w:sz w:val="24"/>
          </w:rPr>
          <w:fldChar w:fldCharType="end"/>
        </w:r>
      </w:hyperlink>
    </w:p>
    <w:p w:rsidR="00C27F82" w:rsidRPr="00C27F82" w:rsidRDefault="00C27F82" w:rsidP="00C27F82">
      <w:pPr>
        <w:pStyle w:val="10"/>
        <w:tabs>
          <w:tab w:val="right" w:leader="dot" w:pos="8550"/>
        </w:tabs>
        <w:spacing w:line="360" w:lineRule="auto"/>
        <w:rPr>
          <w:rFonts w:ascii="宋体" w:hAnsi="宋体" w:cstheme="minorBidi"/>
          <w:noProof/>
          <w:sz w:val="24"/>
        </w:rPr>
      </w:pPr>
      <w:hyperlink w:anchor="_Toc239686238" w:history="1">
        <w:r w:rsidRPr="00C27F82">
          <w:rPr>
            <w:rStyle w:val="aa"/>
            <w:rFonts w:ascii="宋体" w:hAnsi="宋体" w:hint="eastAsia"/>
            <w:noProof/>
            <w:sz w:val="24"/>
          </w:rPr>
          <w:t>十九、基金合同的变更、终止与基金财产的清算</w:t>
        </w:r>
        <w:r w:rsidRPr="00C27F82">
          <w:rPr>
            <w:rFonts w:ascii="宋体" w:hAnsi="宋体"/>
            <w:noProof/>
            <w:sz w:val="24"/>
          </w:rPr>
          <w:tab/>
        </w:r>
        <w:r w:rsidRPr="00C27F82">
          <w:rPr>
            <w:rFonts w:ascii="宋体" w:hAnsi="宋体"/>
            <w:noProof/>
            <w:sz w:val="24"/>
          </w:rPr>
          <w:fldChar w:fldCharType="begin"/>
        </w:r>
        <w:r w:rsidRPr="00C27F82">
          <w:rPr>
            <w:rFonts w:ascii="宋体" w:hAnsi="宋体"/>
            <w:noProof/>
            <w:sz w:val="24"/>
          </w:rPr>
          <w:instrText xml:space="preserve"> PAGEREF _Toc239686238 \h </w:instrText>
        </w:r>
        <w:r w:rsidRPr="00C27F82">
          <w:rPr>
            <w:rFonts w:ascii="宋体" w:hAnsi="宋体"/>
            <w:noProof/>
            <w:sz w:val="24"/>
          </w:rPr>
        </w:r>
        <w:r w:rsidRPr="00C27F82">
          <w:rPr>
            <w:rFonts w:ascii="宋体" w:hAnsi="宋体"/>
            <w:noProof/>
            <w:sz w:val="24"/>
          </w:rPr>
          <w:fldChar w:fldCharType="separate"/>
        </w:r>
        <w:r w:rsidRPr="00C27F82">
          <w:rPr>
            <w:rFonts w:ascii="宋体" w:hAnsi="宋体"/>
            <w:noProof/>
            <w:sz w:val="24"/>
          </w:rPr>
          <w:t>117</w:t>
        </w:r>
        <w:r w:rsidRPr="00C27F82">
          <w:rPr>
            <w:rFonts w:ascii="宋体" w:hAnsi="宋体"/>
            <w:noProof/>
            <w:sz w:val="24"/>
          </w:rPr>
          <w:fldChar w:fldCharType="end"/>
        </w:r>
      </w:hyperlink>
    </w:p>
    <w:p w:rsidR="00C27F82" w:rsidRPr="00C27F82" w:rsidRDefault="00C27F82" w:rsidP="00C27F82">
      <w:pPr>
        <w:pStyle w:val="10"/>
        <w:tabs>
          <w:tab w:val="right" w:leader="dot" w:pos="8550"/>
        </w:tabs>
        <w:spacing w:line="360" w:lineRule="auto"/>
        <w:rPr>
          <w:rFonts w:ascii="宋体" w:hAnsi="宋体" w:cstheme="minorBidi"/>
          <w:noProof/>
          <w:sz w:val="24"/>
        </w:rPr>
      </w:pPr>
      <w:hyperlink w:anchor="_Toc239686239" w:history="1">
        <w:r w:rsidRPr="00C27F82">
          <w:rPr>
            <w:rStyle w:val="aa"/>
            <w:rFonts w:ascii="宋体" w:hAnsi="宋体" w:hint="eastAsia"/>
            <w:noProof/>
            <w:sz w:val="24"/>
          </w:rPr>
          <w:t>二十、基金合同内容摘要</w:t>
        </w:r>
        <w:r w:rsidRPr="00C27F82">
          <w:rPr>
            <w:rFonts w:ascii="宋体" w:hAnsi="宋体"/>
            <w:noProof/>
            <w:sz w:val="24"/>
          </w:rPr>
          <w:tab/>
        </w:r>
        <w:r w:rsidRPr="00C27F82">
          <w:rPr>
            <w:rFonts w:ascii="宋体" w:hAnsi="宋体"/>
            <w:noProof/>
            <w:sz w:val="24"/>
          </w:rPr>
          <w:fldChar w:fldCharType="begin"/>
        </w:r>
        <w:r w:rsidRPr="00C27F82">
          <w:rPr>
            <w:rFonts w:ascii="宋体" w:hAnsi="宋体"/>
            <w:noProof/>
            <w:sz w:val="24"/>
          </w:rPr>
          <w:instrText xml:space="preserve"> PAGEREF _Toc239686239 \h </w:instrText>
        </w:r>
        <w:r w:rsidRPr="00C27F82">
          <w:rPr>
            <w:rFonts w:ascii="宋体" w:hAnsi="宋体"/>
            <w:noProof/>
            <w:sz w:val="24"/>
          </w:rPr>
        </w:r>
        <w:r w:rsidRPr="00C27F82">
          <w:rPr>
            <w:rFonts w:ascii="宋体" w:hAnsi="宋体"/>
            <w:noProof/>
            <w:sz w:val="24"/>
          </w:rPr>
          <w:fldChar w:fldCharType="separate"/>
        </w:r>
        <w:r w:rsidRPr="00C27F82">
          <w:rPr>
            <w:rFonts w:ascii="宋体" w:hAnsi="宋体"/>
            <w:noProof/>
            <w:sz w:val="24"/>
          </w:rPr>
          <w:t>119</w:t>
        </w:r>
        <w:r w:rsidRPr="00C27F82">
          <w:rPr>
            <w:rFonts w:ascii="宋体" w:hAnsi="宋体"/>
            <w:noProof/>
            <w:sz w:val="24"/>
          </w:rPr>
          <w:fldChar w:fldCharType="end"/>
        </w:r>
      </w:hyperlink>
    </w:p>
    <w:p w:rsidR="00C27F82" w:rsidRPr="00C27F82" w:rsidRDefault="00C27F82" w:rsidP="00C27F82">
      <w:pPr>
        <w:pStyle w:val="10"/>
        <w:tabs>
          <w:tab w:val="right" w:leader="dot" w:pos="8550"/>
        </w:tabs>
        <w:spacing w:line="360" w:lineRule="auto"/>
        <w:rPr>
          <w:rFonts w:ascii="宋体" w:hAnsi="宋体" w:cstheme="minorBidi"/>
          <w:noProof/>
          <w:sz w:val="24"/>
        </w:rPr>
      </w:pPr>
      <w:hyperlink w:anchor="_Toc239686240" w:history="1">
        <w:r w:rsidRPr="00C27F82">
          <w:rPr>
            <w:rStyle w:val="aa"/>
            <w:rFonts w:ascii="宋体" w:hAnsi="宋体" w:hint="eastAsia"/>
            <w:noProof/>
            <w:sz w:val="24"/>
          </w:rPr>
          <w:t>二十一、托管协议的内容摘要</w:t>
        </w:r>
        <w:r w:rsidRPr="00C27F82">
          <w:rPr>
            <w:rFonts w:ascii="宋体" w:hAnsi="宋体"/>
            <w:noProof/>
            <w:sz w:val="24"/>
          </w:rPr>
          <w:tab/>
        </w:r>
        <w:r w:rsidRPr="00C27F82">
          <w:rPr>
            <w:rFonts w:ascii="宋体" w:hAnsi="宋体"/>
            <w:noProof/>
            <w:sz w:val="24"/>
          </w:rPr>
          <w:fldChar w:fldCharType="begin"/>
        </w:r>
        <w:r w:rsidRPr="00C27F82">
          <w:rPr>
            <w:rFonts w:ascii="宋体" w:hAnsi="宋体"/>
            <w:noProof/>
            <w:sz w:val="24"/>
          </w:rPr>
          <w:instrText xml:space="preserve"> PAGEREF _Toc239686240 \h </w:instrText>
        </w:r>
        <w:r w:rsidRPr="00C27F82">
          <w:rPr>
            <w:rFonts w:ascii="宋体" w:hAnsi="宋体"/>
            <w:noProof/>
            <w:sz w:val="24"/>
          </w:rPr>
        </w:r>
        <w:r w:rsidRPr="00C27F82">
          <w:rPr>
            <w:rFonts w:ascii="宋体" w:hAnsi="宋体"/>
            <w:noProof/>
            <w:sz w:val="24"/>
          </w:rPr>
          <w:fldChar w:fldCharType="separate"/>
        </w:r>
        <w:r w:rsidRPr="00C27F82">
          <w:rPr>
            <w:rFonts w:ascii="宋体" w:hAnsi="宋体"/>
            <w:noProof/>
            <w:sz w:val="24"/>
          </w:rPr>
          <w:t>135</w:t>
        </w:r>
        <w:r w:rsidRPr="00C27F82">
          <w:rPr>
            <w:rFonts w:ascii="宋体" w:hAnsi="宋体"/>
            <w:noProof/>
            <w:sz w:val="24"/>
          </w:rPr>
          <w:fldChar w:fldCharType="end"/>
        </w:r>
      </w:hyperlink>
    </w:p>
    <w:p w:rsidR="00C27F82" w:rsidRPr="00C27F82" w:rsidRDefault="00C27F82" w:rsidP="00C27F82">
      <w:pPr>
        <w:pStyle w:val="10"/>
        <w:tabs>
          <w:tab w:val="right" w:leader="dot" w:pos="8550"/>
        </w:tabs>
        <w:spacing w:line="360" w:lineRule="auto"/>
        <w:rPr>
          <w:rFonts w:ascii="宋体" w:hAnsi="宋体" w:cstheme="minorBidi"/>
          <w:noProof/>
          <w:sz w:val="24"/>
        </w:rPr>
      </w:pPr>
      <w:hyperlink w:anchor="_Toc239686241" w:history="1">
        <w:r w:rsidRPr="00C27F82">
          <w:rPr>
            <w:rStyle w:val="aa"/>
            <w:rFonts w:ascii="宋体" w:hAnsi="宋体" w:hint="eastAsia"/>
            <w:noProof/>
            <w:sz w:val="24"/>
          </w:rPr>
          <w:t>二十二、对基金份额持有人的服务</w:t>
        </w:r>
        <w:r w:rsidRPr="00C27F82">
          <w:rPr>
            <w:rFonts w:ascii="宋体" w:hAnsi="宋体"/>
            <w:noProof/>
            <w:sz w:val="24"/>
          </w:rPr>
          <w:tab/>
        </w:r>
        <w:r w:rsidRPr="00C27F82">
          <w:rPr>
            <w:rFonts w:ascii="宋体" w:hAnsi="宋体"/>
            <w:noProof/>
            <w:sz w:val="24"/>
          </w:rPr>
          <w:fldChar w:fldCharType="begin"/>
        </w:r>
        <w:r w:rsidRPr="00C27F82">
          <w:rPr>
            <w:rFonts w:ascii="宋体" w:hAnsi="宋体"/>
            <w:noProof/>
            <w:sz w:val="24"/>
          </w:rPr>
          <w:instrText xml:space="preserve"> PAGEREF _Toc239686241 \h </w:instrText>
        </w:r>
        <w:r w:rsidRPr="00C27F82">
          <w:rPr>
            <w:rFonts w:ascii="宋体" w:hAnsi="宋体"/>
            <w:noProof/>
            <w:sz w:val="24"/>
          </w:rPr>
        </w:r>
        <w:r w:rsidRPr="00C27F82">
          <w:rPr>
            <w:rFonts w:ascii="宋体" w:hAnsi="宋体"/>
            <w:noProof/>
            <w:sz w:val="24"/>
          </w:rPr>
          <w:fldChar w:fldCharType="separate"/>
        </w:r>
        <w:r w:rsidRPr="00C27F82">
          <w:rPr>
            <w:rFonts w:ascii="宋体" w:hAnsi="宋体"/>
            <w:noProof/>
            <w:sz w:val="24"/>
          </w:rPr>
          <w:t>152</w:t>
        </w:r>
        <w:r w:rsidRPr="00C27F82">
          <w:rPr>
            <w:rFonts w:ascii="宋体" w:hAnsi="宋体"/>
            <w:noProof/>
            <w:sz w:val="24"/>
          </w:rPr>
          <w:fldChar w:fldCharType="end"/>
        </w:r>
      </w:hyperlink>
    </w:p>
    <w:p w:rsidR="00C27F82" w:rsidRPr="00C27F82" w:rsidRDefault="00C27F82" w:rsidP="00C27F82">
      <w:pPr>
        <w:pStyle w:val="10"/>
        <w:tabs>
          <w:tab w:val="right" w:leader="dot" w:pos="8550"/>
        </w:tabs>
        <w:spacing w:line="360" w:lineRule="auto"/>
        <w:rPr>
          <w:rFonts w:ascii="宋体" w:hAnsi="宋体" w:cstheme="minorBidi"/>
          <w:noProof/>
          <w:sz w:val="24"/>
        </w:rPr>
      </w:pPr>
      <w:hyperlink w:anchor="_Toc239686242" w:history="1">
        <w:r w:rsidRPr="00C27F82">
          <w:rPr>
            <w:rStyle w:val="aa"/>
            <w:rFonts w:ascii="宋体" w:hAnsi="宋体" w:hint="eastAsia"/>
            <w:noProof/>
            <w:sz w:val="24"/>
          </w:rPr>
          <w:t>二十三、其他应披露事项</w:t>
        </w:r>
        <w:r w:rsidRPr="00C27F82">
          <w:rPr>
            <w:rFonts w:ascii="宋体" w:hAnsi="宋体"/>
            <w:noProof/>
            <w:sz w:val="24"/>
          </w:rPr>
          <w:tab/>
        </w:r>
        <w:r w:rsidRPr="00C27F82">
          <w:rPr>
            <w:rFonts w:ascii="宋体" w:hAnsi="宋体"/>
            <w:noProof/>
            <w:sz w:val="24"/>
          </w:rPr>
          <w:fldChar w:fldCharType="begin"/>
        </w:r>
        <w:r w:rsidRPr="00C27F82">
          <w:rPr>
            <w:rFonts w:ascii="宋体" w:hAnsi="宋体"/>
            <w:noProof/>
            <w:sz w:val="24"/>
          </w:rPr>
          <w:instrText xml:space="preserve"> PAGEREF _Toc239686242 \h </w:instrText>
        </w:r>
        <w:r w:rsidRPr="00C27F82">
          <w:rPr>
            <w:rFonts w:ascii="宋体" w:hAnsi="宋体"/>
            <w:noProof/>
            <w:sz w:val="24"/>
          </w:rPr>
        </w:r>
        <w:r w:rsidRPr="00C27F82">
          <w:rPr>
            <w:rFonts w:ascii="宋体" w:hAnsi="宋体"/>
            <w:noProof/>
            <w:sz w:val="24"/>
          </w:rPr>
          <w:fldChar w:fldCharType="separate"/>
        </w:r>
        <w:r w:rsidRPr="00C27F82">
          <w:rPr>
            <w:rFonts w:ascii="宋体" w:hAnsi="宋体"/>
            <w:noProof/>
            <w:sz w:val="24"/>
          </w:rPr>
          <w:t>154</w:t>
        </w:r>
        <w:r w:rsidRPr="00C27F82">
          <w:rPr>
            <w:rFonts w:ascii="宋体" w:hAnsi="宋体"/>
            <w:noProof/>
            <w:sz w:val="24"/>
          </w:rPr>
          <w:fldChar w:fldCharType="end"/>
        </w:r>
      </w:hyperlink>
    </w:p>
    <w:p w:rsidR="00C27F82" w:rsidRPr="00C27F82" w:rsidRDefault="00C27F82" w:rsidP="00C27F82">
      <w:pPr>
        <w:pStyle w:val="10"/>
        <w:tabs>
          <w:tab w:val="right" w:leader="dot" w:pos="8550"/>
        </w:tabs>
        <w:spacing w:line="360" w:lineRule="auto"/>
        <w:rPr>
          <w:rFonts w:ascii="宋体" w:hAnsi="宋体" w:cstheme="minorBidi"/>
          <w:noProof/>
          <w:sz w:val="24"/>
        </w:rPr>
      </w:pPr>
      <w:hyperlink w:anchor="_Toc239686243" w:history="1">
        <w:r w:rsidRPr="00C27F82">
          <w:rPr>
            <w:rStyle w:val="aa"/>
            <w:rFonts w:ascii="宋体" w:hAnsi="宋体" w:hint="eastAsia"/>
            <w:noProof/>
            <w:sz w:val="24"/>
          </w:rPr>
          <w:t>二十四、招募说明书的存放及查阅方式</w:t>
        </w:r>
        <w:r w:rsidRPr="00C27F82">
          <w:rPr>
            <w:rFonts w:ascii="宋体" w:hAnsi="宋体"/>
            <w:noProof/>
            <w:sz w:val="24"/>
          </w:rPr>
          <w:tab/>
        </w:r>
        <w:r w:rsidRPr="00C27F82">
          <w:rPr>
            <w:rFonts w:ascii="宋体" w:hAnsi="宋体"/>
            <w:noProof/>
            <w:sz w:val="24"/>
          </w:rPr>
          <w:fldChar w:fldCharType="begin"/>
        </w:r>
        <w:r w:rsidRPr="00C27F82">
          <w:rPr>
            <w:rFonts w:ascii="宋体" w:hAnsi="宋体"/>
            <w:noProof/>
            <w:sz w:val="24"/>
          </w:rPr>
          <w:instrText xml:space="preserve"> PAGEREF _Toc239686243 \h </w:instrText>
        </w:r>
        <w:r w:rsidRPr="00C27F82">
          <w:rPr>
            <w:rFonts w:ascii="宋体" w:hAnsi="宋体"/>
            <w:noProof/>
            <w:sz w:val="24"/>
          </w:rPr>
        </w:r>
        <w:r w:rsidRPr="00C27F82">
          <w:rPr>
            <w:rFonts w:ascii="宋体" w:hAnsi="宋体"/>
            <w:noProof/>
            <w:sz w:val="24"/>
          </w:rPr>
          <w:fldChar w:fldCharType="separate"/>
        </w:r>
        <w:r w:rsidRPr="00C27F82">
          <w:rPr>
            <w:rFonts w:ascii="宋体" w:hAnsi="宋体"/>
            <w:noProof/>
            <w:sz w:val="24"/>
          </w:rPr>
          <w:t>156</w:t>
        </w:r>
        <w:r w:rsidRPr="00C27F82">
          <w:rPr>
            <w:rFonts w:ascii="宋体" w:hAnsi="宋体"/>
            <w:noProof/>
            <w:sz w:val="24"/>
          </w:rPr>
          <w:fldChar w:fldCharType="end"/>
        </w:r>
      </w:hyperlink>
    </w:p>
    <w:p w:rsidR="00C27F82" w:rsidRPr="00C27F82" w:rsidRDefault="00C27F82" w:rsidP="00C27F82">
      <w:pPr>
        <w:pStyle w:val="10"/>
        <w:tabs>
          <w:tab w:val="right" w:leader="dot" w:pos="8550"/>
        </w:tabs>
        <w:spacing w:line="360" w:lineRule="auto"/>
        <w:rPr>
          <w:rFonts w:ascii="宋体" w:hAnsi="宋体" w:cstheme="minorBidi"/>
          <w:noProof/>
          <w:sz w:val="24"/>
        </w:rPr>
      </w:pPr>
      <w:hyperlink w:anchor="_Toc239686244" w:history="1">
        <w:r w:rsidRPr="00C27F82">
          <w:rPr>
            <w:rStyle w:val="aa"/>
            <w:rFonts w:ascii="宋体" w:hAnsi="宋体" w:hint="eastAsia"/>
            <w:noProof/>
            <w:sz w:val="24"/>
          </w:rPr>
          <w:t>二十五、备查文件</w:t>
        </w:r>
        <w:r w:rsidRPr="00C27F82">
          <w:rPr>
            <w:rFonts w:ascii="宋体" w:hAnsi="宋体"/>
            <w:noProof/>
            <w:sz w:val="24"/>
          </w:rPr>
          <w:tab/>
        </w:r>
        <w:r w:rsidRPr="00C27F82">
          <w:rPr>
            <w:rFonts w:ascii="宋体" w:hAnsi="宋体"/>
            <w:noProof/>
            <w:sz w:val="24"/>
          </w:rPr>
          <w:fldChar w:fldCharType="begin"/>
        </w:r>
        <w:r w:rsidRPr="00C27F82">
          <w:rPr>
            <w:rFonts w:ascii="宋体" w:hAnsi="宋体"/>
            <w:noProof/>
            <w:sz w:val="24"/>
          </w:rPr>
          <w:instrText xml:space="preserve"> PAGEREF _Toc239686244 \h </w:instrText>
        </w:r>
        <w:r w:rsidRPr="00C27F82">
          <w:rPr>
            <w:rFonts w:ascii="宋体" w:hAnsi="宋体"/>
            <w:noProof/>
            <w:sz w:val="24"/>
          </w:rPr>
        </w:r>
        <w:r w:rsidRPr="00C27F82">
          <w:rPr>
            <w:rFonts w:ascii="宋体" w:hAnsi="宋体"/>
            <w:noProof/>
            <w:sz w:val="24"/>
          </w:rPr>
          <w:fldChar w:fldCharType="separate"/>
        </w:r>
        <w:r w:rsidRPr="00C27F82">
          <w:rPr>
            <w:rFonts w:ascii="宋体" w:hAnsi="宋体"/>
            <w:noProof/>
            <w:sz w:val="24"/>
          </w:rPr>
          <w:t>157</w:t>
        </w:r>
        <w:r w:rsidRPr="00C27F82">
          <w:rPr>
            <w:rFonts w:ascii="宋体" w:hAnsi="宋体"/>
            <w:noProof/>
            <w:sz w:val="24"/>
          </w:rPr>
          <w:fldChar w:fldCharType="end"/>
        </w:r>
      </w:hyperlink>
    </w:p>
    <w:p w:rsidR="005E553A" w:rsidRPr="00C27F82" w:rsidRDefault="00C27F82" w:rsidP="00C27F82">
      <w:pPr>
        <w:pStyle w:val="ad"/>
        <w:snapToGrid w:val="0"/>
        <w:spacing w:after="240" w:line="360" w:lineRule="auto"/>
        <w:jc w:val="center"/>
        <w:rPr>
          <w:rFonts w:ascii="宋体" w:hAnsi="宋体"/>
          <w:color w:val="000000"/>
          <w:sz w:val="24"/>
        </w:rPr>
      </w:pPr>
      <w:r w:rsidRPr="00C27F82">
        <w:rPr>
          <w:rFonts w:ascii="宋体" w:hAnsi="宋体"/>
          <w:color w:val="000000"/>
          <w:position w:val="-4"/>
          <w:sz w:val="24"/>
          <w:szCs w:val="30"/>
        </w:rPr>
        <w:fldChar w:fldCharType="end"/>
      </w:r>
      <w:bookmarkStart w:id="3" w:name="_GoBack"/>
      <w:bookmarkEnd w:id="3"/>
    </w:p>
    <w:p w:rsidR="005E553A" w:rsidRDefault="005E553A">
      <w:pPr>
        <w:autoSpaceDE w:val="0"/>
        <w:autoSpaceDN w:val="0"/>
        <w:adjustRightInd w:val="0"/>
        <w:snapToGrid w:val="0"/>
        <w:spacing w:line="360" w:lineRule="auto"/>
        <w:ind w:left="120" w:rightChars="6" w:right="13"/>
        <w:rPr>
          <w:rFonts w:ascii="宋体" w:hAnsi="宋体"/>
          <w:kern w:val="0"/>
          <w:szCs w:val="24"/>
        </w:rPr>
        <w:sectPr w:rsidR="005E553A">
          <w:pgSz w:w="11920" w:h="16840"/>
          <w:pgMar w:top="1480" w:right="1680" w:bottom="280" w:left="1680" w:header="0" w:footer="1073" w:gutter="0"/>
          <w:cols w:space="720"/>
        </w:sectPr>
      </w:pPr>
    </w:p>
    <w:p w:rsidR="005E553A" w:rsidRDefault="007A645A">
      <w:pPr>
        <w:pStyle w:val="1"/>
        <w:snapToGrid w:val="0"/>
        <w:spacing w:beforeLines="0" w:before="240" w:after="240"/>
        <w:rPr>
          <w:rFonts w:ascii="宋体" w:hAnsi="宋体"/>
          <w:szCs w:val="30"/>
        </w:rPr>
      </w:pPr>
      <w:bookmarkStart w:id="4" w:name="_Toc239686220"/>
      <w:r>
        <w:rPr>
          <w:rFonts w:ascii="Times New Roman" w:hAnsi="Times New Roman"/>
          <w:sz w:val="30"/>
        </w:rPr>
        <w:lastRenderedPageBreak/>
        <w:t>一、绪言</w:t>
      </w:r>
      <w:bookmarkEnd w:id="4"/>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养老目标日期2035三年持有期混合型基金中基金（FOF）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证券投资基金运作指引第2号——基金中基金指引》、《公开募集开放式证券投资基金流动性风险管理规定》（以下简称“《流动性风险管理规定》”）、《养老目标证券投资基金指引（试行）》和其他相关法律法规的规定以及《交银施罗德养老目标日期2035三年持有期混合型基金中基金（FOF）基金合同》（以下简称“基金合同”）编写。</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7A64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E553A" w:rsidRDefault="007A645A">
      <w:pPr>
        <w:pStyle w:val="1"/>
        <w:snapToGrid w:val="0"/>
        <w:spacing w:beforeLines="0" w:before="240" w:after="240"/>
        <w:rPr>
          <w:rFonts w:ascii="宋体" w:hAnsi="宋体"/>
          <w:szCs w:val="30"/>
        </w:rPr>
      </w:pPr>
      <w:bookmarkStart w:id="5" w:name="_Toc239686221"/>
      <w:r>
        <w:rPr>
          <w:rFonts w:ascii="Times New Roman" w:hAnsi="Times New Roman"/>
          <w:sz w:val="30"/>
        </w:rPr>
        <w:lastRenderedPageBreak/>
        <w:t>二、释义</w:t>
      </w:r>
      <w:bookmarkEnd w:id="5"/>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1、基金或本基金：指交银施罗德养老目标日期2035三年持有期混合型基金中基金（FOF）</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3、基金托管人：指中信银行股份有限公司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4、基金合同：指《交银施罗德养老目标日期2035三年持有期混合型基金中基金（FOF）基金合同》及对基金合同的任何有效修订和补充</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5、托管协议：指基金管理人与基金托管人就本基金签订之《交银施罗德养老目标日期2035三年持有期混合型基金中基金（FOF）托管协议》及对该托管协议的任何有效修订和补充</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6、招募说明书或本招募说明书：指《交银施罗德养老目标日期2035三年持有期混合型基金中基金（FOF）招募说明书》及其更新</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7、基金产品资料概要：指《交银施罗德养老目标日期2035三年持有期混合型基金中基金（FOF）基金产品资料概要》及其更新</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8、基金份额发售公告：指《交银施罗德养老目标日期2035三年持有期混合型基金中基金（FOF）基金份额发售公告》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11、《销售办法》：指《证券投资基金销售管理办法》及颁布机关对其不时做出的修订</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15、港股通：指内地投资者委托内地证券公司，经由内地证券交易所设立的证券交易服务公司，向香港联合交易所进行申报，买卖规定范围内的香港联合交易所上市的股票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16、中国证监会：指中国证券监督管理委员会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17、银行业监督管理机构：指中国人民银行和/或中国银行保险监督管理委员会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18、基金合同当事人：指受基金合同约束，根据基金合同享有权利并承担义务的法律主体，包括基金管理人、基金托管人和基金份额持有人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19、个人投资者：指依据有关法律法规规定可投资于证券投资基金的自然人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20、机构投资者：指依法可以投资证券投资基金的、在中华人民共和国境内合法登记并存续或经有关政府部门批准设立并存续的企业法人、事业法人、社会团体或其他组织</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21、合格境外机构投资者：指符合《合格境外机构投资者境内证券投资管理办法》及相关法律法规规定可以投资于在中国境内依法募集的证券投资基金的中国境外的机构投资者</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22、人民币合格境外机构投资者：指按照《人民币合格境外机构投资者境内证券投资试点办法》及相关法律法规规定，运用来自境外的人民币资金进行境内证券投资的境外法人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23、投资人、投资者：指个人投资者、机构投资者、合格境外机构投资者和人民币合格境外机构投资者以及法律法规或中国证监会允许购买证券投资基金的其他投资人的合称</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24、基金份额持有人：指依基金合同和招募说明书合法取得基金份额的投资人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25、基金销售业务：指基金管理人或销售机构宣传推介基金，发售基金份额，办理基金份额的申购、赎回、转换、转托管及定期定额投资等业务</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26、销售机构：指交银施罗德基金管理有限公司以及符合《销售办法》和中国证监会规定的其他条件，取得基金销售业务资格并与基金管理人签订了基金销售服务协议，办理基金销售业务的机构</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28、登记机构：指办理登记业务的机构。基金的登记机构为交银施罗德基金管理有限公司或接受交银施罗德基金管理有限公司委托代为办理登记业务的机构</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29、基金账户：指登记机构为投资人开立的、记录其持有的、基金管理人所管理的基金份额余额及其变动情况的账户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30、基金交易账户：指销售机构为投资人开立的、记录投资人通过该销售机构办理认购、申购、赎回、转换及转托管等业务而引起的基金份额变动及结余情况的账户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31、基金合同生效日：指基金募集达到法律法规规定及基金合同规定的条件，基金管理人向中国证监会办理基金备案手续完毕，并获得中国证监会书面确认的日期</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32、基金合同终止日：指基金合同规定的基金合同终止事由出现后，基金财产清算完毕，清算结果报中国证监会备案并予以公告的日期</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33、基金募集期：指自基金份额发售之日起至发售结束之日止的期间，最长不得超过3个月</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34、存续期：指基金合同生效至终止之间的不定期期限</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35、工作日：指上海证券交易所、深圳证券交易所的正常交易日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36、T日：指销售机构在规定时间受理投资人申购、赎回或其他业务申请的开放日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37、T+n日：指自T日起第n个工作日（不包含T日）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最短持有期限：基金份额持有人持有的每份基金份额最短持有期限为三年，在最短持有期限内该份基金份额不可赎回，自最短持有期限的下一工作日起（含该日）可赎回。对于每笔认购的基金份额而言，最短持有期限自基金合同生效之日起（含该日）至三年后的年度对日的前一日；对于每笔申购的基金份额而言，最短持有期限自该笔申购份额确认日（含该日，通常T日提交的有效申购申请于T+3日确认）至三年后的年度对日的前一日。到达目标日期（2035年12月31日）后，基金份额持有人持有的每份基金份额不再受最短持有期限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年度对日：指某一特定日期在后续日历年度中的对应日期，若该日历年度中不存在对应日期的，则该年度对日为该特定日期在后续日历年度中的对应月度的最后一日。如该年度对日为非工作日的，则顺延至下一个工作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40、开放日：指为投资人办理基金份额申购、赎回或其他业务的工作日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41、开放时间：指开放日基金接受申购、赎回或其他交易的时间段</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42、《业务规则》：指中国证券登记结算有限责任公司相关业务规则及其不时做出的修订</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43、认购：指在基金募集期内，投资人根据基金合同和招募说明书的规定申请购买基金份额的行为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44、申购：指基金合同生效后，投资人根据基金合同和招募说明书的规定申请购买基金份额的行为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45、赎回：指基金合同生效后，基金份额持有人按基金合同和招募说明书规定的条件要求将基金份额兑换为现金的行为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46、基金转换：指基金份额持有人按照基金合同和基金管理人届时有效公告规定的条件，申请将其持有基金管理人管理的、某一基金的基金份额转换为基金管理人管理的其他基金基金份额的行为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47、转托管：指基金份额持有人在本基金的不同销售机构之间实施的变更所持基金份额销售机构的操作</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50、元：指人民币元</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51、基金收益：指基金投资所得红利、股息、债券利息、买卖证券价差、银行存款利息、已实现的其他合法收入及因运用基金财产带来的成本和费用的节约</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52、基金资产总值：指基金拥有的各类有价证券、证券投资基金份额、银行存款本息、基金应收申购款及其他资产的价值总和</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53、基金资产净值：指基金资产总值减去基金负债后的价值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54、基金份额净值：指计算日基金资产净值除以计算日基金份额总数</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55、基金资产估值：指计算评估基金资产和负债的价值，以确定基金资产净值和基金份额净值的过程</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56、A类基金份额：指非针对个人养老金投资基金业务设立的基金份额</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57、Y类基金份额：指针对个人养老金投资基金业务设立的基金份额</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58、指定媒介：指中国证监会指定的用以进行信息披露的全国性报刊及指定互联网网站（包括基金管理人网站、基金托管人网站、中国证监会基金电子披露网站）等媒介</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61、不可抗力：指基金合同当事人不能预见、不能避免且不能克服的客观事件</w:t>
      </w:r>
    </w:p>
    <w:p w:rsidR="00B439CC" w:rsidRDefault="007A64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E553A" w:rsidRDefault="007A645A">
      <w:pPr>
        <w:pStyle w:val="1"/>
        <w:snapToGrid w:val="0"/>
        <w:spacing w:beforeLines="0" w:before="240" w:after="240"/>
        <w:rPr>
          <w:rFonts w:ascii="宋体" w:hAnsi="宋体"/>
          <w:szCs w:val="30"/>
        </w:rPr>
      </w:pPr>
      <w:bookmarkStart w:id="6" w:name="_Toc239686222"/>
      <w:r>
        <w:rPr>
          <w:rFonts w:ascii="Times New Roman" w:hAnsi="Times New Roman"/>
          <w:sz w:val="30"/>
        </w:rPr>
        <w:lastRenderedPageBreak/>
        <w:t>三、基金管理人</w:t>
      </w:r>
      <w:bookmarkEnd w:id="6"/>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w:t>
      </w:r>
      <w:r>
        <w:rPr>
          <w:rFonts w:ascii="宋体" w:hAnsi="宋体"/>
          <w:sz w:val="24"/>
        </w:rPr>
        <w:lastRenderedPageBreak/>
        <w:t>理；交通银行总行营运与渠道部副总经理。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陈玲斐女士:基金经理。复旦大学文学学士、上海交通大学工商管理硕士，12年证券投资行业从业经验。2011年至2014年任中国银行股份有限公司上海市分行产品经理，2014年至2019年任交通银行股份有限公司总行资产管理中心交易员/投资经理，2019年至2026年任交银理财有限责任公司固定收益部、多资产投资部投资经理。2026年加入交银施罗德基金管理有限公司，现任多元资产管理助理总监、基金经理。现任交银施罗德兴享一年持有期混合型基金中基金（FOF）(2026年08月22日至今)、交银施罗德养老目标日期2035三年持有期混合型基金中基金（FOF）(2026年08月22日至今)、交银施罗德安悦平衡养老目标三年持有期混合型发起式基金中基金（FOF）(2026年08月22日至今)、交银施罗德优享一年持有期混合型基金中基金（FOF）(2026年08月22日至今)的基金经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杨喆女士(2020年04月29日至2021年05月21日)；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蔡铮先生(2021年04月30日至2025年01月22日)；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刘兵先生(2023年01月07日至2026年09月03日)。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4、按照基金合同的约定确定基金收益分配方案，及时向基金份额持有人分配收益；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w:t>
      </w:r>
      <w:r>
        <w:rPr>
          <w:rFonts w:ascii="宋体" w:hAnsi="宋体"/>
          <w:sz w:val="24"/>
        </w:rPr>
        <w:lastRenderedPageBreak/>
        <w:t>谋取最大利益；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（1）建立内控体系，完善内控制度</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7A64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E553A" w:rsidRDefault="007A645A">
      <w:pPr>
        <w:pStyle w:val="1"/>
        <w:snapToGrid w:val="0"/>
        <w:spacing w:beforeLines="0" w:before="240" w:after="240"/>
        <w:rPr>
          <w:rFonts w:ascii="宋体" w:hAnsi="宋体"/>
          <w:szCs w:val="30"/>
        </w:rPr>
      </w:pPr>
      <w:bookmarkStart w:id="7" w:name="_Toc239686223"/>
      <w:r>
        <w:rPr>
          <w:rFonts w:ascii="Times New Roman" w:hAnsi="Times New Roman"/>
          <w:sz w:val="30"/>
        </w:rPr>
        <w:lastRenderedPageBreak/>
        <w:t>四、基金托管人</w:t>
      </w:r>
      <w:bookmarkEnd w:id="7"/>
    </w:p>
    <w:p w:rsidR="005E553A" w:rsidRDefault="007A64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（一）基金托管人基本情况</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名称：中信银行股份有限公司（简称“中信银行”）</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住所：北京市朝阳区光华路10号院1号楼6-30层、32-42层</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办公地址：北京市朝阳区光华路10号院1号楼6-30层、32-42层</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法定代表人：方合英</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批准设立文号：中华人民共和国国务院办公厅国办函[1987]14号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基金托管业务批准文号：中国证监会证监基金字[2004]125号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联系人：中信银行资产托管部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联系电话：4006800000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客服电话：95558</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网址：www.citicbank.com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本行成立于 1987年，是中国改革开放中最早成立的新兴商业银行之一，是中国最早参与国内外金融市场融资的商业银行，并以屡创中国现代金融史上多个第一而蜚声海内外，为中国经济建设作出了积极贡献。2007年4月，本行实现在上海证</w:t>
      </w:r>
      <w:r>
        <w:rPr>
          <w:rFonts w:ascii="宋体" w:hAnsi="宋体"/>
          <w:sz w:val="24"/>
        </w:rPr>
        <w:lastRenderedPageBreak/>
        <w:t>券交易所和香港联合交易所A+H股同步上市。</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依托中信集团“金融+实业”综合禀赋优势，以全面建设“四有”银行、跨入世界一流银行竞争前列为发展愿景，坚持诚实守信、以义取利、稳健审慎、守正创新、依法合规，以客户为中心，通过实施“五个领先”银行战略，打造有特色、差异化的中信金融服务模式，向政府与机构客户、企业客户和同业客户提供公司银行业务、投资银行业务、国际业务、交易银行业务、托管业务、金融市场业务等综合金融解决方案；向个人客户提供财富管理业务、个人信贷业务、信用卡业务、私人银行业务、养老金融业务、出国金融业务等多元化金融产品及服务，全方位满足政府与机构、企业、同业及个人客户的综合金融服务需求。</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2024年末，本行在国内153个大中城市设有1,470家营业网点，在境内外下设中信国际金融控股有限公司、信银（香港）投资有限公司、中信金融租赁有限公司、信银理财有限责任公司、中信百信银行股份有限公司、阿尔金银行和浙江临安中信村镇银行股份有限公司7家附属机构。其中，中信国际金融控股有限公司子公司中信银行（国际）有限公司在香港、澳门、纽约、洛杉矶、新加坡和中国内地设有31家营业网点和2家商务理财中心。信银（香港）投资有限公司在香港和境内设有3家子公司。信银理财有限责任公司为本行全资理财子公司。中信百信银行股份有限公司为本行与百度联合发起设立的国内首家独立法人直销银行。阿尔金银行在哈萨克斯坦设有7 家营业网点和1家私人银行中心。</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深刻把握金融工作政治性、人民性，始终在党和国家战略大局中找准金融定位、履行金融职责，坚持做国家战略的忠实践行者、实体经济的有力服务者和金融强国的积极建设者。成立37年来，本行已成为一家总资产规模超9.5万亿元、员工人数超6.5万名，具有强大综合实力和品牌竞争力的金融集团。2024年，本行在英国Brand Finance发布的“全球银行品牌价值500强”榜单中排名第19位；本行一级资本在英国《银行家》杂志“世界1000家银行排名”中位列18位。</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芦苇先生，中信银行党委副书记、行长。芦先生自2025年2月起担任本行党委副书记，自2025年4月起担任本行行长。芦先生曾任本行总行营业部（现北京分行）党委委员、总经理助理、副总经理，总行计划财务部（现财务会计部）副总经理（主持工作）、总经理，总行资产负债部总经理等职务；本行董事会秘书、董事会秘书（业务总监级）、业务总监、党委委员、副行长，期间先后兼任香港分行筹</w:t>
      </w:r>
      <w:r>
        <w:rPr>
          <w:rFonts w:ascii="宋体" w:hAnsi="宋体"/>
          <w:sz w:val="24"/>
        </w:rPr>
        <w:lastRenderedPageBreak/>
        <w:t>备组副组长，总行资产负债部总经理，阿尔金银行筹备组副组长、董事，深圳分行党委书记、行长；中信信托有限责任公司党委书记、总经理、副董事长、董事长。此前，芦先生在北京青年实业集团公司工作。芦先生拥有二十五年中国银行业从业经验，拥有中国、中国香港、澳大利亚注册会计师资格，获澳大利亚迪肯大学专业会计学硕士学位。</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胡罡先生，中信银行党委委员、执行董事、副行长，分管托管业务。胡先生现同时担任中信银行（国际）有限公司董事。胡先生曾任本行长沙分行筹备组副组长、长沙分行党委委员、副行长，重庆分行党委委员、副行长、党委书记、行长，上海分行党委书记、行长及本行首席风险官、批发业务总监、风险总监。此前，胡先生曾先后就职于湖南省检察院政治部，于湖南省委办公厅人事处任副主任科员，于湖南众立实业集团公司下属北海湘房地产开发公司任总经理助理、总经理，下属鸿都企业公司任副董事长，于湖南长沙湘财城市信用社任董事长。胡先生拥有近三十年中国银行业从业经验，毕业于湖南大学，获经济学博士学位，高级经济师。</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杨璋琪先生，中信银行资产托管部总经理，硕士研究生学历。杨先生2018年1月至2019年3月，任中信银行金融同业部副总经理；2015年5月至2018年1月，任中信银行长春分行副行长；2013年4月至2015年5月，任中信银行机构业务部总经理助理；1996年7月至2013年4月，就职于中信银行北京分行（原总行营业部），历任支行行长、投资银行部总经理、贸易金融部总经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2004年8月18日，中信银行经中国证券监督管理委员会和中国银行业监督管理委员会批准，取得基金托管人资格。中信银行本着“诚实信用、勤勉尽责”的原则，切实履行托管人职责。</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截至2025年第三季度末，中信银行托管429只公开募集证券投资基金，以及基金公司、证券公司资产管理产品、信托产品、企业年金、股权基金、QDII等其他托管资产，托管总规模达到17.88万亿元人民币。</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（四）基金托管人的内部控制制度</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强化内部管理，确保有关法律法规及规章在基金托管业务中得到全面严格的贯彻执行；建立完善的规章制度和操作规程，保证基金托管业务持续、稳健发展；加强稽核监察，建立高效的风险监控体系，及时有效地发现、分析、控制和避免风险，确保基金财产安全，维护基金份额持有人利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 内部控制组织结构。中信银行总行建立了风险管理委员会，负责全行的风险控制和风险防范工作；托管部内设内控合规岗，专门负责托管部内部风险控制，对基金托管业务的各个工作环节和业务流程进行独立、客观、公正的稽核监察。</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中信银行严格按照《基金法》以及其他法律法规及规章的规定，以控制和防范基金托管业务风险为主线，制定了《中信银行基金托管业务管理办法》、《中信银行基金托管业务内部控制管理办法》和《中信银行托管业务内控检查实施细则》等一整套规章制度，涵盖证券投资基金托管业务的各个环节，保证证券投资基金托管业务合法、合规、持续、稳健发展。</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内部控制措施。建立了各项规章制度、操作流程、岗位职责、行为规范等，从制度上、人员上保证基金托管业务稳健发展；建立了安全保管基金财产的物质条件，对业务运行场所实行封闭管理，在要害部门和岗位设立了安全保密区，安装了录像、录音监控系统，保证基金信息的安全；建立严密的内部控制防线和业务授权管理等制度，确保所托管的基金财产独立运行；营造良好的内部控制环境，开展多种形式的持续培训，加强职业道德教育。</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基金法》、《运作办法》、《信息披露办法》、基金合同、托管协议和有关法律法规及规章的规定，对基金的投资运作、基金资产净值计算、基金份额净值计算、应收资金到账、基金费用开支及收入确定、基金收益分配、相关信息披露、基金宣传推介材料中登载的基金业绩表现数据等进行监督和核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托管人发现基金管理人违反《基金法》、《运作办法》、《信息披露办法》、基金合同和有关法律法规及规章的行为，将及时以书面形式通知基金管理人限期纠正。在限期内，基金托管人有权随时对通知事项进行复查，督促基金管理人改正。基金托管人发现基金管理人有重大违规行为或违规事项未能在限期内纠正的，基金托管人将以书面形式报告中国证监会。</w:t>
      </w:r>
    </w:p>
    <w:p w:rsidR="00B439CC" w:rsidRDefault="007A64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E553A" w:rsidRDefault="007A645A">
      <w:pPr>
        <w:pStyle w:val="1"/>
        <w:snapToGrid w:val="0"/>
        <w:spacing w:beforeLines="0" w:before="240" w:after="240"/>
        <w:rPr>
          <w:rFonts w:ascii="宋体" w:hAnsi="宋体"/>
          <w:szCs w:val="30"/>
        </w:rPr>
      </w:pPr>
      <w:bookmarkStart w:id="8" w:name="_Toc239686224"/>
      <w:r>
        <w:rPr>
          <w:rFonts w:ascii="Times New Roman" w:hAnsi="Times New Roman"/>
          <w:sz w:val="30"/>
        </w:rPr>
        <w:lastRenderedPageBreak/>
        <w:t>五、相关服务机构</w:t>
      </w:r>
      <w:bookmarkEnd w:id="8"/>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个人投资者可以通过基金管理人网上直销交易平台办理开户、本基金A类基金份额的申购、赎回、定期定额投资等业务，具体交易细则请参阅基金管理人网站。</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住所：上海市中山东一路12 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（3）名称：平安银行股份有限公司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（4）名称：中国光大银行股份有限公司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（5）名称：中信银行股份有限公司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电话：（010）89936330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（6）名称：招商银行股份有限公司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（7）名称：中国农业银行股份有限公司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（8）名称：宁波银行股份有限公司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网址：www.nbcb.com.cn</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（9）名称：兴业银行股份有限公司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 167 号兴业银行大厦</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联系人：蔡宣铭</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联系电话：021-52629999</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客服热线：95561</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网址：www.cib.com.cn</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（10）名称：中国工商银行股份有限公司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注册地址：北京市西城区复兴门内大街55号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办公地址：北京市西城区复兴门内大街55号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法定代表人：廖林</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客户服务电话：95588</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网址：www.icbc.com.cn</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（11）名称：中国邮政储蓄银行股份有限公司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（12）名称：中国建设银行股份有限公司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电话：（010）66275654</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传真：（010）66275654</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客户服务电话：95533</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网址：www.ccb.com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（13）名称：申万宏源证券有限公司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（14）名称：中国中金财富证券有限公司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（15）名称：中信建投证券股份有限公司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（16）名称：中原证券股份有限公司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住所：郑州市郑东新区商务外环路10号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办公地址：郑州市郑东新区商务外环路10号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法定代表人：菅明军</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联系人：程月艳 李盼盼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电话：0371-69099881/2</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客户服务电话：95377</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网址：https://www.ccnew.com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（17）名称：东方财富证券股份有限公司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（18）名称：国信证券股份有限公司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（19）名称：华泰证券股份有限公司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网址：www.htsc.com.cn</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（20）名称：广发证券股份有限公司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（21）名称：招商证券股份有限公司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（22）名称：华鑫证券有限责任公司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华鑫证券有限责任公司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4001099918，95323</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www.cfsc.com.cn</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（23）名称：平安证券股份有限公司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客户服务电话：95511-8</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（24）名称：大同证券有限责任公司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（25）名称：申万宏源西部证券有限公司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（26）名称：中国银河证券股份有限公司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（27）名称：东方证券股份有限公司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住所：上海市中山南路318号2号楼22层-29层</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法定代表人：王益民</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电话：（021）63325888</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传真：（021）63326173</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联系人：吴宇</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客户服务电话：95503</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网址：www.dfzq.com.cn</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（28）名称：海通证券股份有限公司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（29）名称：兴业证券股份有限公司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（30）名称：国泰海通证券股份有限公司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服务热线 : 95521 / 4008888666</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（31）名称：第一创业证券股份有限公司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（32）名称：江海证券有限公司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（33）名称：中信证券（山东）有限责任公司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（34）名称：中信证券股份有限公司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办公地址：北京市朝阳区亮马桥路48号中信证券大厦</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（35）名称：中信证券华南股份有限公司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（36）名称：华西证券股份有限公司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（37）名称：中泰证券股份有限公司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住所：山东省济南市市中区经七路86号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办公地址：山东省济南市市中区经七路86号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法定代表人：李玮</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客户服务电话：95538</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（38）名称：国投证券股份有限公司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（39）名称：国金证券股份有限公司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（40）名称：深圳市新兰德证券投资咨询有限公司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（41）名称：大连网金基金销售有限公司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 辽宁省大连市沙河口区体坛路22号诺德大厦2层202室</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（42）名称：京东肯特瑞基金销售有限公司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（43）名称：珠海盈米基金销售有限公司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（44）名称：南京苏宁基金销售有限公司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电话：025-66996699</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（45）名称：嘉实财富管理有限公司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（46）名称：上海利得基金销售有限公司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（47）名称：上海陆金所基金销售有限公司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客户服务电话：4008219031</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（48）名称：上海挖财基金销售有限公司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（49）名称：万家财富基金销售（天津）有限公司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（50）名称：上海万得基金销售有限公司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（51）名称：北京雪球基金销售有限公司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（52）名称：中证金牛（北京）基金销售有限公司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（53）名称：上海证达通基金销售有限公司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（54）名称：北京创金启富基金销售有限公司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 梁蓉</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（55）名称：奕丰基金销售有限公司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（56）名称：上海天天基金销售有限公司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（57）名称：诺亚正行基金销售有限公司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传真：（021）80358749</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（58）名称：上海长量基金销售有限公司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（59）名称：深圳众禄基金销售股份有限公司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（60）名称：蚂蚁（杭州）基金销售有限公司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网址：www.fund123.cn</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（61）名称：上海基煜基金销售有限公司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（62）名称：浙江同花顺基金销售有限公司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（63）名称：宜信普泽（北京）基金销售有限公司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（64）名称：上海联泰基金销售有限公司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住所：上海市普陀区兰溪路900弄15号526室</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（65）名称：北京汇成基金销售有限公司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（66）名称：和耕传承基金销售有限公司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（67）名称：北京度小满基金销售有限公司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办公地址：北京市海淀区西北旺东路10号院西区4号楼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（68）名称：腾安基金销售（深圳）有限公司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（69）名称：上海好买基金销售有限公司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（70）名称：中信期货有限公司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传真：021-60819988</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（71）名称：济安财富（北京）基金销售有限公司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（72）名称：博时财富基金销售有限公司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（73）名称：深圳前海微众银行股份有限公司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客户服务电话：95384</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（74）名称：上海中欧财富基金销售有限公司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本基金Y类基金份额的销售机构详见基金管理人网站公示或相关公告。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基金管理人可根据有关法律法规的要求，选择其它符合要求的机构销售本基金，并在基金管理人网站公示。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经办律师：黎明、丁媛</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名称：容诚会计师事务所（特殊普通合伙）</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注册地址：北京市西城区阜成门外大街22号1幢外经贸大厦901-22至901-26</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办公地址：北京市西城区阜成门外大街22号1幢外经贸大厦901-22至901-26</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执行事务合伙人：肖厚发、刘维</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电话：010-66001391</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传真：010-66001391</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联系人：李隐煜</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经办会计师：沈兆杰、李隐煜</w:t>
      </w:r>
    </w:p>
    <w:p w:rsidR="00B439CC" w:rsidRDefault="007A64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E553A" w:rsidRDefault="007A645A">
      <w:pPr>
        <w:pStyle w:val="1"/>
        <w:snapToGrid w:val="0"/>
        <w:spacing w:beforeLines="0" w:before="240" w:after="240"/>
        <w:rPr>
          <w:rFonts w:ascii="宋体" w:hAnsi="宋体"/>
          <w:szCs w:val="30"/>
        </w:rPr>
      </w:pPr>
      <w:bookmarkStart w:id="9" w:name="_Toc239686225"/>
      <w:r>
        <w:rPr>
          <w:rFonts w:ascii="Times New Roman" w:hAnsi="Times New Roman"/>
          <w:sz w:val="30"/>
        </w:rPr>
        <w:lastRenderedPageBreak/>
        <w:t>六、基金的募集</w:t>
      </w:r>
      <w:bookmarkEnd w:id="9"/>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本基金由基金管理人依照《基金法》、《运作办法》、《销售办法》、基金合同及其他有关规定，并经中国证监会2019年11月26日证监许可【2019】2546号文准予募集注册。</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本基金为契约型开放式混合型基金中基金（FOF），基金存续期为不定期。</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本基金自2020年3月23日至2020年4月24日进行发售，本基金设立募集期共募集633,153,686.13份基金份额，有效认购户数为9,107户。</w:t>
      </w:r>
    </w:p>
    <w:p w:rsidR="00B439CC" w:rsidRDefault="007A64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E553A" w:rsidRDefault="007A645A">
      <w:pPr>
        <w:pStyle w:val="1"/>
        <w:snapToGrid w:val="0"/>
        <w:spacing w:beforeLines="0" w:before="240" w:after="240"/>
        <w:rPr>
          <w:rFonts w:ascii="宋体" w:hAnsi="宋体"/>
          <w:szCs w:val="30"/>
        </w:rPr>
      </w:pPr>
      <w:bookmarkStart w:id="10" w:name="_Toc239686226"/>
      <w:r>
        <w:rPr>
          <w:rFonts w:ascii="Times New Roman" w:hAnsi="Times New Roman"/>
          <w:sz w:val="30"/>
        </w:rPr>
        <w:lastRenderedPageBreak/>
        <w:t>七、基金合同的生效</w:t>
      </w:r>
      <w:bookmarkEnd w:id="10"/>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根据有关规定，本基金满足基金合同生效条件，基金合同已于2020年4月29日正式生效。自基金合同生效之日起，本基金管理人正式开始管理本基金。</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7A64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E553A" w:rsidRDefault="007A645A">
      <w:pPr>
        <w:pStyle w:val="1"/>
        <w:snapToGrid w:val="0"/>
        <w:spacing w:beforeLines="0" w:before="240" w:after="240"/>
        <w:rPr>
          <w:rFonts w:ascii="宋体" w:hAnsi="宋体"/>
          <w:szCs w:val="30"/>
        </w:rPr>
      </w:pPr>
      <w:bookmarkStart w:id="11" w:name="_Toc239686227"/>
      <w:r>
        <w:rPr>
          <w:rFonts w:ascii="Times New Roman" w:hAnsi="Times New Roman"/>
          <w:sz w:val="30"/>
        </w:rPr>
        <w:lastRenderedPageBreak/>
        <w:t>八、基金份额的申购与赎回</w:t>
      </w:r>
      <w:bookmarkEnd w:id="11"/>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（一）申购和赎回的场所</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个人投资者可以通过基金管理人网上直销交易平台办理开户、本基金A类基金份额的申购、赎回、定期定额投资等业务，具体交易细则请参阅基金管理人网站。</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（二）申购和赎回的开放日及时间</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及/或赎回，但对于每份基金份额，基金份额持有人仅可在该份额最短持有期限届满后申请赎回，具体办理时间为上海证券交易所、深圳证券交易所的正常交易日的交易时间，但基金管理人根据法律法规、</w:t>
      </w:r>
      <w:r>
        <w:rPr>
          <w:rFonts w:ascii="宋体" w:hAnsi="宋体"/>
          <w:sz w:val="24"/>
        </w:rPr>
        <w:lastRenderedPageBreak/>
        <w:t>中国证监会的要求或基金合同的规定公告暂停申购、赎回时除外。</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交易市场、证券交易所交易时间变更或其他特殊情况，基金管理人将视情况对前述开放日及开放时间进行相应的调整，但应在实施日前依照《信息披露办法》的有关规定在指定媒介上公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本基金A类基金份额已于2020年6月15日起开放申购业务。</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本基金Y类基金份额已于2022年11月28日起开放申购业务。</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本基金A类基金份额已于2023年5月4日起开放赎回业务。</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基金管理人自Y类基金份额开放申购业务之日起至三年后的年度对日（含该日）开始办理Y类基金份额的赎回，具体业务办理时间在赎回开始公告中规定。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在确定赎回开始时间后，基金管理人应在赎回开放日前依照《信息披露办法》的有关规定在指定媒介上公告赎回的开始时间。</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（三）申购与赎回的原则</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1、“未知价”原则，即申购、赎回价格以申请日的基金份额净值（非申请日当天公布的基金份额净值）为基准进行计算；</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（四）申购和赎回的数额限定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基金管理人可对Y类基金份额实施不同的申购金额限制或豁免申购限制，敬请投资者留意本基金管理人的有关公告。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本基金暂无最低保留余额限制。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5、基金管理人可在法律法规允许的情况下，调整上述规定申购金额和赎回份额的数量限制。基金管理人必须在调整实施前依照《信息披露办法》的有关规定在指定媒介上公告。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（五）申购和赎回的程序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2、申购和赎回的款项支付</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基金登记机构确认赎回时，赎回生效。投资者赎回申请生效后，基金管理人将在T＋10日（包括该日）内支付赎回款项。在发生巨额赎回或基金合同载明的其他暂停赎回或延缓支付赎回款项的情形时，款项的支付办法参照基金合同有关条款处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+3日（包括该日）内对该交易的有效性进行确认。T日提交的有效申请，投资人应在T+4日后（包括该日）及时到销售网点柜台或以销售机构规定的其他方式查询申请的确认情况。若申购不成功，则申购款项本金退还给投资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（1）投资人T日申购基金成功后，正常情况下，登记机构在T＋3日为投资人增加权益并办理登记手续。投资人应及时查询有关申请的确认情况。</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（2）投资人T日赎回基金成功后，正常情况下，登记机构在T＋3日为投资人扣除权益并办理相应的登记手续。</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（六）基金的申购费和赎回费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本基金基金份额分为A类基金份额和Y类基金份额。投资人申购A类基金份额和Y</w:t>
      </w:r>
      <w:r>
        <w:rPr>
          <w:rFonts w:ascii="宋体" w:hAnsi="宋体"/>
          <w:sz w:val="24"/>
        </w:rPr>
        <w:lastRenderedPageBreak/>
        <w:t>类基金份额在申购时支付申购费用。本基金的申购费用由该类基金份额的基金申购人承担，不列入基金财产，主要用于本基金的市场推广、销售、登记等各项费用。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本基金A类基金份额和Y类基金份额的申购费率如下：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因红利自动再投资而产生的该类基金份额，不收取相应的申购费用。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基金管理人可对Y类基金份额实施费率优惠或豁免申购费用，敬请投资者留意本基金管理人的有关公告。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本基金对通过基金管理人直销柜台申购本基金A类基金份额的非个人养老金客户实施特定申购费率。</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非个人养老金客户指基本养老基金与依法成立的养老计划筹集的资金及其投资运营收益形成的补充养老基金等，具体包括全国社会保障基金、可以投资基金的地方社会保障基金、企业年金单一计划以及集合计划、企业年金理事会委托的特定客户资产管理计划、企业年金养老金产品。如将来出现经养老基金监管部门认可的新的养老基金类型，基金管理人可在招募说明书更新或发布临时公告将其纳入非个人养老金客户范围。</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通过基金管理人直销柜台申购本基金A类基金份额的非个人养老金客户特定申购费率如下表：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特定申购费率</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0.40%</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0.24%</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0.08%</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持有的每份基金份额最短持有期限为三年，本基金不收取赎回费用。其中，对于不受最短持有期限制的红利再投资所得基金份额，对持续持有期少于7日的投资者收取1.5%的赎回费，并全额计入基金财产。</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转型为“交银施罗德债基优选债券型基金中基金（FOF）”后，基金份额持有人继续持有转型后基金份额的，其持有期从原份额取得之日起连续计算。转型后的交银施罗德债基优选债券型基金中基金（FOF）的申购费率的设置保持不变，赎回费率调整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A类基金份额或Y类基金份额收取赎回费用，该费用随基金份额的持有时间递减。本基金A类基金份额和Y类基金份额的赎回费用由该类基金份额赎回人承担，对于持续持有期间少于7日的投资人收取的赎回费全额计入基金财产，对于持续持有期间大于等于7日的投资人收取的赎回费总额的25%应归基金财产，其余用于支付登记费和其他必要的手续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5E553A">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5E553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E553A" w:rsidRDefault="005E553A">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天以内</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5E553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E553A" w:rsidRDefault="005E553A">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天（含）</w:t>
            </w:r>
            <w:r>
              <w:rPr>
                <w:rFonts w:ascii="Times New Roman" w:hAnsi="Times New Roman"/>
                <w:color w:val="000000"/>
                <w:kern w:val="0"/>
                <w:sz w:val="25"/>
                <w:szCs w:val="24"/>
              </w:rPr>
              <w:t>—30</w:t>
            </w:r>
            <w:r>
              <w:rPr>
                <w:rFonts w:ascii="Times New Roman" w:hAnsi="Times New Roman"/>
                <w:color w:val="000000"/>
                <w:kern w:val="0"/>
                <w:sz w:val="25"/>
                <w:szCs w:val="24"/>
              </w:rPr>
              <w:t>天</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5E553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E553A" w:rsidRDefault="005E553A">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天以上（含）</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本基金Y类基金份额的赎回费率如下：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5E553A">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Y</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5E553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E553A" w:rsidRDefault="005E553A">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5E553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E553A" w:rsidRDefault="005E553A">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4、基金管理人可以在基金合同约定的范围内调整费率或收费方式，并最迟应于新的费率或收费方式实施日前依照《信息披露办法》的有关规定在指定媒介上公告。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5、当本基金发生大额申购或赎回情形时，基金管理人可以采用摆动定价机制，以确保基金估值的公平性。具体处理原则与操作规范遵循相关法律法规以及监管部门、自律规则的规定。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（七）申购和赎回的数额和价格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Y类基金份额的有效份额为净申购金额除以当日该类基金份额的基金份额净值，有效份额单位为份，申购份额计算结果按四舍五入方法，保留到小数点后2位，由此产生的收益或损失由基金财产承担。</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A类基金份额或Y类基金份额的赎回金额为按实际确认的有效赎回份额乘以当日该类基金份额基金份额净值并扣除相应的费用（如有），赎回金额单位为元。赎回金额计算结果按四舍五入方法，保留到小数点后2位，由此产生的收益或损失由基金财产承担。</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申购份额=（申购总金额-申购费用）/T日A类或Y类基金份额净值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例三：某投资者投资40,000元申购本基金的A类基金份额，假设申购当日A类基金份额净值为1.0400元，申购费率为1.0%，则其可得到的申购份额为：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净申购金额=40,000/（1+1.0%）=39,603.96元</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申购费用=40,000-39,603.96=396.04元</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申购份额=（40,000-396.04）/1.0400=38,080.73份</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即：该投资者投资40,000元申购本基金的A类基金份额，假设申购当日A类基金份额净值为1.0400元，则其可得到38,080.73份基金份额。</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赎回费用=赎回份额×T日该类基金份额净值×赎回费率</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赎回金额=赎回份额×T日该类基金份额净值-赎回费用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例四：某投资者赎回已持有三年的10,000份A类基金份额或Y类基金份额，持有期限为三年，对应的赎回费率为0，假设赎回当日该类基金份额净值是1.0160元，则其可得到的赎回金额为：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赎回费用=10,000×1.0160×0=0元</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赎回金额=10,000×1.0160-0＝10,160.00元</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即：该投资者赎回已持有三年的本基金10,000份A类基金份额或Y类基金份额，持有期限为三年，对应的赎回费率为0，假设赎回当日该类基金份额净值是1.0160元，则其可得到的赎回金额为10,160.00元。</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Y类基金份额净值＝Y类基金份额的基金资产净值总额/发行在外的Y类基金份额总数</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所投资基金披露净值或万份收益当日（法定节假日顺延至第一个交易日）计算，并在T+3日内披露本基金T日各类基金份额的基金份额净值和基金份额累计净值。遇特殊情况，经履行适当程序，可以适当延迟计算或公告。本基金A类基金份额和Y类基金份额的基金份额净值的计算，保留到小数点后4位，小数点后第5位四舍五入，由此产生的收益或损失由基金财产承担。</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（八）拒绝或暂停申购的情形</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4、由于本基金持有的相当比例的基金暂停估值，导致基金管理人无法计算当日本基金资产净值。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由于本基金持有的相当比例的基金份额，或者适合本基金投资的基金份额拒绝或暂停申购、暂停上市或二级市场交易停牌、基金管理人无法找到其他合适的可替代的基金品种，或其他可能对本基金业绩产生负面影响的情形。</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6、接受某笔或某些申购申请可能会影响或损害现有基金份额持有人利益时。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7、基金资产规模过大，使基金管理人无法找到合适的投资品种，或其他可能对基金业绩产生负面影响，或发生其他损害现有基金份额持有人利益的情形。</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8、基金管理人、基金托管人、基金销售机构、基金销售支付结算机构或登记机构的异常情况导致基金销售系统、基金销售支付结算系统、基金注册登记系统或基金会计系统无法正常运行。</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9、当前一估值日基金资产净值50%以上的资产出现无可参考的活跃市场价格且采用估值技术仍导致公允价值存在重大不确定性时，经与基金托管人协商确认后，基金管理人应当暂停接受基金申购申请。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10、基金管理人接受某笔或者某些申购申请有可能导致单一投资者持有基金份额的比例超过50%，或者变相规避50%集中度的。出现上述情形时，基金管理人有权将上述申购申请全部或部分确认失败。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11、法律法规规定、中国证监会认定或基金合同约定的其他情形。</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除第6、10项以外的暂停申购情形之一且基金管理人决定暂停接受投资人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（九）暂停赎回或延缓支付赎回款项的情形</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4、由于本基金持有的相当比例的基金暂停估值，导致基金管理人无法计算当日本基金资产净值。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5、由于本基金持有的相当比例的基金份额拒绝或暂停赎回、暂停上市或二级市场交易停牌、延期办理赎回、延期支付赎回款项，或其他可能对本基金业绩产生负面影响的情形。</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6、连续两个或两个以上开放日发生巨额赎回。</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7、发生继续接受赎回申请将损害现有基金份额持有人利益的情形时，基金管理人可暂停接受基金份额持有人的赎回申请。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8、基金管理人、基金托管人、基金销售机构、基金销售支付结算机构或登记机构的异常情况导致基金销售系统、基金销售支付结算系统、基金注册登记系统或基金会计系统无法正常运行。</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10、法律法规规定、中国证监会认定或基金合同约定的其他情形。</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支付。若出现上述第6项所述情形，按基金合同的相关条款处理。基金份额持有人在申请赎回时可事先选择将当日可能未获受理部分予以撤销。在暂停赎回的情况消除时，基金管理人应及时恢复赎回业务的办理并公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（十）巨额赎回的情形及处理方式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（1）全额赎回：当基金管理人认为有能力支付投资人的全部赎回申请时，按正常赎回程序执行。</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指定媒介上进行公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当发生上述巨额赎回并延期办理时，基金管理人应当通过邮寄、传真、刊登公告或者通知销售机构代为告知等方式在3个交易日内通知基金份额持有人，说明有关处理方法，并在两日内在指定媒介上刊登公告。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（十一）暂停申购或赎回的公告和重新开放申购或赎回的公告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2、如发生暂停的时间为1日，基金管理人应于重新开放日，在指定媒介上刊登基金重新开放申购或赎回公告，并公布最近1个开放日各类基金份额的基金份额净值。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开放的公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（十二）基金转换</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根据相关法律法规以及基金合同的规定决定开办本基金与基金管理人管理的其他基金之间的转换业务，基金转换可以收取一定的转换费，相关规则由基金管理人届时根据相关法律法规及基金合同的规定制定并公告，并提前告知基金托管人与相关机构。</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（十三）基金的非交易过户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他非交易过户。无论在上述何种情况下，接受划转的主体必须是依法可以持有本基金基金份额的投资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法律法规对Y类基金份额的继承等事项另有规定的，按法律法规的规定执行。</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（十四）基金的转托管</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基金份额持有人可办理已持有基金份额在不同销售机构之间的转托管，基金销售机构可以按照规定的标准收取转托管费。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（十五）定期定额投资计划</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2020年6月12日刊登公告自2020年6月15日起开通A类基金份额定期定额投资计划业务，本基金2022年11月25日刊登公告自2022年11月28日起开通Y类基金份额定期定额投资计划业务，具体开通销售机构名单和业务规则参见相关公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（十六）基金份额的冻结和解冻</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（十七）基金份额的转让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（十八）其他业务</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7A64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E553A" w:rsidRDefault="007A645A">
      <w:pPr>
        <w:pStyle w:val="1"/>
        <w:snapToGrid w:val="0"/>
        <w:spacing w:beforeLines="0" w:before="240" w:after="240"/>
        <w:rPr>
          <w:rFonts w:ascii="宋体" w:hAnsi="宋体"/>
          <w:szCs w:val="30"/>
        </w:rPr>
      </w:pPr>
      <w:bookmarkStart w:id="12" w:name="_Toc239686228"/>
      <w:r>
        <w:rPr>
          <w:rFonts w:ascii="Times New Roman" w:hAnsi="Times New Roman"/>
          <w:sz w:val="30"/>
        </w:rPr>
        <w:lastRenderedPageBreak/>
        <w:t>九、基金的投资</w:t>
      </w:r>
      <w:bookmarkEnd w:id="12"/>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（一）投资目标</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本基金为基金中基金，依照下滑曲线进行大类资产配置，力争实现养老资产的长期稳健增值，满足养老资金理财需求。</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（二）投资范围</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经中国证监会依法核准或注册的公开募集证券投资基金（含ETF和LOF、香港互认基金、QDII）、国内依法发行上市的股票（含中小板、创业板及其他经中国证监会核准上市的股票、存托凭证）、港股通标的股票、债券（含国债、央行票据、金融债券、政府支持债券、政府支持机构债券、地方政府债券、企业债券、公司债券、可转换债券（含可分离交易可转换债券）、可交换债券、次级债券、中期票据、短期融资券、超短期融资券等）、资产支持证券、债券回购、同业存单、银行存款（含协议存款、定期存款及其他银行存款）、货币市场工具以及法律法规或中国证监会允许基金投资的其他金融工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公开募集证券投资基金的基金份额的资产不低于本基金资产的80%，其中投资于股票（含存托凭证）、股票型基金（包括股票指数基金）、混合型基金和商品基金（含商品期货基金和黄金ETF）等品种的比例合计占基金资产的0%-60%；投资于港股通标的股票的比例占股票资产的0-50%。本基金持有的现金或者到期日在一年以内的政府债券的比例合计不低于基金资产净值的5%，其中现金不包括结算备付金、存出保证金和应收申购款等。</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（三）投资策略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本基金投资策略主要分为以下七个部分：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本基金主要采用目标日期策略来进行投资品种的大类资产配置。随着所设定目标日期2035年的临近，逐步降低权益类资产的配置比例，增加非权益类资产的配置</w:t>
      </w:r>
      <w:r>
        <w:rPr>
          <w:rFonts w:ascii="宋体" w:hAnsi="宋体"/>
          <w:sz w:val="24"/>
        </w:rPr>
        <w:lastRenderedPageBreak/>
        <w:t>比例。从追求资本增值逐步转变为追求当期收益，通过全方位的定量和定性分析方法精选出优质基金组成投资组合，以期达到效用最大化，实现基金资产的长期增值。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大类资产配置按照下滑曲线进行调整，下滑曲线是描述基金中权益资产配置比例随着时间而变化的曲线。下滑曲线在趋势上是不断下降的，反映随着投资者年纪的增长，投资的风险偏好逐渐降低。即随着目标日期的接近，基金的资产配置方案越来越保守，权益类资产的投资比例逐步降低，固定收益类和货币类资产配置比例逐步提高。</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本基金预设的下滑曲线如下图所示：</w:t>
      </w:r>
    </w:p>
    <w:p w:rsidR="005E553A" w:rsidRDefault="00C27F82">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基金管理人可结合经济状况与市场环境对下滑曲线进行适当调整。</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权益类资产包括股票、股票型基金、混合型基金（混合型基金需符合基金合同中明确约定股票投资占基金资产的比例为50%以上或者最近4个季度披露的股票投资占基金资产的比例均在50%以上）。其中权益类资产占比将按照下滑曲线逐年调整，并预留一定主动调整空间，在综合考虑各期限的资产配置需求和影响因素后，本基金的权益类资产配置比例如下：</w:t>
      </w:r>
    </w:p>
    <w:tbl>
      <w:tblPr>
        <w:tblW w:w="5000" w:type="pct"/>
        <w:tblCellMar>
          <w:left w:w="0" w:type="dxa"/>
          <w:right w:w="0" w:type="dxa"/>
        </w:tblCellMar>
        <w:tblLook w:val="0000" w:firstRow="0" w:lastRow="0" w:firstColumn="0" w:lastColumn="0" w:noHBand="0" w:noVBand="0"/>
      </w:tblPr>
      <w:tblGrid>
        <w:gridCol w:w="1547"/>
        <w:gridCol w:w="4645"/>
        <w:gridCol w:w="2478"/>
      </w:tblGrid>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年份</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下滑曲线中枢</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权益类资产占比</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基金合同生效之日至</w:t>
            </w:r>
            <w:r>
              <w:rPr>
                <w:rFonts w:ascii="Times New Roman" w:hAnsi="Times New Roman"/>
                <w:color w:val="000000"/>
                <w:kern w:val="0"/>
                <w:sz w:val="25"/>
                <w:szCs w:val="24"/>
              </w:rPr>
              <w:t>2020.12.31</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50%</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35%-60%</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2021.1.1-2023.12.31</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45%</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30%-55%</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2024.1.1-2026.12.31</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40%</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25%-50%</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2027.1.1-2029.12.31</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35%</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20%-45%</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2030.1.1-2032.12.31</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32%</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17%-42%</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2033.1.1-2035.12.31</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29%</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14%-39%</w:t>
            </w:r>
          </w:p>
        </w:tc>
      </w:tr>
    </w:tbl>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因市场波动、基金规模变动等基金管理人之外的因素致使本基金投资比例不符合上述投资比例的，基金管理人应当在10个交易日内进行调整。</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2、基金投资策略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本基金管理人绩效评估系统对备选基金的评估分析，通过定量和定性相结合的方法，精选具有不同风险收益特征及投资业绩比较优势的基金确定本基金配置组合。本基金的绩效评估系统分析主要包括业绩指标分析、业绩归因分析以及基金管理人综合评估等：</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（1）运用量化方法分析所有适选基金在不同市场下的历史业绩表现，包括收益指标、风险指标和风险调整后收益指标等，具体如下：</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收益指标：包括绝对收益、相对收益等指标；</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风险指标：包括波动率、最大回撤等指标；</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风险调整后收益指标：包括夏普比率、信息比率等指标。</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深入分析基金的业绩表现，再次精选基金确定备选基金，包括对基金的择时能力、资产配置能力、个股选择能力等进行归因分析，解释基金收益来源，评估未来收益的持续性与稳定性。基于市场环境、政策变动、风险事件等多重因素对基金配置组合进行持续跟踪，动态调整基金投资组合及配置比例。</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结合对基金管理人的定性评估，包括基金管理人基本情况、投研团队实力以及投研团队稳定性、基金经理投资优势及业绩稳定性等方面，被投资基金运作合规，风格清晰，中长期收益良好，业绩波动性较低，根据定性评估分析结果，最终确定本基金的投资组合及配置比例。</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综上，本基金通过定量和定性相结合的方法，长期持续跟踪本基金的组合业绩，并定期对基金组合进行维护，力争实现基金资产的长期稳健增值。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3、股票投资策略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w:t>
      </w:r>
      <w:r>
        <w:rPr>
          <w:rFonts w:ascii="宋体" w:hAnsi="宋体"/>
          <w:sz w:val="24"/>
        </w:rPr>
        <w:lastRenderedPageBreak/>
        <w:t>济运行趋势和股票市场行业轮动的基础上，充分利用公司股票研究团队“自下而上”的主动选股能力，筛选出在公司治理、财务及管理品质上符合基本品质要求的上市公司，其次在公司备选股票池基础上，本基金将进一步通过对备选上市公司翔实的案头分析和深入的实地调研，以定性与定量相结合的方法对公司价值进行综合评估。通过对重点上市公司进行内在价值的评估和成长性跟踪研究，在明确的价值评估基础上精选优秀质地的投资标的。</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4、债券投资策略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获取债券市场的长期稳定收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5、资产支持证券投资策略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6、港股通标的股票投资策略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通过内地与香港股票市场交易互联互通机制投资于香港股票市场。本基金将遵循本基金股票投资策略，优先将基本面健康、业绩向上弹性较大、具有估值优势的港股纳入本基金的股票投资组合。本基金根据对个股价值的评估和市场机会的判断构建股票组合，其中投资于港股通标的股票的比例占股票资产的0-50%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7、风险控制策略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本基金为目标日期基金，随着所设定目标日期2035年的临近，逐步降低权益类</w:t>
      </w:r>
      <w:r>
        <w:rPr>
          <w:rFonts w:ascii="宋体" w:hAnsi="宋体"/>
          <w:sz w:val="24"/>
        </w:rPr>
        <w:lastRenderedPageBreak/>
        <w:t>资产的配置比例，增加非权益类资产的配置比例。权益类资产占比将按照下滑曲线逐年调整，并预留一定主动调整空间，通过调整权益类资产、非权益类资产的配置比例，在下滑曲线约定的权益类资产投资比例内，将整个投资组合维持在相对稳定的市场风险暴露。</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子基金选择方面，采用基金绩效评估系统进行全面分析，同时着重对子基金的风险控制能力进行评估，包括风险指标和风险调整后收益指标等，及时调整子基金在投资组合中的比例，来控制子基金在投资组合中的风险暴露度。</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整体流动性风险方面，本基金将通过严格控制封闭运作的基金、定期开放基金等流动受限基金的投资比例，有效控制流动性风险。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（四）投资限制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公开募集证券投资基金的基金份额的资产不低于本基金资产的80%，其中投资于股票（含存托凭证）、股票型基金（包括股票指数基金）、混合型基金和商品基金（含商品期货基金和黄金ETF）等品种的比例合计占基金资产的0%-60%；投资于港股通标的股票的比例占股票资产的0-50%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（2）本基金持有的现金或者到期日在一年以内的政府债券的比例合计不低于基金资产净值的5%，其中现金不包括结算备付金、存出保证金和应收申购款等；</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（3）本基金持有单只基金的市值，不得高于本基金资产净值的20%，且不得持有其他基金中基金；</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（4）本基金管理人管理的全部基金中基金（除ETF联接基金外）持有单只基金不得超过被投资基金净资产的20%，被投资基金净资产规模以最近定期报告披露的规模为准；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（5）本基金不得持有具有复杂、衍生品性质的基金份额，包括分级基金和中国证监会认定的其他基金份额；</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其他基金时，被投资基金的运作期限不少于2年、最近两年平均季末基金净资产应当不低于2亿元；被投资基金为指数基金、ETF和商品基金等品种的，运作期限应当不少于1年，最近定期报告披露的季末基金净资产应当不低于1亿元；</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（7）本基金投资其他基金时，被投资基金的基金管理人及被投资基金的基金</w:t>
      </w:r>
      <w:r>
        <w:rPr>
          <w:rFonts w:ascii="宋体" w:hAnsi="宋体"/>
          <w:sz w:val="24"/>
        </w:rPr>
        <w:lastRenderedPageBreak/>
        <w:t>经理最近2年没有重大违法违纪行为；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（8）本基金投资于封闭运作基金、定期开放基金等流通受限基金的，其公允价值不得超过本基金资产净值的10%；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（9）基金管理人运用本基金财产投资于股票、债券等金融工具的，投资品种和比例应当符合本基金的投资目标和投资策略；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（10）本基金持有一家公司发行的证券（同一家公司在内地和香港同时上市的A+H股合并计算，不含本基金所投资的基金份额），其市值不超过基金资产净值的10%；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（11）本基金管理人管理的全部基金持有一家公司发行的证券（同一家公司在内地和香港同时上市的A+H股合并计算，不含本基金所投资的基金份额），不超过该证券的10%；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（12）本基金投资于同一原始权益人的各类资产支持证券的比例，不得超过基金资产净值的10%；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（13）本基金持有的全部资产支持证券，其市值不得超过基金资产净值的20%；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（14）本基金持有的同一（指同一信用级别）资产支持证券的比例，不得超过该资产支持证券规模的10%；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（15）本基金管理人管理的全部基金投资于同一原始权益人的各类资产支持证券，不得超过其各类资产支持证券合计规模的10%；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（16）本基金应投资于信用级别评级为BBB以上（含BBB）的资产支持证券。基金持有资产支持证券期间，如果其信用等级下降、不再符合投资标准，应在评级报告发布之日起3个月内予以全部卖出；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（17）基金财产参与股票发行申购，本基金所申报的金额不超过本基金的总资产，本基金所申报的股票数量不超过拟发行股票公司本次发行股票的总量；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（18）本基金进入全国银行间同业市场进行债券回购的资金余额不得超过基金资产净值的40%，进入全国银行间同业市场进行债券回购的最长期限为1年，债券回购到期后不得展期；</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w:t>
      </w:r>
      <w:r>
        <w:rPr>
          <w:rFonts w:ascii="宋体" w:hAnsi="宋体"/>
          <w:sz w:val="24"/>
        </w:rPr>
        <w:lastRenderedPageBreak/>
        <w:t>股票，不得超过该上市公司可流通股票的30%；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（21）本基金与私募类证券资管产品及中国证监会认定的其他主体为交易对手开展逆回购交易的，可接受质押品的资质要求应当与基金合同约定的投资范围保持一致；</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（22）本基金资产总值不超过基金资产净值的140%；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（23）本基金投资于商品基金（含商品期货基金和黄金ETF）的资产占基金资产的比例不高于10%；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（24）本基金投资于货币市场基金的比例不得超过基金资产的15%；</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（25）本基金投资策略中权益类资产配置比例区间按照投资策略所述的比例限制执行；</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（26）本基金投资存托凭证的比例限制依照境内上市交易的股票执行；</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（27）法律法规及中国证监会规定的和《基金合同》约定的其他投资限制。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证券市场波动、证券发行人合并、基金规模变动、本基金所投资的基金发生流动性限制、暂停申购、赎回或二级市场交易停牌等基金管理人之外的因素致使本基金投资比例不符合上述第（3）项、第（4）项规定投资比例的，基金管理人应当在20个交易日内进行调整；对于第（2）项、第（3）项、第（4）项、第（16）项、第（20）项及第（21）项以外的其他情形，基金管理人应当在10个交易日内进行调整，但中国证监会规定的特殊情形除外。法律法规另有规定的，从其规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（1）承销证券；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（4）向其基金管理人、基金托管人出资；</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（5）从事内幕交易、操纵证券交易价格及其他不正当的证券交易活动；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（6）法律、行政法规和中国证监会规定禁止的其他活动。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（五）业绩比较基准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沪深300指数收益率×X+中债综合全价指数收益率×（1-X）</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其中X的取值如下表列示：</w:t>
      </w:r>
    </w:p>
    <w:tbl>
      <w:tblPr>
        <w:tblW w:w="5000" w:type="pct"/>
        <w:tblCellMar>
          <w:left w:w="0" w:type="dxa"/>
          <w:right w:w="0" w:type="dxa"/>
        </w:tblCellMar>
        <w:tblLook w:val="0000" w:firstRow="0" w:lastRow="0" w:firstColumn="0" w:lastColumn="0" w:noHBand="0" w:noVBand="0"/>
      </w:tblPr>
      <w:tblGrid>
        <w:gridCol w:w="2167"/>
        <w:gridCol w:w="6503"/>
      </w:tblGrid>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年份</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X</w:t>
            </w:r>
            <w:r>
              <w:rPr>
                <w:rFonts w:ascii="Times New Roman" w:hAnsi="Times New Roman"/>
                <w:color w:val="000000"/>
                <w:kern w:val="0"/>
                <w:sz w:val="25"/>
                <w:szCs w:val="24"/>
              </w:rPr>
              <w:t>的取值</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基金合同生效之日至</w:t>
            </w:r>
            <w:r>
              <w:rPr>
                <w:rFonts w:ascii="Times New Roman" w:hAnsi="Times New Roman"/>
                <w:color w:val="000000"/>
                <w:kern w:val="0"/>
                <w:sz w:val="25"/>
                <w:szCs w:val="24"/>
              </w:rPr>
              <w:t>2020.12.31</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53%</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2021.1.1-2023.12.31</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46%</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2024.1.1-2026.12.31</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39%</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2027.1.1-2029.12.31</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35%</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2030.1.1-2032.12.31</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32%</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2033.1.1-2035.12.31</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29%</w:t>
            </w:r>
          </w:p>
        </w:tc>
      </w:tr>
    </w:tbl>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中债综合全价指数由中央国债登记结算有限责任公司编制并发布，其指数样本涵盖国债、政策性银行债、商业银行债、地方企业债、中期票据以及证券公司短期融资券等券种，能够综合反映我国债券市场的整体投资收益情况，适合作为本基金固定收益类资产投资的业绩比较基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2、沪深300指数是沪深证券交易所第一次联合发布的反映A股市场整体走势的指数，由中证指数有限公司编制和维护，是在上海和深圳证券市场中选取300只A股</w:t>
      </w:r>
      <w:r>
        <w:rPr>
          <w:rFonts w:ascii="宋体" w:hAnsi="宋体"/>
          <w:sz w:val="24"/>
        </w:rPr>
        <w:lastRenderedPageBreak/>
        <w:t>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权益类资产投资的业绩比较基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根据本基金的投资范围和投资策略，选用上述业绩比较基准能够客观、合理地反映本基金的风险收益特征。</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依据维护基金份额持有人合法权益的原则，本基金管理人可与本基金托管人协商一致并按照监管部门要求履行适当程序后，调整或变更本基金的业绩比较基准并及时公告，无需召开基金份额持有人大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（六）风险收益特征</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混合型基金中基金，由于本基金主要投资于公开募集证券投资基金的基金份额，持有基金的预期风险和预期收益间接成为本基金的预期风险和预期收益。本基金的预期风险与预期收益高于债券型基金、债券型基金中基金、货币市场基金和货币型基金中基金，低于股票型基金和股票型基金中基金。</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（七）基金管理人代表基金行使股东及债权人权利的处理原则及方法</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（八）基金投资组合报告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本基金托管人中信银行股份有限公司根据本基金合同规定，于2025年10月27日</w:t>
      </w:r>
      <w:r>
        <w:rPr>
          <w:rFonts w:ascii="宋体" w:hAnsi="宋体"/>
          <w:sz w:val="24"/>
        </w:rPr>
        <w:lastRenderedPageBreak/>
        <w:t>复核了本报告中的财务指标、净值表现和投资组合报告等内容，保证复核内容不存在虚假记载、误导性陈述或者重大遗漏。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本投资组合报告期为2025年07月01日起至09月30日，所载财务数据未经审计师审计。</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204,884,105.80</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81.94</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11,981,024.57</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4.79</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11,981,024.57</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4.79</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29,588,955.40</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11.83</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2,239,495.21</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0.90</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1,359,846.93</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0.54</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250,053,427.91</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11,981,024.57</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4.86</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3</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11,981,024.57</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4.86</w:t>
            </w:r>
          </w:p>
        </w:tc>
      </w:tr>
    </w:tbl>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019766</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55,000</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5,542,521.78</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2.25</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019773</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08</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29,000</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2,918,395.53</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1.18</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019785</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12,000</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1,202,373.37</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0.49</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102310</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国债</w:t>
            </w:r>
            <w:r>
              <w:rPr>
                <w:rFonts w:ascii="Times New Roman" w:hAnsi="Times New Roman"/>
                <w:color w:val="000000"/>
                <w:kern w:val="0"/>
                <w:sz w:val="25"/>
                <w:szCs w:val="24"/>
              </w:rPr>
              <w:t>2513</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8,000</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801,582.25</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0.33</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019710</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r>
              <w:rPr>
                <w:rFonts w:ascii="Times New Roman" w:hAnsi="Times New Roman"/>
                <w:color w:val="000000"/>
                <w:kern w:val="0"/>
                <w:sz w:val="25"/>
                <w:szCs w:val="24"/>
              </w:rPr>
              <w:t>国债</w:t>
            </w: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6,000</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605,704.27</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0.25</w:t>
            </w:r>
          </w:p>
        </w:tc>
      </w:tr>
    </w:tbl>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10.2 报告期末本基金投资的国债期货持仓和损益明细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18,274.93</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881,594.89</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40.15</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454,702.46</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5,234.50</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1,359,846.93</w:t>
            </w:r>
          </w:p>
        </w:tc>
      </w:tr>
    </w:tbl>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7A64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E553A" w:rsidRDefault="007A645A">
      <w:pPr>
        <w:pStyle w:val="1"/>
        <w:snapToGrid w:val="0"/>
        <w:spacing w:beforeLines="0" w:before="240" w:after="240"/>
        <w:rPr>
          <w:rFonts w:ascii="宋体" w:hAnsi="宋体"/>
          <w:szCs w:val="30"/>
        </w:rPr>
      </w:pPr>
      <w:bookmarkStart w:id="13" w:name="_Toc239686229"/>
      <w:r>
        <w:rPr>
          <w:rFonts w:ascii="Times New Roman" w:hAnsi="Times New Roman"/>
          <w:sz w:val="30"/>
        </w:rPr>
        <w:lastRenderedPageBreak/>
        <w:t>十、基金的业绩</w:t>
      </w:r>
      <w:bookmarkEnd w:id="13"/>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基金业绩截止日为2025年09月30日，所载财务数据未经审计师审计。</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交银施罗德养老目标日期2035三年持有期混合A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5E553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5E553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16.67%</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5.73%</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10.94%</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r>
      <w:tr w:rsidR="005E553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2.87%</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0.83%</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0.37%</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2.78%</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0.46%</w:t>
            </w:r>
          </w:p>
        </w:tc>
      </w:tr>
      <w:tr w:rsidR="005E553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3.53%</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0.89%</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9.25%</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-5.72%</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r>
      <w:tr w:rsidR="005E553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-6.90%</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-4.14%</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0.39%</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-2.76%</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r>
      <w:tr w:rsidR="005E553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-10.72%</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-9.91%</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-0.81%</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r>
      <w:tr w:rsidR="005E553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6.34%</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-0.92%</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0.54%</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7.26%</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r>
      <w:tr w:rsidR="005E553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年度（自基金合同生效起至</w:t>
            </w:r>
            <w:r>
              <w:rPr>
                <w:rFonts w:ascii="Times New Roman" w:hAnsi="Times New Roman"/>
                <w:color w:val="000000"/>
                <w:kern w:val="0"/>
                <w:sz w:val="25"/>
                <w:szCs w:val="24"/>
              </w:rPr>
              <w:t>2020</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27.16%</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16.25%</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10.91%</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bl>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交银施罗德养老目标日期2035三年持有期混合Y</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5E553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5E553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16.79%</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5.73%</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11.06%</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r>
      <w:tr w:rsidR="005E553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3.07%</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0.84%</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0.37%</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2.98%</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r>
      <w:tr w:rsidR="005E553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3.87%</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0.89%</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9.25%</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-5.38%</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r>
      <w:tr w:rsidR="005E553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-6.60%</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-4.14%</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0.39%</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-2.46%</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r>
      <w:tr w:rsidR="005E553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2022</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-2.22%</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0.39%</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0.41%</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-2.23%</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bl>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注：1、本基金的业绩比较基准为沪深300指数收益率×X+中债综合全价指数收益率×（1-X），每日进行再平衡过程。</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其中X的取值如下表列示：</w:t>
      </w:r>
    </w:p>
    <w:tbl>
      <w:tblPr>
        <w:tblW w:w="5000" w:type="pct"/>
        <w:tblCellMar>
          <w:left w:w="0" w:type="dxa"/>
          <w:right w:w="0" w:type="dxa"/>
        </w:tblCellMar>
        <w:tblLook w:val="0000" w:firstRow="0" w:lastRow="0" w:firstColumn="0" w:lastColumn="0" w:noHBand="0" w:noVBand="0"/>
      </w:tblPr>
      <w:tblGrid>
        <w:gridCol w:w="2167"/>
        <w:gridCol w:w="6503"/>
      </w:tblGrid>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年份</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X</w:t>
            </w:r>
            <w:r>
              <w:rPr>
                <w:rFonts w:ascii="Times New Roman" w:hAnsi="Times New Roman"/>
                <w:color w:val="000000"/>
                <w:kern w:val="0"/>
                <w:sz w:val="25"/>
                <w:szCs w:val="24"/>
              </w:rPr>
              <w:t>的取值</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基金合同生效之日至</w:t>
            </w:r>
            <w:r>
              <w:rPr>
                <w:rFonts w:ascii="Times New Roman" w:hAnsi="Times New Roman"/>
                <w:color w:val="000000"/>
                <w:kern w:val="0"/>
                <w:sz w:val="25"/>
                <w:szCs w:val="24"/>
              </w:rPr>
              <w:t>2020.12.31</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53%</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2021.1.1-2023.12.31</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46%</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2024.1.1-2026.12.31</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39%</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2027.1.1-2029.12.31</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35%</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2030.1.1-2032.12.31</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32%</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2033.1.1-2035.12.31</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29%</w:t>
            </w:r>
          </w:p>
        </w:tc>
      </w:tr>
    </w:tbl>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2、交银养老2035三年Y上述“自基金合同生效起至今”实际为“自基金份额类别首次确认起至今”，下同。</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5E553A" w:rsidRDefault="007A645A">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交银施罗德养老目标日期2035三年持有期混合型基金中基金（FOF）</w:t>
      </w:r>
    </w:p>
    <w:p w:rsidR="005E553A" w:rsidRDefault="007A645A">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5E553A" w:rsidRDefault="007A645A">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（2020年4月29日至2025年09月30日）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交银施罗德养老目标日期2035三年持有期混合A</w:t>
      </w:r>
    </w:p>
    <w:p w:rsidR="005E553A" w:rsidRDefault="00C27F82">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6" type="#_x0000_t75" style="width:439.5pt;height:268.5pt">
            <v:imagedata r:id="rId16" o:title="1521256610242020828"/>
          </v:shape>
        </w:pic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交银施罗德养老目标日期2035三年持有期混合Y</w:t>
      </w:r>
    </w:p>
    <w:p w:rsidR="005E553A" w:rsidRDefault="00C27F82">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7" type="#_x0000_t75" style="width:439.5pt;height:268.5pt">
            <v:imagedata r:id="rId17" o:title="1521256610242020828"/>
          </v:shape>
        </w:pic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2、本基金自2022年11月11日增加Y类基金份额，自2022年11月16日起新增有效份额，并于2022年11月28日起面向公众发售。</w:t>
      </w:r>
    </w:p>
    <w:p w:rsidR="00B439CC" w:rsidRDefault="007A64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E553A" w:rsidRDefault="007A645A">
      <w:pPr>
        <w:pStyle w:val="1"/>
        <w:snapToGrid w:val="0"/>
        <w:spacing w:beforeLines="0" w:before="240" w:after="240"/>
        <w:rPr>
          <w:rFonts w:ascii="宋体" w:hAnsi="宋体"/>
          <w:szCs w:val="30"/>
        </w:rPr>
      </w:pPr>
      <w:bookmarkStart w:id="14" w:name="_Toc239686230"/>
      <w:r>
        <w:rPr>
          <w:rFonts w:ascii="Times New Roman" w:hAnsi="Times New Roman"/>
          <w:sz w:val="30"/>
        </w:rPr>
        <w:lastRenderedPageBreak/>
        <w:t>十一、到达目标日期后基金的转型</w:t>
      </w:r>
      <w:bookmarkEnd w:id="14"/>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（一）到达目标日期后基金的存续形式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到达目标日期（2035年12月31日）后2036年第一个工作日，本基金基金名称从“交银施罗德养老目标日期2035三年持有期混合型基金中基金（FOF）”变更为“交银施罗德债基优选债券型基金中基金（FOF）”，同时本基金的投资目标、投资范围、投资策略、投资限制、业绩比较基准、基金的费用等也将按基金合同的约定相应修改，可不经基金份额持有人大会决议。</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到达目标日期后本基金的基金份额默认转为变更后的“交银施罗德债基优选债券型基金中基金（FOF）”的基金份额，无需支付基金转换费用。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（二）到达目标日期后基金的申购赎回</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到达目标日期后，本基金不再设置最短持有期，基金管理人将根据转型后基金合同的约定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（三）转型后基金投资相关安排</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1、投资目标</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本基金为基金中基金，在控制风险并保持基金资产良好的流动性的前提下，力争为投资者提供长期稳健的投资回报。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2、投资范围</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经中国证监会依法核准或注册的公开募集证券投资基金（含ETF和LOF、不含QDII）、国内依法发行上市的股票（含中小板、创业板及其他经中国证监会核准上市的股票、存托凭证）、债券（含国债、央行票据、金融债券、政府支持债券、政府支持机构债券、地方政府债券、企业债券、公司债券、可转换债券（含可分离交易可转换债券）、可交换债券、次级债券、中期票据、短期融资券、超短期融资券等）、资产支持证券、债券回购、同业存单、银行存款（含协议存款、定期存款及其他银行存款）、货币市场工具以及法律法规或中国证监会允许基金投资的其他金融工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的投资组合比例为：本基金投资于公开募集债券型证券投资基金（包括债券指数基金）的基金份额的资产不低于本基金资产的80%。本基金持有的现金或者到期日在一年以内的政府债券的比例合计不低于基金资产净值的5%，其中现金不包括结算备付金、存出保证金和应收申购款等。</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3、投资策略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本基金投资策略主要分为以下七个部分：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对宏观经济运行周期、货币与财政政策形势、资金面供求变化、证券市场走势与估值水平等综合分析，并融合量化投资方法，结合国内外先进资产配置理念，及时把握市场时机，调整资产配置比例，获取资产配置收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（2）基金投资策略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本基金管理人绩效评估系统对备选基金的评估分析，在有效控制风险的前提下，通过定量和定性相结合的方法，精选具有不同风险收益特征及投资业绩比较优势的基金确定本基金配置组合。本基金的绩效评估系统分析主要包括业绩指标分析、业绩归因分析以及基金管理人综合评估等：</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1）运用量化方法分析所有适选基金在不同市场下的历史业绩表现，包括收益指标、风险指标和风险调整后收益指标等，具体如下：</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收益指标：包括绝对收益、相对收益等指标；</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风险指标：包括波动率、最大回撤等指标；</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风险调整后收益指标：包括夏普比率、信息比率等指标。</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深入分析基金的业绩表现，再次精选基金确定备选基金，包括对基金的择时能力、资产配置能力、个股选择能力等进行归因分析，解释基金收益来源，评估未来收益的持续性与稳定性。基于市场环境、政策变动、风险事件等多重因素对基金配置组合进行持续跟踪，动态调整基金投资组合及配置比例。</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3）结合对基金管理人的定性评估，包括基金管理人基本情况、投研团队实力以及投研团队稳定性、基金经理投资优势及业绩稳定性等方面，最终确定本基金的投资组合及配置比例。</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综上，本基金通过定量和定性相结合的方法，长期持续跟踪本基金的组合业</w:t>
      </w:r>
      <w:r>
        <w:rPr>
          <w:rFonts w:ascii="宋体" w:hAnsi="宋体"/>
          <w:sz w:val="24"/>
        </w:rPr>
        <w:lastRenderedPageBreak/>
        <w:t>绩，并定期对基金组合进行维护，力争实现基金资产的长期稳健增值。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（3）股票投资策略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利用公司股票研究团队“自下而上”的主动选股能力，筛选出在公司治理、财务及管理品质上符合基本品质要求的上市公司，其次在公司备选股票池基础上，本基金将进一步通过对备选上市公司翔实的案头分析和深入的实地调研，以定性与定量相结合的方法对公司价值进行综合评估。通过对重点上市公司进行内在价值的评估和成长性跟踪研究，在明确的价值评估基础上精选优秀质地的投资标的。</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（4）债券投资策略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获取债券市场的长期稳定收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（5）资产支持证券投资策略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（6）风险控制策略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本基金定位为债券型基金中基金，投资于公开募集债券型证券投资基金（包括债券指数基金）的基金份额的资产不低于本基金资产的80%。从子基金选择、整体流动性风险等方面来控制风险。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子基金选择方面，采用基金绩效评估系统进行全面分析，同时着重对子基金的风险控制能力进行评估，包括风险指标和风险调整后收益指标等，控制子基金在投资组合中的风险暴露度。</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整体流动性风险方面，本基金将通过严格控制封闭运作的基金、定期开放基金等流动受限基金的投资比例，有效控制流动性风险。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4、投资限制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1）本基金投资于公开募集债券型证券投资基金（包括债券指数基金）的基金份额的资产不低于本基金资产的80%；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2）本基金持有的现金或者到期日在一年以内的政府债券的比例合计不低于基金资产净值的5%，其中现金不包括结算备付金、存出保证金和应收申购款等；</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3）本基金持有单只基金的市值，不得高于本基金资产净值的20%，且不得持有其他基金中基金；</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4）本基金管理人管理的全部基金中基金（除ETF联接基金外）持有单只基金不得超过被投资基金净资产的20%，被投资基金净资产规模以最近定期报告披露的规模为准；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5）本基金不得持有具有复杂、衍生品性质的基金份额，包括分级基金和中国证监会认定的其他基金份额；</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6）本基金投资其他基金时，被投资基金的运作期限应当不少于1年，最近定期报告披露的基金净资产应当不低于1亿元；</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7）本基金投资于封闭运作基金、定期开放基金等流通受限基金的，其公允价值不得超过本基金资产净值的10%；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8）基金管理人运用本基金财产投资于股票、债券等金融工具的，投资品种和比例应当符合本基金的投资目标和投资策略；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9）本基金持有一家公司发行的证券（不含本基金所投资的基金份额），其市值不超过基金资产净值的10%；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10）本基金管理人管理的全部基金持有一家公司发行的证券（不含本基金所投资的基金份额），不超过该证券的10%；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11）本基金投资于同一原始权益人的各类资产支持证券的比例，不得超过基金</w:t>
      </w:r>
      <w:r>
        <w:rPr>
          <w:rFonts w:ascii="宋体" w:hAnsi="宋体"/>
          <w:sz w:val="24"/>
        </w:rPr>
        <w:lastRenderedPageBreak/>
        <w:t>资产净值的10%；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12）本基金持有的全部资产支持证券，其市值不得超过基金资产净值的20%；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13）本基金持有的同一（指同一信用级别）资产支持证券的比例，不得超过该资产支持证券规模的10%；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14）本基金管理人管理的全部基金投资于同一原始权益人的各类资产支持证券，不得超过其各类资产支持证券合计规模的10%；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15）本基金应投资于信用级别评级为BBB以上（含BBB）的资产支持证券。基金持有资产支持证券期间，如果其信用等级下降、不再符合投资标准，应在评级报告发布之日起3个月内予以全部卖出；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16）基金财产参与股票发行申购，本基金所申报的金额不超过本基金的总资产，本基金所申报的股票数量不超过拟发行股票公司本次发行股票的总量；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17）本基金进入全国银行间同业市场进行债券回购的资金余额不得超过基金资产净值的40%，进入全国银行间同业市场进行债券回购的最长期限为1年，债券回购到期后不得展期；</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20）本基金与私募类证券资管产品及中国证监会认定的其他主体为交易对手开展逆回购交易的，可接受质押品的资质要求应当与基金合同约定的投资范围保持一致；</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21）本基金资产总值不超过基金资产净值的140%；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22）本基金投资于商品基金（含商品期货基金和黄金ETF）的资产占基金资产的比例不高于10%；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23）本基金投资于货币市场基金的比例不得超过基金资产的15%；</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24）本基金投资存托凭证的比例限制依照境内上市交易的股票执行；</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25）法律法规及中国证监会规定的和《基金合同》约定的其他投资限制。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证券市场波动、证券发行人合并、基金规模变动、本基金所投资的基金发生流动性限制、暂停申购、赎回或二级市场交易停牌等基金管理人之外的因素致使本基金投资比例不符合上述第3）项、第4）项规定投资比例的，基金管理人应当在20个交易日内进行调整；对于第2）项、第3）项、第4）项、第15）项、第19）项及第20）项以外的其他情形，基金管理人应当在10个交易日内进行调整，但中国证监会规定的特殊情形除外。法律法规另有规定的，从其规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转型之日起6个月内使基金的投资组合比例符合基金合同的有关约定。在上述期间内，本基金的投资范围、投资策略应当符合基金合同的约定。基金托管人对基金的投资的监督与检查自本基金转型之日起开始。</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4）向其基金管理人、基金托管人出资；</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5）从事内幕交易、操纵证券交易价格及其他不正当的证券交易活动；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6）法律、行政法规和中国证监会规定禁止的其他活动。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5、业绩比较基准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90%×中债综合全价指数收益率+10%×沪深300指数收益率</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中债综合全价指数由中央国债登记结算有限责任公司编制并发布，其指数样本涵盖国债、政策性银行债、商业银行债、地方企业债、中期票据以及证券公司短期融资券等券种，能够综合反映我国债券市场的整体投资收益情况，适合作为本基金固定收益类资产投资的业绩比较基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权益类资产投资的业绩比较基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根据本基金的投资范围和投资策略，选用上述业绩比较基准能够客观、合理地反映本基金的风险收益特征。</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依据维护基金份额持有人合法权益的原则，本基金管理人可与本基金托管人协商一致并按照监管部门要求履行适当程序后，调整或变更本基金的业绩比较基准并及时公告，无需召开基金份额持有人大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6、风险收益特征</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债券型基金中基金，由于本基金主要投资于公开募集证券投资基金的基金份额，持有基金的预期风险和预期收益间接成为本基金的预期风险和预期收益。本基金的预期风险与预期收益高于货币市场基金和货币型基金中基金，低于股票型基金、股票型基金中基金、混合型基金和混合型基金中基金。</w:t>
      </w:r>
    </w:p>
    <w:p w:rsidR="00B439CC" w:rsidRDefault="007A64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E553A" w:rsidRDefault="007A645A">
      <w:pPr>
        <w:pStyle w:val="1"/>
        <w:snapToGrid w:val="0"/>
        <w:spacing w:beforeLines="0" w:before="240" w:after="240"/>
        <w:rPr>
          <w:rFonts w:ascii="宋体" w:hAnsi="宋体"/>
          <w:szCs w:val="30"/>
        </w:rPr>
      </w:pPr>
      <w:bookmarkStart w:id="15" w:name="_Toc239686231"/>
      <w:r>
        <w:rPr>
          <w:rFonts w:ascii="Times New Roman" w:hAnsi="Times New Roman"/>
          <w:sz w:val="30"/>
        </w:rPr>
        <w:lastRenderedPageBreak/>
        <w:t>十二、基金的财产</w:t>
      </w:r>
      <w:bookmarkEnd w:id="15"/>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基金资产总值是指基金拥有的各类有价证券、证券投资基金份额、银行存款本息、基金应收申购款及其他资产的价值总和。</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基金账户以及投资所需的其他专用账户。开立的基金专用账户与基金管理人、基金托管人、基金销售机构和基金登记机构自有的财产账户以及其他基金财产账户相独立。</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（四）基金财产的保管和处分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7A64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E553A" w:rsidRDefault="007A645A">
      <w:pPr>
        <w:pStyle w:val="1"/>
        <w:snapToGrid w:val="0"/>
        <w:spacing w:beforeLines="0" w:before="240" w:after="240"/>
        <w:rPr>
          <w:rFonts w:ascii="宋体" w:hAnsi="宋体"/>
          <w:szCs w:val="30"/>
        </w:rPr>
      </w:pPr>
      <w:bookmarkStart w:id="16" w:name="_Toc239686232"/>
      <w:r>
        <w:rPr>
          <w:rFonts w:ascii="Times New Roman" w:hAnsi="Times New Roman"/>
          <w:sz w:val="30"/>
        </w:rPr>
        <w:lastRenderedPageBreak/>
        <w:t>十三、基金资产的估值</w:t>
      </w:r>
      <w:bookmarkEnd w:id="16"/>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本基金的估值日为本基金相关的证券交易场所的交易日以及国家法律法规规定需要对外披露基金净值的非交易日。所投资基金的估值日是指该基金基金份额净值和基金份额累计净值的归属日。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（二）估值对象</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基金所拥有的证券投资基金份额、股票、债券和其他投资等持续以公允价值计量的金融资产及负债。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（三）估值原则</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形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（四）估值方法</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1、证券投资基金的估值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（1）本基金投资于非上市的非货币市场基金，按所投资基金估值日的份额净值进行估值；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（2）本基金投资于非上市的货币市场基金，按所投资基金前一估值日后至估值日期间（含节假日）的万份收益计提估值日基金收益；如所投资基金披露份额净值，则按所投资基金估值日的份额净值估值；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（3）本基金投资的ETF基金，按所投资ETF基金估值日的收盘价进行估值；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（4）本基金投资的上市开放式基金（LOF），按所投资基金估值日的份额净值估值；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（5）本基金投资的上市定期开放式基金、封闭式基金，按所投资基金估值日的收盘价估值；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的上市交易型货币市场基金，如所投资基金披露份额净值，则按所投资基金估值日的份额净值估值；如所投资基金披露万份（百份）收益，则按所投资基金前一估值日后至估值日期间（含节假日）的万份（百份）收益计提估值日基金收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（7）如遇所投资基金不公布基金份额净值、进行折算或拆分、估值日无交易等特殊情况，基金管理人根据以下原则进行估值：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以所投资基金的基金份额净值估值的，若所投资基金与本基金估值频率一致但未公布估值日基金份额净值，以其最近公布的基金份额净值估值；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所投资基金的收盘价估值的，若估值日无交易，且最近交易日后市场环境未发生重大变化，以最近交易日的收盘价估值；如最近交易日后市场环境发生了重大变化的，可使用最新的基金份额净值为基础或参考类似投资品种的现行市价及重大变化因素调整最近交易市价，确定公允价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如果所投资基金前一估值日至估值日期间发生分红除权、折算或拆分，基金管理人应根据基金份额净值或收盘价、单位基金份额分红金额、折算拆分比例、持仓份额等因素合理确定公允价值；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（8）当基金管理人认为所投资基金按上述第（1）至第（7）条进行估值存在不公允时，应与基金托管人协商一致采用合理的估值技术或估值标准确定其公允价值。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2、证券交易所上市的有价证券的估值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上市的有价证券（包括股票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（3）交易所上市交易的可转换债券以每日收盘价作为估值全价；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3、处于未上市期间的有价证券应区分如下情况处理：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（2）首次公开发行未上市的股票、债券，采用估值技术确定公允价值，在估值技术难以可靠计量公允价值的情况下，按成本估值。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银行间市场上市交易的固定收益品种，选取第三方估值机构提供的相应品种当日的估值净价进行估值。银行间市场发行未上市的固定收益品种，采用估值技术确定公允价值；在估值技术难以可靠计量公允价值的情况下，按成本估值。同一</w:t>
      </w:r>
      <w:r>
        <w:rPr>
          <w:rFonts w:ascii="宋体" w:hAnsi="宋体"/>
          <w:sz w:val="24"/>
        </w:rPr>
        <w:lastRenderedPageBreak/>
        <w:t>债券同时在两个或两个以上市场交易的，按债券所处的市场分别估值。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5、估值计算中涉及港币对人民币汇率的，应当以基金估值日中国人民银行或其授权机构公布的人民币汇率中间价为准。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按照中国法律法规和基金投资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7、如有确凿证据表明按上述方法进行估值不能客观反映其公允价值的，基金管理人可根据具体情况与基金托管人商定后，按最能反映公允价值的价格估值。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8、当发生大额申购或赎回情形时，基金管理人可以采用摆动定价机制，以确保基金估值的公平性。</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9、本基金投资存托凭证的估值核算依照境内上市交易的股票执行。</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10、相关法律法规以及监管部门有强制规定的，从其规定。如有新增事项，按国家最新规定估值。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（五）估值程序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估值日，该类基金份额的基金资产净值除以估值日该类基金份额的余额数量计算，精确到0.0001元，小数点后第五位四舍五入。基金管理人可以设立大额赎回情形下的净值精度应急调整机制。国家另有规定的，从其规定。T日的基金份额净值在所投资基金披露净值或万份收益当日（法定节假日顺延至第一个交易日）计算，并在T+3日内披露本基金T日各类基金份额的基金份额净值和基金份额累计净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基金管理人于每个工作日分别计算各类基金份额的基金资产净值及基金份额净值，并按规定公告。如遇特殊情况，经中国证监会同意，可以适当延迟计算或公</w:t>
      </w:r>
      <w:r>
        <w:rPr>
          <w:rFonts w:ascii="宋体" w:hAnsi="宋体"/>
          <w:sz w:val="24"/>
        </w:rPr>
        <w:lastRenderedPageBreak/>
        <w:t>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（六）估值错误的处理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w:t>
      </w:r>
      <w:r>
        <w:rPr>
          <w:rFonts w:ascii="宋体" w:hAnsi="宋体"/>
          <w:sz w:val="24"/>
        </w:rPr>
        <w:lastRenderedPageBreak/>
        <w:t>并且仅对估值错误的有关直接当事人负责，不对第三方负责。</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（七）暂停估值的情形</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3、由于本基金持有的相当比例的基金暂停估值，导致基金管理人无法计算当日基金资产净值；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4、当前一估值日基金资产净值50%以上的资产出现无可参考的活跃市场价格且采用估值技术仍导致公允价值存在重大不确定性时，经与基金托管人协商确认后，基金管理人应当暂停估值；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5、法律法规、中国证监会和基金合同认定的其它情形。</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（八）基金净值的确认</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开放日交易结束后计算各类基金份额的基金资产净值和基金份额净值并发送给基金托管人。基金托管人对净值计算结果复核确认后发送给基金管理人，由基金管理人依据基金合同和相关法律法规的规定对基金净值予以公布。</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（九）特殊情形的处理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1、基金管理人或基金托管人按估值方法的第7项进行估值时，所造成的误差不作为基金资产估值错误处理。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2、对于因税收规定调整或其他原因导致基金实际交纳税金与基金按照权责发生制进行估值的应交税金有差异的，相关估值调整不作为基金资产估值错误处理。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不可抗力原因，或由于证券交易所、证券经纪机构、登记结算公司及存款银行等第三方机构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B439CC" w:rsidRDefault="007A64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E553A" w:rsidRDefault="007A645A">
      <w:pPr>
        <w:pStyle w:val="1"/>
        <w:snapToGrid w:val="0"/>
        <w:spacing w:beforeLines="0" w:before="240" w:after="240"/>
        <w:rPr>
          <w:rFonts w:ascii="宋体" w:hAnsi="宋体"/>
          <w:szCs w:val="30"/>
        </w:rPr>
      </w:pPr>
      <w:bookmarkStart w:id="17" w:name="_Toc239686233"/>
      <w:r>
        <w:rPr>
          <w:rFonts w:ascii="Times New Roman" w:hAnsi="Times New Roman"/>
          <w:sz w:val="30"/>
        </w:rPr>
        <w:lastRenderedPageBreak/>
        <w:t>十四、基金收益与分配</w:t>
      </w:r>
      <w:bookmarkEnd w:id="17"/>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（一）基金利润的构成</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（二）基金可供分配利润</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1、在符合有关基金分红条件的前提下，本基金管理人可以根据实际情况进行收益分配，具体分配方案以公告为准，若《基金合同》生效不满3个月可不进行收益分配；</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相应类别的基金份额进行再投资；若投资者不选择，A类基金份额默认的收益分配方式是现金分红，Y类基金份额默认的收益分配方式为红利再投资；投资者红利再投资所得的该类基金份额不受最短持有期限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3、基金收益分配后任一类基金份额净值不能低于面值，即基金收益分配基准日的任一类基金份额净值减去每单位该类基金份额收益分配金额后不能低于面值；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4、本基金各基金份额类别对应的可供分配利润可能有所不同；本基金同一基金份额类别的每一基金份额享有同等分配权；</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（五）收益分配方案的确定、公告与实施</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本基金收益分配方案由基金管理人拟定，并由基金托管人复核，依照《信息披露办法》的规定在指定媒介公告。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（六）基金收益分配中发生的费用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w:t>
      </w:r>
      <w:r>
        <w:rPr>
          <w:rFonts w:ascii="宋体" w:hAnsi="宋体"/>
          <w:sz w:val="24"/>
        </w:rPr>
        <w:lastRenderedPageBreak/>
        <w:t>者的现金红利小于一定金额，不足以支付银行转账或其他手续费用时，基金登记机构可将基金份额持有人的现金红利自动转为相应类别的基金份额。红利再投资的计算方法，依照《业务规则》执行。</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B439CC" w:rsidRDefault="007A64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E553A" w:rsidRDefault="007A645A">
      <w:pPr>
        <w:pStyle w:val="1"/>
        <w:snapToGrid w:val="0"/>
        <w:spacing w:beforeLines="0" w:before="240" w:after="240"/>
        <w:rPr>
          <w:rFonts w:ascii="宋体" w:hAnsi="宋体"/>
          <w:szCs w:val="30"/>
        </w:rPr>
      </w:pPr>
      <w:bookmarkStart w:id="18" w:name="_Toc239686234"/>
      <w:r>
        <w:rPr>
          <w:rFonts w:ascii="Times New Roman" w:hAnsi="Times New Roman"/>
          <w:sz w:val="30"/>
        </w:rPr>
        <w:lastRenderedPageBreak/>
        <w:t>十五、基金的费用与税收</w:t>
      </w:r>
      <w:bookmarkEnd w:id="18"/>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6、基金的证券/基金交易费用；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9、因投资港股通标的股票而产生的各项合理费用；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财产中持有的基金管理人自身管理的基金部分不收取管理费。本基金各类基金份额按照不同的年费率计提管理费，各类基金份额的管理费按前一日该类基金资产净值扣除该类基金财产中持有的基金管理人自身管理的基金部分所对应资产后剩余部分的年管理费率计提。</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本基金A类基金份额的年管理费率为0.8%；本基金Y类基金份额的年管理费率为0.4%。</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管理费的计算方法如下：</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H＝E×年管理费率÷当年天数</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H为各类基金份额每日应计提的基金管理费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E为各类基金份额前一日的该类基金资产净值扣除该类基金财产中持有的基金管理人自身管理的基金部分所对应资产后剩余部分，若为负数，则E取0。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基金管理费每日计提，按月支付。由基金管理人向基金托管人发送基金管理费划付指令，经基金托管人复核后于次月首日起3个工作日内从基金资产中一次性支付给基金管理人。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若遇法定节假日、休息日或不可抗力致使无法按时支付的，顺延至最近可支付日支付。</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财产中持有的基金托管人自身托管的基金部分不收取托管费。本基金各类基金份额按照不同的年费率计提托管费，各类基金份额的托管费按前一日该类基金资产净值扣除该类基金财产中持有的基金托管人自身托管的基金部分所对应资产后剩余部分的年托管费率计提。</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本基金A类基金份额的年托管费率为0.2%；本基金Y类基金份额的年托管费率为0.1%。</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托管费的计算方法如下：</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H＝E×年托管费率÷当年天数</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H为各类基金份额每日应计提的基金托管费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E为各类基金份额前一日的该类基金资产净值扣除该类基金财产中持有的基金托管人自身托管的基金部分所对应资产后剩余部分，若为负数，则E取0。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基金托管费每日计提，按月支付。由基金管理人向基金托管人发送基金托管费划付指令，经基金托管人复核后于次月首日起3个工作日内从基金资产中一次性支付给基金托管人。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3、转型为交银施罗德债基优选债券型基金中基金（FOF）后的基金费用计提方法、计提标准和支付方式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财产中持有的基金管理人自身管理的基金部分不收取管理费。本基金各类基金份额按照不同的年费率计提管理费，各类基金份额的管理费按前一日该类基金资产净值扣除该类基金财产中持有的基金管理人自身管理的基金部分所对应资产后剩余部分的年管理费率计提。</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本基金A类基金份额的年管理费率为0.5%；本基金Y类基金份额的年管理费率为0.25%。</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管理费的计算方法如下：</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H＝E×年管理费率÷当年天数</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H为各类基金份额每日应计提的基金管理费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E为各类基金份额前一日的该类基金资产净值扣除该类基金财产中持有的基金管理人自身管理的基金部分所对应资产净值后剩余部分，若为负数，则E取0。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基金管理费每日计提，按月支付。由基金管理人向基金托管人发送基金管理费划付指令，经基金托管人复核后于次月首日起3个工作日内从基金资产中一次性支付给基金管理人。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财产中持有的基金托管人自身托管的基金部分不收取托管费。本基金各类基金份额按照不同的年费率计提托管费，各类基金份额的托管费按前一日该类基金资产净值扣除该类基金财产中持有的基金托管人自身托管的基金部分所对应资产后剩余部分的年托管费率计提。</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本基金A类基金份额的年托管费率为0.15%；本基金Y类基金份额的年托管费率为0.075%。</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托管费的计算方法如下：</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H＝E×年托管费率÷当年天数</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H为各类基金份额每日应计提的基金托管费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E为各类基金份额前一日的该类基金资产净值扣除该类基金财产中持有的基金托管人自身托管的基金部分所对应资产后剩余部分，若为负数，则E取0。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基金托管费每日计提，按月支付。由基金管理人向基金托管人发送基金托管费划付指令，经基金托管人复核后于次月首日起3个工作日内从基金资产中一次性支付给基金托管人。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4、本基金Y类基金份额可对基金管理费和基金托管费实施一定的费率优惠，具体优惠请参看相关公告。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5、上述“（一）基金费用的种类”中第3－10项费用，根据有关法规及相应协议规定，按费用实际支出金额列入当期费用，由基金托管人从基金财产中支付。</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6、基金管理人运用本基金的基金财产申购自身管理的基金的（ETF除外），应</w:t>
      </w:r>
      <w:r>
        <w:rPr>
          <w:rFonts w:ascii="宋体" w:hAnsi="宋体"/>
          <w:sz w:val="24"/>
        </w:rPr>
        <w:lastRenderedPageBreak/>
        <w:t>当通过直销渠道申购且不得收取申购费、赎回费（按照相关法规、基金招募说明书约定应当收取，并计入基金财产的赎回费用除外）、销售服务费（如有）等销售费用。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（三）不列入基金费用的项目</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（四）基金税收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rsidR="00B439CC" w:rsidRDefault="007A64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E553A" w:rsidRDefault="007A645A">
      <w:pPr>
        <w:pStyle w:val="1"/>
        <w:snapToGrid w:val="0"/>
        <w:spacing w:beforeLines="0" w:before="240" w:after="240"/>
        <w:rPr>
          <w:rFonts w:ascii="宋体" w:hAnsi="宋体"/>
          <w:szCs w:val="30"/>
        </w:rPr>
      </w:pPr>
      <w:bookmarkStart w:id="19" w:name="_Toc239686235"/>
      <w:r>
        <w:rPr>
          <w:rFonts w:ascii="Times New Roman" w:hAnsi="Times New Roman"/>
          <w:sz w:val="30"/>
        </w:rPr>
        <w:lastRenderedPageBreak/>
        <w:t>十六、基金的会计与审计</w:t>
      </w:r>
      <w:bookmarkEnd w:id="19"/>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（二）基金的年度审计</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3、基金管理人认为有充足理由更换会计师事务所，须通报基金托管人。更换会计师事务所需依照《信息披露办法》的规定在指定媒介公告。</w:t>
      </w:r>
    </w:p>
    <w:p w:rsidR="00B439CC" w:rsidRDefault="007A64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E553A" w:rsidRDefault="007A645A">
      <w:pPr>
        <w:pStyle w:val="1"/>
        <w:snapToGrid w:val="0"/>
        <w:spacing w:beforeLines="0" w:before="240" w:after="240"/>
        <w:rPr>
          <w:rFonts w:ascii="宋体" w:hAnsi="宋体"/>
          <w:szCs w:val="30"/>
        </w:rPr>
      </w:pPr>
      <w:bookmarkStart w:id="20" w:name="_Toc239686236"/>
      <w:r>
        <w:rPr>
          <w:rFonts w:ascii="Times New Roman" w:hAnsi="Times New Roman"/>
          <w:sz w:val="30"/>
        </w:rPr>
        <w:lastRenderedPageBreak/>
        <w:t>十七、基金的信息披露</w:t>
      </w:r>
      <w:bookmarkEnd w:id="20"/>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（一）本基金的信息披露应符合《基金法》、《运作办法》、《信息披露办法》、《流动性风险管理规定》、《基金合同》及其他有关规定。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（三）本基金信息披露义务人承诺公开披露的基金信息，不得有下列行为：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（四）本基金公开披露的信息应采用中文文本。同时采用外文文本的，基金信息披露义务人应保证不同文本的内容一致。不同文本之间发生歧义的，以中文文本为准。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合同》终止的，基金管理人不再更新招募说明书。</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合同终止的，基金管理人不再更新基金产品资料概要。</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招募说明书提示性公告和《基金合同》提示性公告登载在指定报刊上，将基金份额发售公告、基金招募说明书、基金产品资料概要、《基金合同》和基金托管协议登载在指定网站上，并将基金产品资料概要登载在基金销售机构网站或营业网点；基金托管人应当同时将《基金合同》、基金托管协议登载在网站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w:t>
      </w:r>
      <w:r>
        <w:rPr>
          <w:rFonts w:ascii="宋体" w:hAnsi="宋体"/>
          <w:sz w:val="24"/>
        </w:rPr>
        <w:lastRenderedPageBreak/>
        <w:t>至少每周在指定网站分别披露一次A类基金份额和Y类基金份额所对应的基金份额净值和基金份额累计净值。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后的3个工作日内，通过指定网站、基金销售机构网站或者营业网点分别披露开放日A类基金份额和Y类基金份额所对应的基金份额净值和基金份额累计净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基金管理人应当在不晚于半年度和年度最后一日的3个工作日，在指定网站披露半年度和年度最后一日A类基金份额和Y类基金份额所对应的基金份额净值和基金份额累计净值。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本基金发生重大事件，有关信息披露义务人应当依照《信息披露办法》的规定</w:t>
      </w:r>
      <w:r>
        <w:rPr>
          <w:rFonts w:ascii="宋体" w:hAnsi="宋体"/>
          <w:sz w:val="24"/>
        </w:rPr>
        <w:lastRenderedPageBreak/>
        <w:t>编制临时报告书，并登载在指定报刊和指定网站上。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（15）管理费、托管费、申购费、赎回费等费用计提标准、计提方式和费率发生变更；</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（17）本基金开始办理申购、赎回；</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（24）《基金合同》生效三年后，本基金连续30、40、45个工作日出现基金份额持有人数量不满200人或者基金资产净值低于5000万元情形，基金管理人应当发布提示性公告；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（25）基金信息披露义务人认为可能对基金份额持有人权益或者基金份额的价格产生重大影响的其他事项或中国证监会规定和基金合同约定的其他事项。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10、基金投资资产支持证券情况</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11、本基金投资流通受限证券，基金管理人应在本基金投资非公开发行股票后</w:t>
      </w:r>
      <w:r>
        <w:rPr>
          <w:rFonts w:ascii="宋体" w:hAnsi="宋体"/>
          <w:sz w:val="24"/>
        </w:rPr>
        <w:lastRenderedPageBreak/>
        <w:t>两个交易日内，在中国证监会指定媒介披露所投资非公开发行股票的名称、数量、总成本、账面价值，以及总成本和账面价值占基金资产净值的比例、锁定期等信息。</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在定期报告和招募说明书（更新）中应设立专门章节披露所持基金的相关情况并揭示相关风险：1、投资策略、持仓情况、损益情况、净值披露时间等；2、交易及持有基金产生的费用，包括申购费、赎回费、销售服务费、管理费、托管费等，在招募说明书（更新）中列明计算方法并举例说明；3、持有的基金发生的重大影响事件，如转换运作方式、与其他基金合并、终止基金合同以及召开基金份额持有人大会等；4、本基金投资于基金管理人以及基金管理人关联方所管理基金的情况。</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13、投资港股通标的股票的信息披露</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基金管理人应当在季度报告、中期报告、年度报告等定期报告和招募说明书（更新）等文件中披露本基金参与港股通交易的相关情况。</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14、中国证监会规定的其他信息。</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（六）信息披露事务管理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基金信息披露义务人公开披露基金信息，应当符合中国证监会相关基金信息披露内容与格式准则等法律法规的规定。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w:t>
      </w:r>
      <w:r>
        <w:rPr>
          <w:rFonts w:ascii="宋体" w:hAnsi="宋体"/>
          <w:sz w:val="24"/>
        </w:rPr>
        <w:lastRenderedPageBreak/>
        <w:t>机构，应当制作工作底稿，并将相关档案至少保存到《基金合同》终止后10年。</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（七）信息披露文件的存放与查阅</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7A64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E553A" w:rsidRDefault="007A645A">
      <w:pPr>
        <w:pStyle w:val="1"/>
        <w:snapToGrid w:val="0"/>
        <w:spacing w:beforeLines="0" w:before="240" w:after="240"/>
        <w:rPr>
          <w:rFonts w:ascii="宋体" w:hAnsi="宋体"/>
          <w:szCs w:val="30"/>
        </w:rPr>
      </w:pPr>
      <w:bookmarkStart w:id="21" w:name="_Toc239686237"/>
      <w:r>
        <w:rPr>
          <w:rFonts w:ascii="Times New Roman" w:hAnsi="Times New Roman"/>
          <w:sz w:val="30"/>
        </w:rPr>
        <w:lastRenderedPageBreak/>
        <w:t>十八、风险揭示</w:t>
      </w:r>
      <w:bookmarkEnd w:id="21"/>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基金分为股票型基金、混合型基金、债券型基金、货币市场基金、基金中基金等不同类型，基金中基金进一步分为股票型基金中基金、混合型基金中基金、债券型基金中基金、货币型基金中基金等不同类型，投资人投资不同类型的基金将获得不同的收益预期，也将承担不同程度的风险。一般来说，基金的收益预期越高，投资人承担的风险也越大。</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投资人应当认真阅读《基金合同》、《招募说明书》等基金法律文件，了解基金的风险收益特征，并根据自身的投资目的、投资期限、投资经验、资产状况等判断基金是否和投资人的风险承受能力相适应。</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w:t>
      </w:r>
      <w:r>
        <w:rPr>
          <w:rFonts w:ascii="宋体" w:hAnsi="宋体"/>
          <w:sz w:val="24"/>
        </w:rPr>
        <w:lastRenderedPageBreak/>
        <w:t>做出投资决策后，基金运营状况与基金净值变化引致的投资风险，由投资人自行负担。</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本基金属于开放式基金，在基金的所有开放日，基金份额持有人持有的每份基金份额最短持有期限为三年，对于满足持有期限的投资人，基金管理人都有义务接</w:t>
      </w:r>
      <w:r>
        <w:rPr>
          <w:rFonts w:ascii="宋体" w:hAnsi="宋体"/>
          <w:sz w:val="24"/>
        </w:rPr>
        <w:lastRenderedPageBreak/>
        <w:t>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但对于每份基金份额，基金份额持有人仅可在该份额最短持有期限届满后申请赎回，具体办理时间为上海证券交易所、深圳证券交易所的正常交易日的交易时间，但基金管理人根据法律法规、中国证监会的要求或基金合同的规定公告暂停申购、赎回时除外。基金管理人自基金合同生效之日起不超过3个月开始办理申购业务，具体业务办理时间在申购开始公告中规定。基金管理人自基金合同生效之日起至三年后的年度对日（含该日）开始办理赎回，具体业务办理时间在赎回开始公告中规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份额持有人多次认购或申购本基金导致持有多笔不同期限的本基金份额时，基金份额持有人在赎回时需特别关注申请赎回的基金份额数量，若申请赎回的基金份额超过了该份额持有人持续持有超过三年的基金份额数量，则基金份额持有人的赎回申请将被予以拒绝。基金份额持有人需承担赎回申请失败的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基金中基金，投资于公开募集证券投资基金的基金份额的资产不低于基金资产的80%，主要投资对象为具有良好流动性的金融工具，同时本基金基于分散投资的原则在行业和个券方面未有高集中度的特征，综合评估在正常市场环境下本基金的流动性风险适中。</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指定媒介上进行公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w:t>
      </w:r>
      <w:r>
        <w:rPr>
          <w:rFonts w:ascii="宋体" w:hAnsi="宋体"/>
          <w:sz w:val="24"/>
        </w:rPr>
        <w:lastRenderedPageBreak/>
        <w:t>平对待的前提下，可实施备用的流动性风险管理工具，包括但不限于延期办理巨额赎回申请、暂停接受赎回申请、延缓支付赎回款项、摆动定价、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（五）本基金的特有风险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1、本基金为养老目标基金，致力于满足投资者的养老资金理财需求，但养老目标基金并不代表收益保障或其他任何形式的收益承诺。本基金非保本产品，存在投资者承担亏损的可能性。</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为混合型基金中基金，本基金投资于经中国证监会依法核准或注册的公开募集证券投资基金的基金份额的资产不低于本基金资产的80%，其中投资于股票（含存托凭证）、股票型基金（包括股票指数基金）、混合型基金和商品基金（含商品期货基金和黄金ETF）等品种的比例合计占基金资产的0%-60%；投资于港股通标的股票的比例占股票资产的0-50%。因此本基金所持有的基金的业绩表现、持有基金的基金管理人水平等因素将影响到本基金的基金业绩表现。</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目标日期前，本基金设置基金份额持有人最短持有期限。基金份额持有人持有的每份基金份额最短持有期限为三年，在最短持有期限内该份基金份额不可赎回，自最短持有期限的下一工作日起（含该日）可赎回。对于每笔认购的基金份额而言，最短持有期限自基金合同生效之日起（含该日）至三年后的年度对日的前一日；对于每笔申购的基金份额而言，最短持有期限自该笔申购份额确认日（含该日，通常T日提交的有效申购申请于T+3日确认）至三年后的年度对日的前一日。到达目标日期（2035年12月31日）后2036年第一个工作日，本基金转型为“交银施罗德债基优选债券型基金中基金（FOF）”，不再设置最短持有期，基金管理人将根据转型后基金合同的约定在开放日办理基金份额的申购和赎回。因此，对于基金份额持有人而言，存在投资本基金后三年内无法赎回的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4、本基金为基金中基金，由于本基金所持有的相当比例的基金暂停估值，导致基金管理人无法计算当日本基金资产净值；或者由于本基金持有的相当比例的基</w:t>
      </w:r>
      <w:r>
        <w:rPr>
          <w:rFonts w:ascii="宋体" w:hAnsi="宋体"/>
          <w:sz w:val="24"/>
        </w:rPr>
        <w:lastRenderedPageBreak/>
        <w:t>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8、本基金为基金中基金，本基金可投资于商品基金，因此将间接承担商品基金可能面临的商品价格波动风险、投资商品期货合约的风险、盯市风险等商品投资风险。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9、本基金可投资创业板股票，创业板个股上市后的前五个交易日不设价格涨跌幅限制，第六个交易日开始涨跌幅限制比例为20%。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（六）投资资产支持证券的特定风险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（七）投资流通受限证券的特定风险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基金投资流动受限证券将面临证券市场流动性风险，主要表现在几个方面：基</w:t>
      </w:r>
      <w:r>
        <w:rPr>
          <w:rFonts w:ascii="宋体" w:hAnsi="宋体"/>
          <w:sz w:val="24"/>
        </w:rPr>
        <w:lastRenderedPageBreak/>
        <w:t>金建仓困难，或建仓成本很高；基金资产不能迅速转变成现金，或变现成本很高；不能应付可能出现的投资者大额赎回的风险；证券投资中个券和个股的流动性风险等。</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（八）基金合同提前终止风险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连续五十个工作日出现基金份额持有人数量不满200人或基金资产净值低于5000万元情形时，基金管理人提前终止《基金合同》，不需召开基金份额持有人大会。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 投资存托凭证的特定风险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（十）投资科创板股票的特定风险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w:t>
      </w:r>
      <w:r>
        <w:rPr>
          <w:rFonts w:ascii="宋体" w:hAnsi="宋体"/>
          <w:sz w:val="24"/>
        </w:rPr>
        <w:lastRenderedPageBreak/>
        <w:t>度加大，个股市场风险加大。</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科创板整体投资门槛较高，二级市场上个人投资者参与度相对较低，机构持有个股大量流通盘导致个股流动性较差，基金组合存在无法及时变现及其他相关流动性风险。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科创板退市制度较主板更为严格，且不再设置暂停上市、恢复上市和重新上市环节，上市公司退市风险更大。</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（十一）投资港股通标的股票的特定风险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本基金可投资港股通标的股票，会面临港股通机制下因投资环境、投资标的、市场制度以及交易规则等差异带来的特有风险，具体如下：</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1、港股交易失败风险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w:t>
      </w:r>
      <w:r>
        <w:rPr>
          <w:rFonts w:ascii="宋体" w:hAnsi="宋体"/>
          <w:sz w:val="24"/>
        </w:rPr>
        <w:lastRenderedPageBreak/>
        <w:t>率的波动也可能加大基金净值的波动，从而对基金业绩产生影响。故本基金投资面临汇率风险，汇率波动可能对基金的投资收益造成损失。</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3、境外市场的风险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（2）香港市场交易规则有别于内地A股市场规则，此外，在“内地与香港股票市场交易互联互通机制”下参与香港股票投资还将面临包括但不限于如下特殊风险：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1）香港市场实行T+0回转交易机制（即当日买入的股票，在交收前可以于当日卖出），且证券交易价格并无涨跌幅上下限的规定，因此每日涨跌幅空间相对较大，可能表现出比A股更为剧烈的股价波动；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香港联合交易所出现规定的相关情形时，香港联合交易所将可能停市，本基金将面临在停市期间无法进行港股通交易的风险；出现内地证券交易服务公司认定的交易异常情况时，内地证券交易服务公司将可能暂停提供部分或者全部港股通服务，将面临在暂停服务期间无法进行港股通交易的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者因港股通股票权益分派、转换、上市公司被收购等情形或者异常情况，所取得的港股通股票以外的香港联合交易所上市证券，只能通过港股通卖出，但不得买入，内地证券交易服务公司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w:t>
      </w:r>
      <w:r>
        <w:rPr>
          <w:rFonts w:ascii="宋体" w:hAnsi="宋体"/>
          <w:sz w:val="24"/>
        </w:rPr>
        <w:lastRenderedPageBreak/>
        <w:t>过港股通买入或卖出；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4、本基金可根据投资策略需要或不同配置地市场环境的变化，选择将部分基金资产投资于港股通标的股票或选择不将基金资产投资于港股通标的股票，基金资产并非必然投资港股通标的股票。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以上所述因素可能会给本基金投资带来特殊交易风险。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本基金的Y类基金份额为针对个人养老金投资基金业务设立的单独的基金份额类别，投资者仅能通过个人养老金资金账户购买Y类基金份额参与个人养老金投资基金业务。根据个人养老金账户要求，个人养老金投资基金的基金份额申购赎回等款项将在个人养老金账户内流转，投资者未达到领取基本养老金年龄或者政策规定的其他领取条件时不可领取个人养老金。具体业务规则请关注基金管理人届时发布的相关公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（十三）本基金法律文件风险收益特征表述与销售机构基金风险评价可能不一致的风险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（十四）其他风险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4、对主要业务人员如基金经理的依赖而可能产生的风险；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7A64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E553A" w:rsidRDefault="007A645A">
      <w:pPr>
        <w:pStyle w:val="1"/>
        <w:snapToGrid w:val="0"/>
        <w:spacing w:beforeLines="0" w:before="240" w:after="240"/>
        <w:rPr>
          <w:rFonts w:ascii="宋体" w:hAnsi="宋体"/>
          <w:szCs w:val="30"/>
        </w:rPr>
      </w:pPr>
      <w:bookmarkStart w:id="22" w:name="_Toc239686238"/>
      <w:r>
        <w:rPr>
          <w:rFonts w:ascii="Times New Roman" w:hAnsi="Times New Roman"/>
          <w:sz w:val="30"/>
        </w:rPr>
        <w:lastRenderedPageBreak/>
        <w:t>十九、基金合同的变更、终止与基金财产的清算</w:t>
      </w:r>
      <w:bookmarkEnd w:id="22"/>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（一）《基金合同》的变更</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2、关于《基金合同》变更的基金份额持有人大会决议自生效后方可执行，并自决议生效后依照《信息披露办法》的规定在指定媒介公告。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（二）《基金合同》的终止事由</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3、连续50个工作日出现基金份额持有人数量不满200人或者基金资产净值低于5000万元情形的，基金管理人提前终止《基金合同》，不需召开基金份额持有人大会；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（三）基金财产的清算</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（2）对基金财产和债权债务进行清理和确认；</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（四）清算费用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（五）基金财产清算剩余资产的分配</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（六）基金财产清算的公告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指定网站上，并将清算报告提示性公告登载在指定报刊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（七）基金财产清算账册及文件的保存</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7A64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E553A" w:rsidRDefault="007A645A">
      <w:pPr>
        <w:pStyle w:val="1"/>
        <w:snapToGrid w:val="0"/>
        <w:spacing w:beforeLines="0" w:before="240" w:after="240"/>
        <w:rPr>
          <w:rFonts w:ascii="宋体" w:hAnsi="宋体"/>
          <w:szCs w:val="30"/>
        </w:rPr>
      </w:pPr>
      <w:bookmarkStart w:id="23" w:name="_Toc239686239"/>
      <w:r>
        <w:rPr>
          <w:rFonts w:ascii="Times New Roman" w:hAnsi="Times New Roman"/>
          <w:sz w:val="30"/>
        </w:rPr>
        <w:lastRenderedPageBreak/>
        <w:t>二十、基金合同内容摘要</w:t>
      </w:r>
      <w:bookmarkEnd w:id="23"/>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（一）基金份额持有人、基金管理人和基金托管人的权利与义务</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（12）依照法律法规为基金的利益对被投资公司行使股东权利，为基金的利益行使因基金财产投资所产生的权利；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（16）在符合有关法律、法规的前提下，制定和调整有关基金认购、申购、赎回、转换等的业务规则；</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（17）以基金管理人的名义，参与本基金持有的基金所召开的基金份额持有人大会；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（18）法律法规及中国证监会规定的和《基金合同》约定的其他权利。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（5）建立健全内部风险控制、监察与稽核、财务管理及人事管理等制度，保证所管理的基金财产和基金管理人的财产相互独立，对所管理的不同基金分别管理，分别记账，进行证券、基金投资；</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（13）按《基金合同》的约定确定基金收益分配方案，及时向基金份额持有人分配基金收益；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根据《基金法》、《运作办法》及其他有关规定，基金托管人的权利包括但不限于：</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（4）根据相关市场规则，为基金开设资金账户、证券账户、基金账户等投资所需账户，为基金办理证券、基金交易资金清算；</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（6）按规定开设基金财产的资金账户、证券账户和基金账户等投资所需账户，按照《基金合同》的约定，根据基金管理人的投资指令，及时办理清算、交割事宜；</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w:t>
      </w:r>
      <w:r>
        <w:rPr>
          <w:rFonts w:ascii="宋体" w:hAnsi="宋体"/>
          <w:sz w:val="24"/>
        </w:rPr>
        <w:lastRenderedPageBreak/>
        <w:t>定外，在基金信息公开披露前予以保密，不得向他人泄露；</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（8）复核、审查基金管理人计算的基金资产净值、基金份额净值、基金份额申购、赎回价格；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（12）从基金管理人或其委托的登记机构处接收并保存基金份额持有人名册；</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w:t>
      </w:r>
      <w:r>
        <w:rPr>
          <w:rFonts w:ascii="宋体" w:hAnsi="宋体"/>
          <w:sz w:val="24"/>
        </w:rPr>
        <w:lastRenderedPageBreak/>
        <w:t>《基金合同》的当事人，直至其不再持有本基金的基金份额。基金份额持有人作为《基金合同》当事人并不以在《基金合同》上书面签章或签字为必要条件。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w:t>
      </w:r>
      <w:r>
        <w:rPr>
          <w:rFonts w:ascii="宋体" w:hAnsi="宋体"/>
          <w:sz w:val="24"/>
        </w:rPr>
        <w:lastRenderedPageBreak/>
        <w:t>规则；</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（二）基金份额持有人大会召集、议事及表决的程序和规则</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w:t>
      </w:r>
      <w:r>
        <w:rPr>
          <w:rFonts w:ascii="宋体" w:hAnsi="宋体"/>
          <w:sz w:val="24"/>
        </w:rPr>
        <w:lastRenderedPageBreak/>
        <w:t>不需召开基金份额持有人大会：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1）法律法规要求增加的基金费用的收取；</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2）在法律法规和《基金合同》规定的范围内调整本基金的申购费率、调低赎回费率、在对现有基金份额持有人利益无实质性不利影响的前提下变更收费方式；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3）在符合法律法规及本基金合同规定、并且对基金份额持有人利益无实质不利影响的前提下，调整基金份额类别设置、对基金份额分类办法及规则进行调整或者停止现有基金份额类别的销售；</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4）因相应的法律法规、登记机构的相关业务规则发生变动而应当对《基金合同》进行修改；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7）在符合法律法规及基金合同规定、并且对基金份额持有人利益无实质不利影响的前提下，调整本基金份额类别的设置；</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9）按照法律法规和《基金合同》规定不需召开基金份额持有人大会的其他情形。</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w:t>
      </w:r>
      <w:r>
        <w:rPr>
          <w:rFonts w:ascii="宋体" w:hAnsi="宋体"/>
          <w:sz w:val="24"/>
        </w:rPr>
        <w:lastRenderedPageBreak/>
        <w:t>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（2）议事程序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w:t>
      </w:r>
      <w:r>
        <w:rPr>
          <w:rFonts w:ascii="宋体" w:hAnsi="宋体"/>
          <w:sz w:val="24"/>
        </w:rPr>
        <w:lastRenderedPageBreak/>
        <w:t>会议通知规定的表决意见视为有效表决，表决意见模糊不清或相互矛盾的视为弃权表决，但应当计入出具表决意见的基金份额持有人所代表的基金份额总数。</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基金份额持有人大会的决议自表决通过之日起生效。法律法规另有规定的，从其规定。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基金份额持有人大会决议自生效之日起依照《信息披露办法》的规定在指定媒介上公告。如果采用通讯方式进行表决，在公告基金份额持有人大会决议时，必须将公证书全文、公证机构、公证员姓名等一同公告。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基金召开基金份额持有人大会时，本基金的基金管理人应当代表其份额持有人的利益，根据本基金合同的约定参与所持有基金的份额持有人大会，并在遵循本基金基金份额持有人利益优先原则的前提下行使相关投票权利。基金管理人需将表决意见事先征求基金托管人的意见，并将表决意见在定期报告中予以披露。</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（三）基金合同解除和终止的事由、程序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（2）关于《基金合同》变更的基金份额持有人大会决议自生效后方可执行，并自决议生效后依照《信息披露办法》的规定在指定媒介公告。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（3）连续50个工作日出现基金份额持有人数量不满200人或者基金资产净值低于5000万元情形的，基金管理人提前终止基金合同，不需召开基金份额持有人大</w:t>
      </w:r>
      <w:r>
        <w:rPr>
          <w:rFonts w:ascii="宋体" w:hAnsi="宋体"/>
          <w:sz w:val="24"/>
        </w:rPr>
        <w:lastRenderedPageBreak/>
        <w:t>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6、基金财产清算的公告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指定网站上，并将清算报告提示性公告登载在指定报刊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（四）争议解决方式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由败诉方承担。</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《基金合同》受中国法律（不含港澳台地区法律）管辖。</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（五）基金合同存放地和投资者取得基金合同的方式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7A64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E553A" w:rsidRDefault="007A645A">
      <w:pPr>
        <w:pStyle w:val="1"/>
        <w:snapToGrid w:val="0"/>
        <w:spacing w:beforeLines="0" w:before="240" w:after="240"/>
        <w:rPr>
          <w:rFonts w:ascii="宋体" w:hAnsi="宋体"/>
          <w:szCs w:val="30"/>
        </w:rPr>
      </w:pPr>
      <w:bookmarkStart w:id="24" w:name="_Toc239686240"/>
      <w:r>
        <w:rPr>
          <w:rFonts w:ascii="Times New Roman" w:hAnsi="Times New Roman"/>
          <w:sz w:val="30"/>
        </w:rPr>
        <w:lastRenderedPageBreak/>
        <w:t>二十一、托管协议的内容摘要</w:t>
      </w:r>
      <w:bookmarkEnd w:id="24"/>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住所：北京市朝阳区光华路10号院1号楼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批准设立文号：中华人民共和国国务院办公厅国办函[1987]14号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基金托管业务批准文号：中国证监会证监基金字[2004]125号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w:t>
      </w:r>
      <w:r>
        <w:rPr>
          <w:rFonts w:ascii="宋体" w:hAnsi="宋体"/>
          <w:sz w:val="24"/>
        </w:rPr>
        <w:lastRenderedPageBreak/>
        <w:t>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1、基金托管人对基金管理人的投资行为行使监督权</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（1）基金托管人根据有关法律法规的规定和基金合同的约定，对下述基金投资范围、投资对象进行监督。本基金将投资于以下金融工具：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经中国证监会依法核准或注册的公开募集证券投资基金（含ETF和LOF、香港互认基金、QDII）、国内依法发行上市的股票（含中小板、创业板及其他经中国证监会核准上市的股票、存托凭证）、港股通标的股票、债券（含国债、央行票据、金融债券、政府支持债券、政府支持机构债券、地方政府债券、企业债券、公司债券、可转换债券（含可分离交易可转换债券）、可交换债券、次级债券、中期票据、短期融资券、超短期融资券等）、资产支持证券、债券回购、同业存单、银行存款（含协议存款、定期存款及其他银行存款）、货币市场工具以及法律法规或中国证监会允许基金投资的其他金融工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公开募集证券投资基金的基金份额的资产不低于本基金资产的80%，其中投资于股票（含存托凭证）、股票型基金（包括股票指数基金）、混合型基金和商品基金（含商品期货基金和黄金ETF）等品种的比例合计占基金资产的0%-60%；投资于港股通标的股票的比例占股票资产的0-50%。本基金持有的现金或者到期日在一年以内的政府债券的比例合计不低于基金资产净值的5%，其中现金不包括结算备付金、存出保证金和应收申购款等。</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到达目标日期（2035年12月31日）后2036年第一个工作日，本基金转型为“交银施罗德债基优选债券型基金中基金（FOF）”，将投资于以下金融工具：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的投资范围为具有良好流动性的金融工具，包括经中国证监会依法核准或注册的公开募集证券投资基金（含ETF和LOF、不含QDII）、国内依法发行上市的股票（含中小板、创业板及其他经中国证监会核准上市的股票、存托凭证）、债券（含国债、央行票据、金融债券、政府支持债券、政府支持机构债券、地方政府债券、企业债券、公司债券、可转换债券（含可分离交易可转换债券）、可交换债券、次级债券、中期票据、短期融资券、超短期融资券等）、资产支持证券、债券回购、同业存单、银行存款（含协议存款、定期存款及其他银行存款）、货币市场工具以及法律法规或中国证监会允许基金投资的其他金融工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公开募集债券型证券投资基金（包括债券指数基金）的基金份额的资产不低于本基金资产的80%。本基金持有的现金或者到期日在一年以内的政府债券的比例合计不低于基金资产净值的5%，其中现金不包括结算备付金、存出保证金和应收申购款等。</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（2）基金托管人根据有关法律法规的规定及基金合同的约定对下述基金投融资比例进行监督：</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公开募集证券投资基金的基金份额的资产不低于本基金资产的80%，其中投资于股票（含存托凭证）、股票型基金（包括股票指数基金）、混合型基金和商品基金（含商品期货基金和黄金ETF）等品种的比例合计占基金资产的0%-60%；投资于港股通标的股票的比例占股票资产的0-50%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2）本基金持有的现金或者到期日在一年以内的政府债券的比例合计不低于基金资产净值的5%，其中现金不包括结算备付金、存出保证金和应收申购款等；</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3）本基金持有单只基金的市值，不得高于本基金资产净值的20%，且不得持有其他基金中基金；</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4）本基金管理人管理的全部基金中基金（除ETF联接基金外）持有单只基金不得超过被投资基金净资产的20%，被投资基金净资产规模以最近定期报告披露的规模为准；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5）本基金不得持有具有复杂、衍生品性质的基金份额，包括分级基金和中国</w:t>
      </w:r>
      <w:r>
        <w:rPr>
          <w:rFonts w:ascii="宋体" w:hAnsi="宋体"/>
          <w:sz w:val="24"/>
        </w:rPr>
        <w:lastRenderedPageBreak/>
        <w:t>证监会认定的其他基金份额；</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其他基金时，被投资基金的运作期限不少于2年、最近两年平均季末基金净资产应当不低于2亿元；被投资基金为指数基金、ETF和商品基金等品种的，运作期限应当不少于1年，最近定期报告披露的季末基金净资产应当不低于1亿元；</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7）本基金投资其他基金时，被投资基金的基金管理人及被投资基金的基金经理最近2年没有重大违法违纪行为；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8）本基金投资于封闭运作基金、定期开放基金等流通受限基金的，其公允价值不得超过本基金资产净值的10%；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9）基金管理人运用本基金财产投资于股票、债券等金融工具的，投资品种和比例应当符合本基金的投资目标和投资策略；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10）本基金持有一家公司发行的证券（同一家公司在内地和香港同时上市的A+H股合并计算，不含本基金所投资的基金份额），其市值不超过基金资产净值的10%；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11）本基金管理人管理的全部基金持有一家公司发行的证券（同一家公司在内地和香港同时上市的A+H股合并计算，不含本基金所投资的基金份额），不超过该证券的10%；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12）本基金投资于同一原始权益人的各类资产支持证券的比例，不得超过基金资产净值的10%；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13）本基金持有的全部资产支持证券，其市值不得超过基金资产净值的20%；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14）本基金持有的同一（指同一信用级别）资产支持证券的比例，不得超过该资产支持证券规模的10%；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15）本基金管理人管理的全部基金投资于同一原始权益人的各类资产支持证券，不得超过其各类资产支持证券合计规模的10%；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16）本基金应投资于信用级别评级为BBB以上（含BBB）的资产支持证券。基金持有资产支持证券期间，如果其信用等级下降、不再符合投资标准，应在评级报告发布之日起3个月内予以全部卖出；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17）基金财产参与股票发行申购，本基金所申报的金额不超过本基金的总资产，本基金所申报的股票数量不超过拟发行股票公司本次发行股票的总量；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18）本基金进入全国银行间同业市场进行债券回购的资金余额不得超过基金资</w:t>
      </w:r>
      <w:r>
        <w:rPr>
          <w:rFonts w:ascii="宋体" w:hAnsi="宋体"/>
          <w:sz w:val="24"/>
        </w:rPr>
        <w:lastRenderedPageBreak/>
        <w:t>产净值的40%，进入全国银行间同业市场进行债券回购的最长期限为1年，债券回购到期后不得展期；</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21）本基金与私募类证券资管产品及中国证监会认定的其他主体为交易对手开展逆回购交易的，可接受质押品的资质要求应当与基金合同约定的投资范围保持一致；</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22）本基金资产总值不超过基金资产净值的140%；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23）本基金投资于商品基金（含商品期货基金和黄金ETF）的资产占基金资产的比例不高于10%；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24）本基金投资于货币市场基金的比例不得超过基金资产的15%；</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25）本基金投资策略中权益类资产配置比例区间按照投资策略所述的比例限制执行；</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26）本基金投资存托凭证的比例限制依照境内上市交易的股票执行；</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27）法律法规及中国证监会规定的和《基金合同》约定的其他投资限制。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证券市场波动、证券发行人合并、基金规模变动、本基金所投资的基金发生流动性限制、暂停申购、赎回或二级市场交易停牌等基金管理人之外的因素致使本基金投资比例不符合上述第3）项、第4）项规定投资比例的，基金管理人应当在20个交易日内进行调整；对于第2）项、第3）项、第4）项、第16）项、第20）项及第21）项以外的其他情形，基金管理人应当在10个交易日内进行调整，但中国证监会规定的特殊情形除外。法律法规另有规定的，从其规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法律法规对上述投资组合比例限制进行变更的，以变更后的规定为准。法律法规或监管部门取消上述限制，如适用于本基金，基金管理人在履行适当程序后，则本基金投资不再受相关限制。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到达目标日期（2035年12月31日）后2036年第一个工作日，本基金转型为“交银施罗德债基优选债券型基金中基金（FOF）”，基金的投资组合应遵循以下限制：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1）本基金投资于公开募集债券型证券投资基金（包括债券指数基金）的基金份额的资产不低于本基金资产的80%；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2）本基金持有的现金或者到期日在一年以内的政府债券的比例合计不低于基金资产净值的5%，其中现金不包括结算备付金、存出保证金、应收申购款等；</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3）本基金持有单只基金的市值，不得高于本基金资产净值的20%，且不得持有其他基金中基金；</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4）本基金管理人管理的全部基金中基金（除ETF联接基金外）持有单只基金不得超过被投资基金净资产的20%，被投资基金净资产规模以最近定期报告披露的规模为准；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5）本基金不得持有具有复杂、衍生品性质的基金份额，包括分级基金和中国证监会认定的其他基金份额；</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6）本基金投资其他基金时，被投资基金的运作期限应当不少于1年，最近定期报告披露的基金净资产应当不低于1亿元；</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7）本基金投资于封闭运作基金、定期开放基金等流通受限基金的，其公允价值不得超过本基金资产净值的10%；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8）基金管理人运用本基金财产投资于股票、债券等金融工具的，投资品种和比例应当符合本基金的投资目标和投资策略；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9）本基金持有一家公司发行的证券（不含本基金所投资的基金份额），其市值不超过基金资产净值的10%；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10）本基金管理人管理的全部基金持有一家公司发行的证券（不含本基金所投资的基金份额），不超过该证券的10%；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11）本基金投资于同一原始权益人的各类资产支持证券的比例，不得超过基金资产净值的10%；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12）本基金持有的全部资产支持证券，其市值不得超过基金资产净值的20%；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13）本基金持有的同一（指同一信用级别）资产支持证券的比例，不得超过该资产支持证券规模的10%；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14）本基金管理人管理的全部基金投资于同一原始权益人的各类资产支持证券，不得超过其各类资产支持证券合计规模的10%；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15）本基金应投资于信用级别评级为BBB以上（含BBB）的资产支持证券。基金持有资产支持证券期间，如果其信用等级下降、不再符合投资标准，应在评级报告发布之日起3个月内予以全部卖出；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16）基金财产参与股票发行申购，本基金所申报的金额不超过本基金的总资产，本基金所申报的股票数量不超过拟发行股票公司本次发行股票的总量；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17）本基金进入全国银行间同业市场进行债券回购的资金余额不得超过基金资产净值的40%，进入全国银行间同业市场进行债券回购的最长期限为1年，债券回购到期后不得展期；</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20）本基金与私募类证券资管产品及中国证监会认定的其他主体为交易对手开展逆回购交易的，可接受质押品的资质要求应当与基金合同约定的投资范围保持一致；</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21）本基金资产总值不超过基金资产净值的140%；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22）本基金投资于商品基金（含商品期货基金和黄金ETF）的资产占基金资产的比例不高于10%；</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23）本基金投资于货币市场基金的比例不得超过基金资产的15%；</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24）本基金投资存托凭证的比例限制依照境内上市交易的股票执行；</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25）法律法规及中国证监会规定的和《基金合同》约定的其他投资限制。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因证券市场波动、证券发行人合并、基金规模变动、本基金所投资的基金发生</w:t>
      </w:r>
      <w:r>
        <w:rPr>
          <w:rFonts w:ascii="宋体" w:hAnsi="宋体"/>
          <w:sz w:val="24"/>
        </w:rPr>
        <w:lastRenderedPageBreak/>
        <w:t>流动性限制、暂停申购、赎回或二级市场交易停牌等基金管理人之外的因素致使本基金投资比例不符合上述第3）项、第4）项规定投资比例的，基金管理人应当在20个交易日内进行调整；对于第2）项、第3）项、第4）项、第15）项、第19）项及第20）项以外的其他情形，基金管理人应当在10个交易日内进行调整，但中国证监会规定的特殊情形除外。法律法规另有规定的，从其规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转型之日起6个月内使基金的投资组合比例符合基金合同的有关约定。在上述期间内，基金的投资范围、投资策略应当符合基金合同的约定。基金托管人对基金的投资的监督与检查自基金转型之日起开始。</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（3）基金托管人根据有关法律法规的规定及基金合同的约定对下述基金投资禁止行为进行监督：</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根据法律法规的规定及基金合同的约定，本基金禁止从事下列行为：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4）向其基金管理人、基金托管人出资；</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5）从事内幕交易、操纵证券交易价格及其他不正当的证券交易活动；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6）法律、行政法规和中国证监会规定禁止的其他活动。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（4）基金托管人依据有关法律法规的规定和基金合同的约定对于基金关联投资进行监督。</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w:t>
      </w:r>
      <w:r>
        <w:rPr>
          <w:rFonts w:ascii="宋体" w:hAnsi="宋体"/>
          <w:sz w:val="24"/>
        </w:rPr>
        <w:lastRenderedPageBreak/>
        <w:t>通过。基金管理人董事会应至少每半年对关联交易事项进行审查。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有关关联方发行的证券名单及其更新，加盖公章并书面提交，并确保所提供名单的真实性、完整性、全面性。基金管理人或基金托管人在名单变更后应及时发送对方，收到方于2个工作日内进行回函确认已知名单的变更。名单变更时间以收到方回函确认的时间为准。如果基金托管人在运作中严格遵循了监督流程，基金管理人仍违规进行交易，并造成基金资产损失的，由基金管理人承担责任，基金托管人不承担任何损失和责任。</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关交易必须事先得到基金托管人的同意，若基金托管人发现基金管理人与关联方进行违反法律法规规定的关联交易时，基金托管人应及时提醒并协助基金管理人采取必要措施阻止该交易的发生，若基金托管人采取必要措施后仍无法阻止该交易发生时，基金托管人有权向中国证监会报告，由此造成的损失和责任由基金管理人承担。对于交易所场内已成交的违规交易，基金托管人应按相关法律法规和交易所规则的规定进行结算，同时向中国证监会报告，基金托管人不承担由此造成的损失和责任。</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（5）基金托管人依据有关法律法规的规定和基金合同的约定对基金管理人参与银行间债券市场进行监督。</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1）基金托管人依据有关法律法规的规定和基金合同的约定对于基金管理人参与银行间债券市场交易时面临的交易对手资信风险进行监督。</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投资运作之前向基金托管人提供符合法律法规及行业标准的银行间债券市场交易对手的名单。基金托管人在收到名单后2个工作日内回函确认收到该名单。基金管理人应定期或不定期对银行间债券市场现券及回购交易对手的名单进行更新，名单中增加或减少银行间债券市场交易对手时须及时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双方原定协议进行结算。</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如果基金托管人发现基金管理人与不在名单内的银行间债券市场交易对手进行</w:t>
      </w:r>
      <w:r>
        <w:rPr>
          <w:rFonts w:ascii="宋体" w:hAnsi="宋体"/>
          <w:sz w:val="24"/>
        </w:rPr>
        <w:lastRenderedPageBreak/>
        <w:t>交易，应及时提醒基金管理人撤销交易，经提醒后基金管理人仍执行交易并造成基金资产损失的，基金托管人不承担责任。</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有责任控制交易对手的资信风险，按银行间债券市场的交易规则进行交易。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（6）基金托管人对基金投资流通受限证券的监督</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有关法律法规规定。流通受限证券指由《上市公司证券发行管理办法》规范的在发行时明确一定期限锁定期的可交易证券,不包括由于发布重大消息或其他原因而临时停牌的证券、已发行未上市证券、回购交易中的质押券等流通受限证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在基金首次投资流通受限证券前，向基金托管人提供经基金管理人董事会批准的有关基金投资流通受限证券的投资决策流程、风险控制制度。上述资料应包括但不限于基金投资流通受限证券的投资额度和投资比例控制情况。</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3）基金投资流通受限证券前，基金管理人应向基金托管人提供符合法律法规要求的有关必要书面信息。基金管理人应保证上述信息的真实、完整，并应至少于拟执行投资指令前将上述信息书面发至基金托管人。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应对基金管理人是否遵守法律法规、投资决策流程、风险控制制度情况进行监督，并审核基金管理人提供的有关书面信息。基金托管人认为上述资料可能导致基金出现风险的，有权要求基金管理人在投资流通受限证券前就该风险的消除或防范措施进行补充书面说明，否则，基金托管人有权拒绝执行有关指令并报告中国证监会。因拒绝执行该指令造成基金财产损失的，基金托管人不承担任何责任，但基金托管人未经提前告知基金管理人于合理时间内提供说明的除外。</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如基金管理人和基金托管人无法达成一致，应及时上报中国证监会请求解决。</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（7）基金托管人对基金投资中期票据的监督</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1）基金管理人管理的基金在投资中期票据前，基金管理人须根据法律、法规、监管部门的规定，制定严格的关于投资中期票据的风险控制制度和流动性风险</w:t>
      </w:r>
      <w:r>
        <w:rPr>
          <w:rFonts w:ascii="宋体" w:hAnsi="宋体"/>
          <w:sz w:val="24"/>
        </w:rPr>
        <w:lastRenderedPageBreak/>
        <w:t>处置预案，并书面提供给基金托管人，基金托管人依据上述文件对基金管理人投资中期票据的额度和比例进行监督。</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2）如未来有关监管部门发布的法律法规对证券投资基金投资中期票据另有规定的，从其约定。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有权监督基金管理人在相关基金投资中期票据时的法律法规遵守情况，有关制度、信用风险、流动性风险处置预案的完善情况，有关额度、比例限制的执行情况。基金托管人发现基金管理人的上述事项违反法律法规和基金合同以及本协议的规定，应及时以书面形式通知基金管理人纠正。基金管理人应积极配合和协助基金托管人的监督和核查。基金管理人应按相关托管协议要求向基金托管人及时发出回函，并及时改正。基金托管人有权随时对所通知事项进行复查,督促基金管理人改正。如果基金管理人违规事项未能在限期内纠正的，基金托管人应报告中国证监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（8）基金托管人根据有关法律法规的规定及基金合同的约定，对基金管理人选择存款银行进行监督。</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2）基金托管人应加强对基金银行存款业务的监督与核查，严格审查、复核相关协议、账户资料、投资指令、存款证实书等有关文件，切实履行托管职责。</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3）基金管理人与基金托管人在开展基金存款业务时，应严格遵守《基金法》、《运作办法》等有关法律法规，以及国家有关账户管理、利率管理、支付结算等的各项规定。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管理人选择存款银行的监督应依据基金管理人向基金托管人提供的符合条件的存款银行的名单执行，如基金托管人发现基金管理人将基金资产投资于该名单之外的存款银行，有权拒绝执行。该名单如有变更，基金管理人应在启用新名单前提前及时将新名单发送给基金托管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2、基金托管人应根据有关法律法规的规定及基金合同的约定，对各类基金份</w:t>
      </w:r>
      <w:r>
        <w:rPr>
          <w:rFonts w:ascii="宋体" w:hAnsi="宋体"/>
          <w:sz w:val="24"/>
        </w:rPr>
        <w:lastRenderedPageBreak/>
        <w:t>额的基金资产净值计算、基金份额净值计算、应收资金到账、基金费用开支及收入确定、基金收益分配、相关信息披露、基金宣传推介材料中登载基金业绩表现数据等进行监督和核查。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发现基金管理人的投资运作及其他运作违反《基金法》、基金合同、本托管协议及其他有关规定时，应及时以书面形式通知基金管理人限期纠正，基金管理人收到通知后应在下一个工作日及时核对，并以书面形式向基金托管人发出回函，进行解释或举证。</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在限期内，基金托管人有权随时对通知事项进行复查，督促基金管理人改正。基金管理人对基金托管人通知的违规事项未能在限期内纠正的，基金托管人应报告中国证监会。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基金托管人发现基金管理人的投资指令违反关法律法规规定或者违反基金合同约定的，应当拒绝执行，立即通知基金管理人。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依据交易程序已经生效的投资指令违反法律、行政法规和其他有关规定，或者违反基金合同约定的，应当立即通知基金管理人，并及时向中国证监会报告，基金管理人应依法承担相应责任。</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积极配合和协助基金托管人的监督和核查，必须在规定时间内答复基金托管人并改正，就基金托管人的疑义进行解释或举证，对基金托管人按照法规要求需向中国证监会报送基金监督报告的，基金管理人应积极配合提供相关数据资料和制度等。</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基金托管人发现基金管理人有重大违规行为，应立即报告中国证监会，同时通知基金管理人限期纠正。</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无正当理由，拒绝、阻挠基金托管人根据本协议规定行使监督权，或采取拖延、欺诈等手段妨碍基金托管人进行有效监督，情节严重或经基金托管人提出警告仍不改正的，基金托管人应报告中国证监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遵守中华人民共和国反洗钱法律法规，不参与涉嫌洗钱、恐怖融资、扩散融资等违法犯罪活动；主动配合基金托管人客户身份识别与尽职调查，提供真实、准确、完整客户资料，遵守反洗钱与反恐怖融资相关管理规定。对具备合理理由怀疑涉嫌洗钱、恐怖融资的客户，基金托管人将按照中国人民银行反洗钱监管规定采取必要管控措施。</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对基金托管人履行托管职责情况进行核查，核查事项包括但不限于基金托管人安全保管基金财产、开设基金财产的资金账户、证券账户、基金账户等投资所需账户、复核基金管理人计算的各类基金份额的基金资产净值和基金份额净值、根据基金管理人指令办理清算交收、相关信息披露和监督基金投资运作等行为。</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或未在合理期限内确认的，基金管理人应报告中国证监会。基金管理人有义务要求基金托管人赔偿基金、基金管理人因此所遭受的损失。</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基金管理人发现基金托管人有重大违规行为，应立即报告中国证监会和银行业监督管理机构，同时通知基金托管人限期纠正。</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基金托管人应积极配合基金管理人的核查行为，包括但不限于：提交相关资料以供基金管理人核查托管财产的完整性和真实性，在规定时间内答复基金管理人并改正。</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无正当理由，拒绝、阻挠基金管理人根据本协议规定行使监督权，或采取拖延、欺诈等手段妨碍基金管理人进行有效监督，情节严重或经基金管理人提出警告仍不改正的，基金管理人应报告中国证监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（四）基金财产保管</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（2）基金托管人应安全保管基金财产。除依据法律法规规定、基金合同和本托管协议约定及基金管理人的正当指令外，不得自行运用、处分、分配基金的任何财产。</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（3）基金托管人按照规定开设基金财产的资金账户、证券账户和基金账户等投资所需账户。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w:t>
      </w:r>
      <w:r>
        <w:rPr>
          <w:rFonts w:ascii="宋体" w:hAnsi="宋体"/>
          <w:sz w:val="24"/>
        </w:rPr>
        <w:lastRenderedPageBreak/>
        <w:t>他业务和其他基金的托管业务实行严格的分账管理，确保基金财产的完整与独立。</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（6）除依据法律法规和基金合同的规定外，基金托管人不得委托第三人托管基金资产。</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2、募集资金的验资</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基金募集期间募集认购款项应存于基金认购专用账户，该账户由基金管理人或基金管理人委托的登记机构开立并管理。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期满或基金提前结束募集时，募集的基金份额总额、基金募集金额、基金份额持有人人数符合《基金法》、《运作办法》等有关规定后，基金管理人应将募集的属于本基金财产的全部资金划入基金托管人为本基金开立的资产托管专户中，基金托管人在收到资金当日出具确认文件。同时，基金管理人应聘请具有从事证券业务资格的会计师事务所进行验资，出具验资报告，出具的验资报告应由参加验资的2名以上（含2名）中国注册会计师签字有效。</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若基金募集期限届满，未能达到基金备案条件，由基金管理人按规定办理退款事宜，基金托管人应提供充分协助。</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3、基金的银行账户的开立和管理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（1）基金托管人以本基金的名义在其营业机构开立基金的银行账户，并根据基金管理人合法合规的指令办理资金收付。本基金的银行预留印鉴由基金托管人刻制、保管和使用。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（2）基金银行账户的开立和使用，限于满足开展本基金业务的需要。基金托管人和基金管理人不得假借本基金的名义开立任何其他银行账户；亦不得使用本基金的任何账户进行本基金业务以外的活动。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（3）基金银行账户的开立和管理应符合有关法律法规以及银行业监督管理机构的有关规定。</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4、基金证券账户与证券交易资金账户的开设和管理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基金托管人以基金托管人和本基金联名的方式在中国证券登记结算有限责任公司上海分公司/深圳分公司开设证券账户。</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基金托管人以基金托管人的名义在中国证券登记结算有限责任公司上海分公司/深圳分公司开立基金证券交易资金账户，用于证券清算。</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基金证券账户的开立和使用，限于满足开展本基金业务的需要。基金托管人和基金管理人不得出借和未经对方同意擅自转让基金的任何证券账户；亦不得使用基金的任何账户进行本基金业务以外的活动。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5、债券托管账户的开立和管理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基金管理人负责以本基金的名义申请并取得进入全国银行间同业拆借市场的交易资格，并代表本基金进行交易；基金托管人负责以本基金的名义在中央国债登记结算有限责任公司开设银行间债券市场债券托管账户，并由基金托管人负责本基金的债券的后台匹配及资金的清算。</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（2）基金管理人和基金托管人应一起负责为本基金对外签订全国银行间国债市场回购主协议，正本由基金托管人保管，基金管理人保存副本。</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6、其他账户的开设和管理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托管协议生效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7、基金财产投资的有关实物证券、银行定期存款存单等有价凭证的保管</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由基金托管人存放于基金托管人的保管库；其中实物证券也可存入中央国债登记结算有限责任公司或银行间市场清算所股份有限公司或中国证券登记结算有限责任公司上海分公司/深圳分公司或票据营业中心的代保管库。实物证券的购买和转让，由基金托管人根据基金管理人的指令办理。属于基金托管人控制下的实物证券在基金托管人保管期间的损坏、灭失，由此产生的责任应由基金托管人承担。基金托管人对基金托管人以外机构实际有效控制的证券不承担保管责任，但应勤勉履行定期查询等合理注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本基金签署的与本基金有关的重大合同的原件分别应由基金托管人、基金管理人保管。基金管理人在代表本基金签署与本基金有关的重大合同时应保证基金一方持有两份以上的正本原件，以便基金管理人和基金托管人至少各持有一份正本的原件。基金管理人在合同签署后30个工作日内通过专人送达、挂号邮寄等安全方式将合同送达基金托管人处。合同应存放于基金管理人和基金托管人各自文件保管部门15年</w:t>
      </w:r>
      <w:r>
        <w:rPr>
          <w:rFonts w:ascii="宋体" w:hAnsi="宋体"/>
          <w:sz w:val="24"/>
        </w:rPr>
        <w:lastRenderedPageBreak/>
        <w:t>以上。对于无法取得二份以上的正本的，基金管理人应向基金托管人提供加盖授权业务章的合同传真件，未经双方协商或未在合同约定范围内，合同原件不得转移，由基金管理人保管。</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（五）基金资产净值计算与复核</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各类基金份额的基金份额净值是按照估值日，该类基金份额的基金资产净值除以估值日该类基金份额的余额数量计算，精确到0.0001元，小数点后第五位四舍五入。基金管理人可以设立大额赎回情形下的净值精度应急调整机制。国家另有规定的，从其规定。T日的基金份额净值在所投资基金披露净值或万份收益当日（法定节假日顺延至第一个交易日）计算，并在T+3日内披露本基金T日各类基金份额的基金份额净值和基金份额累计净值。</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个估值日对基金资产估值，但基金管理人根据法律法规或基金合同的规定暂停估值时除外。估值原则应符合基金合同及相关法律、法规的规定。各类基金份额的基金资产净值和基金份额净值由基金管理人负责计算，基金托管人复核。基金管理人应于每个估值日交易结束后计算各类基金份额净值并以双方认可的方式发送给基金托管人。基金托管人对净值计算结果复核后以双方认可的方式发送给基金管理人，由基金管理人依据基金合同和相关法律法规的规定对基金净值予以公布。月末、年中和年末估值复核与基金会计账目的核对同时进行。</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基金管理人计算并公告各类基金份额的基金资产净值，基金托管人复核、审查基金管理人计算的基金资产净值。因此，本基金的会计责任方是基金管理人，就与本基金有关的会计问题，如经相关各方在平等基础上充分讨论后，仍无法达成一致的意见，按照基金管理人对基金资产净值的计算结果对外予以公布。</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（六）基金份额持有人名册的登记与保管</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基金管理人和基金托管人须分别妥善保管的基金份额持有人名册，基金份额持有人名册的内容必须包括基金份额持有人的名称和持有的基金份额。</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基金份额持有人名册由基金的登记机构根据基金管理人的指令编制和保管，基金管理人和基金托管人应按照目前相关规则分别保管基金份额持有人名册。保管方式可以采用电子或文档的形式。保管期限为15年。</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基金管理人应当及时向基金托管人定期或不定期提交下列日期的基金份额持有</w:t>
      </w:r>
      <w:r>
        <w:rPr>
          <w:rFonts w:ascii="宋体" w:hAnsi="宋体"/>
          <w:sz w:val="24"/>
        </w:rPr>
        <w:lastRenderedPageBreak/>
        <w:t>人名册。基金份额持有人名册的内容必须包括基金份额持有人的名称和持有的基金份额。基金托管人可以采用电子或文档的形式妥善保管基金份额持有人名册，保存期限为15年。基金托管人不得将所保管的基金份额持有人名册用于基金托管业务以外的其他用途，并应遵守保密义务。</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若基金管理人或基金托管人由于自身原因无法妥善保管基金份额持有人名册，应按有关法规规定各自承担相应的责任。</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双方当事人同意，因本协议而产生的或与本协议有关的一切争议，如经友好协商未能解决的，任何一方均有权将争议提交中国国际经济贸易仲裁委员会，按照中国国际经济贸易仲裁委员会届时有效的仲裁规则进行仲裁。仲裁地点为北京市。仲裁裁决是终局的，对双方当事人均有约束力，除非仲裁裁决另有规定，仲裁费由败诉方承担。</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争议处理期间，双方当事人应恪守基金管理人和基金托管人职责，继续忠实、勤勉、尽责地履行基金合同和托管协议规定的义务，维护基金份额持有人的合法权益。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本协议受中国法律（不含港澳台地区法律）管辖。</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（八）托管协议的变更与终止</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本协议双方当事人经协商一致，可以对协议的内容进行变更。变更后的托管协议，其内容不得与基金合同的规定有任何冲突。本托管协议的变更报中国证监会备案。</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发生以下情况，本托管协议终止：</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7A64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E553A" w:rsidRDefault="007A645A">
      <w:pPr>
        <w:pStyle w:val="1"/>
        <w:snapToGrid w:val="0"/>
        <w:spacing w:beforeLines="0" w:before="240" w:after="240"/>
        <w:rPr>
          <w:rFonts w:ascii="宋体" w:hAnsi="宋体"/>
          <w:szCs w:val="30"/>
        </w:rPr>
      </w:pPr>
      <w:bookmarkStart w:id="25" w:name="_Toc239686241"/>
      <w:r>
        <w:rPr>
          <w:rFonts w:ascii="Times New Roman" w:hAnsi="Times New Roman"/>
          <w:sz w:val="30"/>
        </w:rPr>
        <w:lastRenderedPageBreak/>
        <w:t>二十二、对基金份额持有人的服务</w:t>
      </w:r>
      <w:bookmarkEnd w:id="25"/>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1、基金合同生效后的每次交易结束后，投资人可在T+4个工作日后通过销售机构的网点查询和打印确认单；</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A类基金份额的申购、赎回、定期定额投资等业务。通过网上直销交易平台办理本基金申购和定期定额投资业务的个人投资者将享受前端申购费率的优惠，其他费率标准不变。具体优惠费率请参见公司网站列示的网上直销申购、定期定额投资费率表或相关公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在条件成熟的时候，本基金管理人将根据基金网上直销业务的发展状况，适时调整可用于网上直销交易平台的银行卡种类，敬请个人投资者留意相关公告。</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（四）基金红利再投资</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本基金收益分配时，基金份额持有人持有的A类基金份额可选择现金红利或选</w:t>
      </w:r>
      <w:r>
        <w:rPr>
          <w:rFonts w:ascii="宋体" w:hAnsi="宋体"/>
          <w:sz w:val="24"/>
        </w:rPr>
        <w:lastRenderedPageBreak/>
        <w:t>择红利再投将现金红利自动转为相应类别的基金份额进行再投资，若投资人不选择，本基金A类基金份额默认的收益分配方式是现金分红。本基金Y类基金份额的收益分配方式为红利再投资。再投资红利按红利再投日（即除息日）除息后的基金份额净值自动转为相应类别的基金份额，并免收申购费用。</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本基金已开通定期定额投资业务，具体实施方法请参见相关公告。服务联系方式：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7A64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E553A" w:rsidRDefault="007A645A">
      <w:pPr>
        <w:pStyle w:val="1"/>
        <w:snapToGrid w:val="0"/>
        <w:spacing w:beforeLines="0" w:before="240" w:after="240"/>
        <w:rPr>
          <w:rFonts w:ascii="宋体" w:hAnsi="宋体"/>
          <w:szCs w:val="30"/>
        </w:rPr>
      </w:pPr>
      <w:bookmarkStart w:id="26" w:name="_Toc239686242"/>
      <w:r>
        <w:rPr>
          <w:rFonts w:ascii="Times New Roman" w:hAnsi="Times New Roman"/>
          <w:sz w:val="30"/>
        </w:rPr>
        <w:lastRenderedPageBreak/>
        <w:t>二十三、其他应披露事项</w:t>
      </w:r>
      <w:bookmarkEnd w:id="26"/>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交银施罗德养老目标日期</w:t>
            </w:r>
            <w:r>
              <w:rPr>
                <w:rFonts w:ascii="Times New Roman" w:hAnsi="Times New Roman"/>
                <w:color w:val="000000"/>
                <w:kern w:val="0"/>
                <w:sz w:val="25"/>
                <w:szCs w:val="24"/>
              </w:rPr>
              <w:t>2035</w:t>
            </w:r>
            <w:r>
              <w:rPr>
                <w:rFonts w:ascii="Times New Roman" w:hAnsi="Times New Roman"/>
                <w:color w:val="000000"/>
                <w:kern w:val="0"/>
                <w:sz w:val="25"/>
                <w:szCs w:val="24"/>
              </w:rPr>
              <w:t>三年持有期混合型基金中基金（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2024-12-27</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交银施罗德养老目标日期</w:t>
            </w:r>
            <w:r>
              <w:rPr>
                <w:rFonts w:ascii="Times New Roman" w:hAnsi="Times New Roman"/>
                <w:color w:val="000000"/>
                <w:kern w:val="0"/>
                <w:sz w:val="25"/>
                <w:szCs w:val="24"/>
              </w:rPr>
              <w:t>2035</w:t>
            </w:r>
            <w:r>
              <w:rPr>
                <w:rFonts w:ascii="Times New Roman" w:hAnsi="Times New Roman"/>
                <w:color w:val="000000"/>
                <w:kern w:val="0"/>
                <w:sz w:val="25"/>
                <w:szCs w:val="24"/>
              </w:rPr>
              <w:t>三年持有期混合型基金中基金（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2024-12-27</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交银施罗德养老目标日期</w:t>
            </w:r>
            <w:r>
              <w:rPr>
                <w:rFonts w:ascii="Times New Roman" w:hAnsi="Times New Roman"/>
                <w:color w:val="000000"/>
                <w:kern w:val="0"/>
                <w:sz w:val="25"/>
                <w:szCs w:val="24"/>
              </w:rPr>
              <w:t>2035</w:t>
            </w:r>
            <w:r>
              <w:rPr>
                <w:rFonts w:ascii="Times New Roman" w:hAnsi="Times New Roman"/>
                <w:color w:val="000000"/>
                <w:kern w:val="0"/>
                <w:sz w:val="25"/>
                <w:szCs w:val="24"/>
              </w:rPr>
              <w:t>三年持有期混合型基金中基金（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Y</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2024-12-27</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交银施罗德养老目标日期</w:t>
            </w:r>
            <w:r>
              <w:rPr>
                <w:rFonts w:ascii="Times New Roman" w:hAnsi="Times New Roman"/>
                <w:color w:val="000000"/>
                <w:kern w:val="0"/>
                <w:sz w:val="25"/>
                <w:szCs w:val="24"/>
              </w:rPr>
              <w:t>2035</w:t>
            </w:r>
            <w:r>
              <w:rPr>
                <w:rFonts w:ascii="Times New Roman" w:hAnsi="Times New Roman"/>
                <w:color w:val="000000"/>
                <w:kern w:val="0"/>
                <w:sz w:val="25"/>
                <w:szCs w:val="24"/>
              </w:rPr>
              <w:t>三年持有期混合型基金中基金（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交银施罗德基金管理有限公司关于交银施罗德养老目标日期</w:t>
            </w:r>
            <w:r>
              <w:rPr>
                <w:rFonts w:ascii="Times New Roman" w:hAnsi="Times New Roman"/>
                <w:color w:val="000000"/>
                <w:kern w:val="0"/>
                <w:sz w:val="25"/>
                <w:szCs w:val="24"/>
              </w:rPr>
              <w:t>2035</w:t>
            </w:r>
            <w:r>
              <w:rPr>
                <w:rFonts w:ascii="Times New Roman" w:hAnsi="Times New Roman"/>
                <w:color w:val="000000"/>
                <w:kern w:val="0"/>
                <w:sz w:val="25"/>
                <w:szCs w:val="24"/>
              </w:rPr>
              <w:t>三年持有期混合型基金中基金（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）基金经理变更公告</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2025-01-22</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交银施罗德养老目标日期</w:t>
            </w:r>
            <w:r>
              <w:rPr>
                <w:rFonts w:ascii="Times New Roman" w:hAnsi="Times New Roman"/>
                <w:color w:val="000000"/>
                <w:kern w:val="0"/>
                <w:sz w:val="25"/>
                <w:szCs w:val="24"/>
              </w:rPr>
              <w:t>2035</w:t>
            </w:r>
            <w:r>
              <w:rPr>
                <w:rFonts w:ascii="Times New Roman" w:hAnsi="Times New Roman"/>
                <w:color w:val="000000"/>
                <w:kern w:val="0"/>
                <w:sz w:val="25"/>
                <w:szCs w:val="24"/>
              </w:rPr>
              <w:t>三年持有期混合型基金中基金（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2025-01-24</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交银施罗德养老目标日期</w:t>
            </w:r>
            <w:r>
              <w:rPr>
                <w:rFonts w:ascii="Times New Roman" w:hAnsi="Times New Roman"/>
                <w:color w:val="000000"/>
                <w:kern w:val="0"/>
                <w:sz w:val="25"/>
                <w:szCs w:val="24"/>
              </w:rPr>
              <w:t>2035</w:t>
            </w:r>
            <w:r>
              <w:rPr>
                <w:rFonts w:ascii="Times New Roman" w:hAnsi="Times New Roman"/>
                <w:color w:val="000000"/>
                <w:kern w:val="0"/>
                <w:sz w:val="25"/>
                <w:szCs w:val="24"/>
              </w:rPr>
              <w:t>三年持有期混合型基金中基金（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2025-01-24</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10</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交银施罗德养老目标日期</w:t>
            </w:r>
            <w:r>
              <w:rPr>
                <w:rFonts w:ascii="Times New Roman" w:hAnsi="Times New Roman"/>
                <w:color w:val="000000"/>
                <w:kern w:val="0"/>
                <w:sz w:val="25"/>
                <w:szCs w:val="24"/>
              </w:rPr>
              <w:t>2035</w:t>
            </w:r>
            <w:r>
              <w:rPr>
                <w:rFonts w:ascii="Times New Roman" w:hAnsi="Times New Roman"/>
                <w:color w:val="000000"/>
                <w:kern w:val="0"/>
                <w:sz w:val="25"/>
                <w:szCs w:val="24"/>
              </w:rPr>
              <w:t>三年持有期混合型基金中基金（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Y</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2025-01-24</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交银施罗德养老目标日期</w:t>
            </w:r>
            <w:r>
              <w:rPr>
                <w:rFonts w:ascii="Times New Roman" w:hAnsi="Times New Roman"/>
                <w:color w:val="000000"/>
                <w:kern w:val="0"/>
                <w:sz w:val="25"/>
                <w:szCs w:val="24"/>
              </w:rPr>
              <w:t>2035</w:t>
            </w:r>
            <w:r>
              <w:rPr>
                <w:rFonts w:ascii="Times New Roman" w:hAnsi="Times New Roman"/>
                <w:color w:val="000000"/>
                <w:kern w:val="0"/>
                <w:sz w:val="25"/>
                <w:szCs w:val="24"/>
              </w:rPr>
              <w:t>三年持有期混合型基金中基金（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2024</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交银施罗德基金管理有限公司关于增加国金证券股份有限公司为旗下基金的销售机构的公告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2025-04-09</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交银施罗德养老目标日期</w:t>
            </w:r>
            <w:r>
              <w:rPr>
                <w:rFonts w:ascii="Times New Roman" w:hAnsi="Times New Roman"/>
                <w:color w:val="000000"/>
                <w:kern w:val="0"/>
                <w:sz w:val="25"/>
                <w:szCs w:val="24"/>
              </w:rPr>
              <w:t>2035</w:t>
            </w:r>
            <w:r>
              <w:rPr>
                <w:rFonts w:ascii="Times New Roman" w:hAnsi="Times New Roman"/>
                <w:color w:val="000000"/>
                <w:kern w:val="0"/>
                <w:sz w:val="25"/>
                <w:szCs w:val="24"/>
              </w:rPr>
              <w:t>三年持有期混合型基金中基金（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交银施罗德养老目标日期</w:t>
            </w:r>
            <w:r>
              <w:rPr>
                <w:rFonts w:ascii="Times New Roman" w:hAnsi="Times New Roman"/>
                <w:color w:val="000000"/>
                <w:kern w:val="0"/>
                <w:sz w:val="25"/>
                <w:szCs w:val="24"/>
              </w:rPr>
              <w:t>2035</w:t>
            </w:r>
            <w:r>
              <w:rPr>
                <w:rFonts w:ascii="Times New Roman" w:hAnsi="Times New Roman"/>
                <w:color w:val="000000"/>
                <w:kern w:val="0"/>
                <w:sz w:val="25"/>
                <w:szCs w:val="24"/>
              </w:rPr>
              <w:t>三年持有期混合型基金中基金（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交银施罗德养老目标日期</w:t>
            </w:r>
            <w:r>
              <w:rPr>
                <w:rFonts w:ascii="Times New Roman" w:hAnsi="Times New Roman"/>
                <w:color w:val="000000"/>
                <w:kern w:val="0"/>
                <w:sz w:val="25"/>
                <w:szCs w:val="24"/>
              </w:rPr>
              <w:t>2035</w:t>
            </w:r>
            <w:r>
              <w:rPr>
                <w:rFonts w:ascii="Times New Roman" w:hAnsi="Times New Roman"/>
                <w:color w:val="000000"/>
                <w:kern w:val="0"/>
                <w:sz w:val="25"/>
                <w:szCs w:val="24"/>
              </w:rPr>
              <w:t>三年持有期混合型基金中基金（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交银施罗德养老目标日期</w:t>
            </w:r>
            <w:r>
              <w:rPr>
                <w:rFonts w:ascii="Times New Roman" w:hAnsi="Times New Roman"/>
                <w:color w:val="000000"/>
                <w:kern w:val="0"/>
                <w:sz w:val="25"/>
                <w:szCs w:val="24"/>
              </w:rPr>
              <w:t>2035</w:t>
            </w:r>
            <w:r>
              <w:rPr>
                <w:rFonts w:ascii="Times New Roman" w:hAnsi="Times New Roman"/>
                <w:color w:val="000000"/>
                <w:kern w:val="0"/>
                <w:sz w:val="25"/>
                <w:szCs w:val="24"/>
              </w:rPr>
              <w:t>三年持有期混合型基金中基金（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5E553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交银施罗德基金管理有限公司关于交银施罗德养老目标日期</w:t>
            </w:r>
            <w:r>
              <w:rPr>
                <w:rFonts w:ascii="Times New Roman" w:hAnsi="Times New Roman"/>
                <w:color w:val="000000"/>
                <w:kern w:val="0"/>
                <w:sz w:val="25"/>
                <w:szCs w:val="24"/>
              </w:rPr>
              <w:t>2035</w:t>
            </w:r>
            <w:r>
              <w:rPr>
                <w:rFonts w:ascii="Times New Roman" w:hAnsi="Times New Roman"/>
                <w:color w:val="000000"/>
                <w:kern w:val="0"/>
                <w:sz w:val="25"/>
                <w:szCs w:val="24"/>
              </w:rPr>
              <w:t>三年持有期混合型基金中基金</w:t>
            </w:r>
            <w:r>
              <w:rPr>
                <w:rFonts w:ascii="Times New Roman" w:hAnsi="Times New Roman"/>
                <w:color w:val="000000"/>
                <w:kern w:val="0"/>
                <w:sz w:val="25"/>
                <w:szCs w:val="24"/>
              </w:rPr>
              <w:t>(FOF)Y</w:t>
            </w:r>
            <w:r>
              <w:rPr>
                <w:rFonts w:ascii="Times New Roman" w:hAnsi="Times New Roman"/>
                <w:color w:val="000000"/>
                <w:kern w:val="0"/>
                <w:sz w:val="25"/>
                <w:szCs w:val="24"/>
              </w:rPr>
              <w:t>类基金份额开放日常赎回业务的公告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E553A" w:rsidRDefault="007A6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2025-11-26</w:t>
            </w:r>
          </w:p>
        </w:tc>
      </w:tr>
    </w:tbl>
    <w:p w:rsidR="00B439CC" w:rsidRDefault="007A64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E553A" w:rsidRDefault="007A645A">
      <w:pPr>
        <w:pStyle w:val="1"/>
        <w:snapToGrid w:val="0"/>
        <w:spacing w:beforeLines="0" w:before="240" w:after="240"/>
        <w:rPr>
          <w:rFonts w:ascii="宋体" w:hAnsi="宋体"/>
          <w:szCs w:val="30"/>
        </w:rPr>
      </w:pPr>
      <w:bookmarkStart w:id="27" w:name="_Toc239686243"/>
      <w:r>
        <w:rPr>
          <w:rFonts w:ascii="Times New Roman" w:hAnsi="Times New Roman"/>
          <w:sz w:val="30"/>
        </w:rPr>
        <w:lastRenderedPageBreak/>
        <w:t>二十四、招募说明书的存放及查阅方式</w:t>
      </w:r>
      <w:bookmarkEnd w:id="27"/>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和营业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7A64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E553A" w:rsidRDefault="007A645A">
      <w:pPr>
        <w:pStyle w:val="1"/>
        <w:snapToGrid w:val="0"/>
        <w:spacing w:beforeLines="0" w:before="240" w:after="240"/>
        <w:rPr>
          <w:rFonts w:ascii="宋体" w:hAnsi="宋体"/>
          <w:szCs w:val="30"/>
        </w:rPr>
      </w:pPr>
      <w:bookmarkStart w:id="28" w:name="_Toc239686244"/>
      <w:r>
        <w:rPr>
          <w:rFonts w:ascii="Times New Roman" w:hAnsi="Times New Roman"/>
          <w:sz w:val="30"/>
        </w:rPr>
        <w:lastRenderedPageBreak/>
        <w:t>二十五、备查文件</w:t>
      </w:r>
      <w:bookmarkEnd w:id="28"/>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（一）中国证监会准予交银施罗德养老目标日期2035三年持有期混合型基金中基金（FOF）募集注册的文件</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（二）《交银施罗德养老目标日期2035三年持有期混合型基金中基金（FOF）基金合同》</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（三）《交银施罗德养老目标日期2035三年持有期混合型基金中基金（FOF）托管协议》</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5E553A" w:rsidRDefault="007A64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（六）关于申请募集注册交银施罗德养老目标日期2035三年持有期混合型基金中基金（FOF）的法律意见书</w:t>
      </w:r>
    </w:p>
    <w:sectPr w:rsidR="005E553A">
      <w:footerReference w:type="default" r:id="rId18"/>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6B19" w:rsidRDefault="007A645A">
      <w:r>
        <w:separator/>
      </w:r>
    </w:p>
  </w:endnote>
  <w:endnote w:type="continuationSeparator" w:id="0">
    <w:p w:rsidR="00E96B19" w:rsidRDefault="007A6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553A" w:rsidRDefault="005E553A">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553A" w:rsidRDefault="00C27F82">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5E553A" w:rsidRDefault="007A645A">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C27F82">
                  <w:rPr>
                    <w:rFonts w:ascii="Times New Roman" w:hAnsi="Times New Roman"/>
                    <w:noProof/>
                    <w:kern w:val="0"/>
                    <w:sz w:val="18"/>
                    <w:szCs w:val="18"/>
                  </w:rPr>
                  <w:t>5</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553A" w:rsidRDefault="005E553A">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553A" w:rsidRDefault="00C27F82">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5E553A" w:rsidRDefault="007A645A">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C27F82">
                  <w:rPr>
                    <w:rFonts w:ascii="Times New Roman" w:hAnsi="Times New Roman"/>
                    <w:noProof/>
                    <w:kern w:val="0"/>
                    <w:sz w:val="18"/>
                    <w:szCs w:val="18"/>
                  </w:rPr>
                  <w:t>157</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6B19" w:rsidRDefault="007A645A">
      <w:r>
        <w:separator/>
      </w:r>
    </w:p>
  </w:footnote>
  <w:footnote w:type="continuationSeparator" w:id="0">
    <w:p w:rsidR="00E96B19" w:rsidRDefault="007A64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553A" w:rsidRDefault="005E553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553A" w:rsidRDefault="007A645A">
    <w:pPr>
      <w:pStyle w:val="a3"/>
      <w:jc w:val="right"/>
      <w:rPr>
        <w:rFonts w:ascii="宋体" w:hAnsi="宋体"/>
      </w:rPr>
    </w:pPr>
    <w:r>
      <w:rPr>
        <w:rFonts w:ascii="宋体" w:hAnsi="宋体" w:hint="eastAsia"/>
      </w:rPr>
      <w:t>交银施罗德养老目标日期2035三年持有期混合型基金中基金（FOF）招募说明书更新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553A" w:rsidRDefault="005E553A">
    <w:pPr>
      <w:pStyle w:val="10"/>
      <w:jc w:val="right"/>
    </w:pPr>
  </w:p>
  <w:p w:rsidR="005E553A" w:rsidRDefault="005E553A">
    <w:pPr>
      <w:pStyle w:val="10"/>
      <w:jc w:val="right"/>
    </w:pPr>
  </w:p>
  <w:p w:rsidR="005E553A" w:rsidRDefault="005E553A">
    <w:pPr>
      <w:pStyle w:val="a3"/>
      <w:jc w:val="right"/>
    </w:pPr>
  </w:p>
  <w:p w:rsidR="005E553A" w:rsidRDefault="007A645A">
    <w:pPr>
      <w:pStyle w:val="a3"/>
      <w:jc w:val="right"/>
      <w:rPr>
        <w:rFonts w:ascii="宋体" w:hAnsi="宋体"/>
      </w:rPr>
    </w:pPr>
    <w:r>
      <w:rPr>
        <w:rFonts w:ascii="宋体" w:hAnsi="宋体" w:hint="eastAsia"/>
      </w:rPr>
      <w:t>交银施罗德养老目标日期2035三年持有期混合型基金中基金（FOF）招募说明书更新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553A" w:rsidRDefault="005E553A">
    <w:pPr>
      <w:pStyle w:val="a3"/>
      <w:jc w:val="right"/>
    </w:pPr>
  </w:p>
  <w:p w:rsidR="005E553A" w:rsidRDefault="005E553A">
    <w:pPr>
      <w:pStyle w:val="a3"/>
      <w:jc w:val="right"/>
    </w:pPr>
  </w:p>
  <w:p w:rsidR="005E553A" w:rsidRDefault="005E553A">
    <w:pPr>
      <w:pStyle w:val="a3"/>
      <w:jc w:val="right"/>
    </w:pPr>
  </w:p>
  <w:p w:rsidR="005E553A" w:rsidRDefault="007A645A">
    <w:pPr>
      <w:pStyle w:val="a3"/>
      <w:jc w:val="right"/>
      <w:rPr>
        <w:rFonts w:ascii="宋体" w:hAnsi="宋体"/>
      </w:rPr>
    </w:pPr>
    <w:r>
      <w:rPr>
        <w:rFonts w:ascii="宋体" w:hAnsi="宋体" w:hint="eastAsia"/>
      </w:rPr>
      <w:t>交银施罗德养老目标日期2035三年持有期混合型基金中基金（FOF）招募说明书更新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7"/>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E553A"/>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A645A"/>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27F82"/>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96B19"/>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7"/>
    <o:shapelayout v:ext="edit">
      <o:idmap v:ext="edit" data="3"/>
    </o:shapelayout>
  </w:shapeDefaults>
  <w:decimalSymbol w:val="."/>
  <w:listSeparator w:val=","/>
  <w15:docId w15:val="{75FFF727-8F45-4775-873E-AA65AD484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158</Pages>
  <Words>16942</Words>
  <Characters>96576</Characters>
  <Application>Microsoft Office Word</Application>
  <DocSecurity>0</DocSecurity>
  <Lines>804</Lines>
  <Paragraphs>226</Paragraphs>
  <ScaleCrop>false</ScaleCrop>
  <Company>Microsoft</Company>
  <LinksUpToDate>false</LinksUpToDate>
  <CharactersWithSpaces>113292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2026-09-07T07:10:00Z</dcterms:created>
  <dcterms:modified xsi:type="dcterms:W3CDTF">2026-09-07T07:10:00Z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