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A47C1A">
      <w:pPr>
        <w:rPr>
          <w:sz w:val="32"/>
        </w:rPr>
      </w:pPr>
    </w:p>
    <w:p w:rsidR="00C92FC0" w:rsidRPr="00EB07BC" w:rsidRDefault="00A47C1A">
      <w:pPr>
        <w:rPr>
          <w:sz w:val="32"/>
        </w:rPr>
      </w:pPr>
    </w:p>
    <w:p w:rsidR="00C92FC0" w:rsidRPr="00EB07BC" w:rsidRDefault="00A47C1A">
      <w:pPr>
        <w:rPr>
          <w:sz w:val="32"/>
        </w:rPr>
      </w:pPr>
    </w:p>
    <w:p w:rsidR="007C59A8" w:rsidRDefault="007C59A8">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C59A8" w:rsidRDefault="007C59A8">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C59A8" w:rsidRDefault="007C59A8">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C59A8" w:rsidRDefault="004E6825">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交银施罗德兴享一年持有期混合型基金中基金（</w:t>
      </w:r>
      <w:r>
        <w:rPr>
          <w:rFonts w:ascii="Times New Roman" w:hAnsi="Times New Roman"/>
          <w:b/>
          <w:spacing w:val="2"/>
          <w:w w:val="99"/>
          <w:kern w:val="0"/>
          <w:position w:val="-4"/>
          <w:sz w:val="44"/>
          <w:szCs w:val="44"/>
        </w:rPr>
        <w:t>FOF</w:t>
      </w:r>
      <w:r>
        <w:rPr>
          <w:rFonts w:ascii="Times New Roman" w:hAnsi="Times New Roman"/>
          <w:b/>
          <w:spacing w:val="2"/>
          <w:w w:val="99"/>
          <w:kern w:val="0"/>
          <w:position w:val="-4"/>
          <w:sz w:val="44"/>
          <w:szCs w:val="44"/>
        </w:rPr>
        <w:t>）</w:t>
      </w:r>
    </w:p>
    <w:p w:rsidR="007C59A8" w:rsidRDefault="004E6825">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7C59A8" w:rsidRDefault="007C59A8">
      <w:pPr>
        <w:snapToGrid w:val="0"/>
        <w:spacing w:line="360" w:lineRule="auto"/>
        <w:jc w:val="center"/>
        <w:rPr>
          <w:rFonts w:ascii="宋体" w:hAnsi="宋体"/>
          <w:b/>
          <w:sz w:val="30"/>
          <w:szCs w:val="30"/>
        </w:rPr>
      </w:pPr>
    </w:p>
    <w:p w:rsidR="007C59A8" w:rsidRDefault="007C59A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C59A8" w:rsidRDefault="007C59A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C59A8" w:rsidRDefault="007C59A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C59A8" w:rsidRDefault="007C59A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C59A8" w:rsidRDefault="007C59A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C59A8" w:rsidRDefault="007C59A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C59A8" w:rsidRDefault="004E6825">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7C59A8" w:rsidRDefault="004E6825">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基金托管人：兴业银行股份有限公司</w:t>
      </w:r>
    </w:p>
    <w:p w:rsidR="007C59A8" w:rsidRDefault="007C59A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C59A8" w:rsidRDefault="007C59A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C59A8" w:rsidRDefault="004E6825">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7C59A8" w:rsidRDefault="007C59A8">
      <w:pPr>
        <w:autoSpaceDE w:val="0"/>
        <w:autoSpaceDN w:val="0"/>
        <w:adjustRightInd w:val="0"/>
        <w:snapToGrid w:val="0"/>
        <w:spacing w:line="360" w:lineRule="auto"/>
        <w:ind w:left="1347" w:rightChars="6" w:right="13"/>
        <w:rPr>
          <w:rFonts w:ascii="宋体" w:hAnsi="宋体"/>
          <w:kern w:val="0"/>
          <w:sz w:val="32"/>
          <w:szCs w:val="32"/>
        </w:rPr>
        <w:sectPr w:rsidR="007C59A8">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7C59A8" w:rsidRDefault="004E6825">
      <w:pPr>
        <w:pStyle w:val="1"/>
        <w:snapToGrid w:val="0"/>
        <w:spacing w:beforeLines="0" w:before="240" w:after="240"/>
        <w:rPr>
          <w:rFonts w:ascii="宋体" w:hAnsi="宋体"/>
          <w:kern w:val="0"/>
        </w:rPr>
      </w:pPr>
      <w:bookmarkStart w:id="0" w:name="_Toc324920538"/>
      <w:bookmarkStart w:id="1" w:name="_Toc496884613"/>
      <w:bookmarkStart w:id="2" w:name="_Toc239686445"/>
      <w:r>
        <w:rPr>
          <w:rFonts w:ascii="Times New Roman" w:hAnsi="Times New Roman"/>
          <w:kern w:val="0"/>
        </w:rPr>
        <w:lastRenderedPageBreak/>
        <w:t>重要提示</w:t>
      </w:r>
      <w:bookmarkEnd w:id="0"/>
      <w:bookmarkEnd w:id="1"/>
      <w:bookmarkEnd w:id="2"/>
    </w:p>
    <w:p w:rsidR="007C59A8" w:rsidRDefault="004E682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交银施罗德兴享一年持有期混合型基金中基金（</w:t>
      </w:r>
      <w:r>
        <w:rPr>
          <w:rFonts w:ascii="Times New Roman" w:hAnsi="Times New Roman"/>
          <w:kern w:val="0"/>
          <w:sz w:val="24"/>
        </w:rPr>
        <w:t>FOF</w:t>
      </w:r>
      <w:r>
        <w:rPr>
          <w:rFonts w:ascii="Times New Roman" w:hAnsi="Times New Roman"/>
          <w:kern w:val="0"/>
          <w:sz w:val="24"/>
        </w:rPr>
        <w:t>）（以下简称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2</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2021</w:t>
      </w:r>
      <w:r>
        <w:rPr>
          <w:rFonts w:ascii="Times New Roman" w:hAnsi="Times New Roman"/>
          <w:kern w:val="0"/>
          <w:sz w:val="24"/>
        </w:rPr>
        <w:t>】</w:t>
      </w:r>
      <w:r>
        <w:rPr>
          <w:rFonts w:ascii="Times New Roman" w:hAnsi="Times New Roman"/>
          <w:kern w:val="0"/>
          <w:sz w:val="24"/>
        </w:rPr>
        <w:t>2887</w:t>
      </w:r>
      <w:r>
        <w:rPr>
          <w:rFonts w:ascii="Times New Roman" w:hAnsi="Times New Roman"/>
          <w:kern w:val="0"/>
          <w:sz w:val="24"/>
        </w:rPr>
        <w:t>号文准予募集注册。本基金基金合同于</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1</w:t>
      </w:r>
      <w:r>
        <w:rPr>
          <w:rFonts w:ascii="Times New Roman" w:hAnsi="Times New Roman"/>
          <w:kern w:val="0"/>
          <w:sz w:val="24"/>
        </w:rPr>
        <w:t>日正式生效。</w:t>
      </w:r>
    </w:p>
    <w:p w:rsidR="007C59A8" w:rsidRDefault="004E682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7C59A8" w:rsidRDefault="004E682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7C59A8" w:rsidRDefault="004E682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本基金为基金中基金，由于本基金主要投资于经中国证监会依法核准或注册的公开募集证券投资基金的基金份额，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基金中基金的特有风险；投资资产支持证券的特定风险；投资流通受限证券的特定风险；投资科创板股票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提前终止基金合同的风险；投资本基金的其他风险等等。本基金为混合型基金中基金，其预期风险与预期收益高于债券型基金、债券型基金中基金、货币市场基金和货币型基金中基金，低于股票型基金和股票型基金中基金。</w:t>
      </w:r>
    </w:p>
    <w:p w:rsidR="007C59A8" w:rsidRDefault="004E682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7C59A8" w:rsidRDefault="004E682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7C59A8" w:rsidRDefault="004E682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7C59A8" w:rsidRDefault="004E682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rsidR="007C59A8" w:rsidRDefault="004E682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一年的基金份额数量，则基金份额持有人的赎回申请将全部被予以拒绝。基金份额持有人需承担赎回申请失败的风险。</w:t>
      </w:r>
    </w:p>
    <w:p w:rsidR="007C59A8" w:rsidRDefault="004E682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7C59A8" w:rsidRDefault="004E682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7C59A8" w:rsidRDefault="004E682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w:t>
      </w:r>
      <w:r>
        <w:rPr>
          <w:rFonts w:ascii="Times New Roman" w:hAnsi="Times New Roman"/>
          <w:kern w:val="0"/>
          <w:sz w:val="24"/>
        </w:rPr>
        <w:lastRenderedPageBreak/>
        <w:t>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7C59A8" w:rsidRDefault="004E682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7C59A8" w:rsidRDefault="004E682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03</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10</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7C59A8" w:rsidRDefault="007C59A8">
      <w:pPr>
        <w:autoSpaceDE w:val="0"/>
        <w:autoSpaceDN w:val="0"/>
        <w:adjustRightInd w:val="0"/>
        <w:snapToGrid w:val="0"/>
        <w:spacing w:before="51" w:line="360" w:lineRule="auto"/>
        <w:ind w:left="120" w:rightChars="6" w:right="13" w:firstLine="480"/>
        <w:rPr>
          <w:rFonts w:ascii="宋体" w:hAnsi="宋体"/>
          <w:kern w:val="0"/>
          <w:szCs w:val="24"/>
        </w:rPr>
        <w:sectPr w:rsidR="007C59A8">
          <w:headerReference w:type="default" r:id="rId14"/>
          <w:pgSz w:w="11920" w:h="16840"/>
          <w:pgMar w:top="1440" w:right="1680" w:bottom="280" w:left="1680" w:header="0" w:footer="1073" w:gutter="0"/>
          <w:pgNumType w:start="1"/>
          <w:cols w:space="720"/>
        </w:sectPr>
      </w:pPr>
    </w:p>
    <w:p w:rsidR="00A47C1A" w:rsidRPr="00A47C1A" w:rsidRDefault="004E6825" w:rsidP="00A47C1A">
      <w:pPr>
        <w:pStyle w:val="ad"/>
        <w:snapToGrid w:val="0"/>
        <w:spacing w:after="240" w:line="360" w:lineRule="auto"/>
        <w:jc w:val="center"/>
        <w:rPr>
          <w:rFonts w:ascii="宋体" w:hAnsi="宋体"/>
          <w:noProof/>
          <w:sz w:val="24"/>
        </w:rPr>
      </w:pPr>
      <w:r w:rsidRPr="00A47C1A">
        <w:rPr>
          <w:rFonts w:ascii="宋体" w:hAnsi="宋体"/>
          <w:color w:val="000000"/>
          <w:position w:val="-4"/>
          <w:sz w:val="24"/>
          <w:szCs w:val="30"/>
        </w:rPr>
        <w:lastRenderedPageBreak/>
        <w:t>目</w:t>
      </w:r>
      <w:r w:rsidRPr="00A47C1A">
        <w:rPr>
          <w:rFonts w:ascii="宋体" w:hAnsi="宋体"/>
          <w:color w:val="000000"/>
          <w:position w:val="-4"/>
          <w:sz w:val="24"/>
          <w:szCs w:val="30"/>
        </w:rPr>
        <w:tab/>
        <w:t>录</w:t>
      </w:r>
      <w:r w:rsidR="00A47C1A" w:rsidRPr="00A47C1A">
        <w:rPr>
          <w:rFonts w:ascii="宋体" w:hAnsi="宋体"/>
          <w:color w:val="000000"/>
          <w:position w:val="-4"/>
          <w:sz w:val="24"/>
          <w:szCs w:val="30"/>
        </w:rPr>
        <w:fldChar w:fldCharType="begin"/>
      </w:r>
      <w:r w:rsidR="00A47C1A" w:rsidRPr="00A47C1A">
        <w:rPr>
          <w:rFonts w:ascii="宋体" w:hAnsi="宋体"/>
          <w:color w:val="000000"/>
          <w:position w:val="-4"/>
          <w:sz w:val="24"/>
          <w:szCs w:val="30"/>
        </w:rPr>
        <w:instrText xml:space="preserve"> TOC \o "1-3" \f - \h \t "-1" </w:instrText>
      </w:r>
      <w:r w:rsidR="00A47C1A" w:rsidRPr="00A47C1A">
        <w:rPr>
          <w:rFonts w:ascii="宋体" w:hAnsi="宋体"/>
          <w:color w:val="000000"/>
          <w:position w:val="-4"/>
          <w:sz w:val="24"/>
          <w:szCs w:val="30"/>
        </w:rPr>
        <w:fldChar w:fldCharType="separate"/>
      </w:r>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45" w:history="1">
        <w:r w:rsidRPr="00A47C1A">
          <w:rPr>
            <w:rStyle w:val="aa"/>
            <w:rFonts w:ascii="宋体" w:hAnsi="宋体" w:hint="eastAsia"/>
            <w:noProof/>
            <w:kern w:val="0"/>
            <w:sz w:val="24"/>
          </w:rPr>
          <w:t>重要提示</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_Toc239686445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1</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46" w:history="1">
        <w:r w:rsidRPr="00A47C1A">
          <w:rPr>
            <w:rStyle w:val="aa"/>
            <w:rFonts w:ascii="宋体" w:hAnsi="宋体" w:hint="eastAsia"/>
            <w:noProof/>
            <w:sz w:val="24"/>
          </w:rPr>
          <w:t>一、绪言</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_Toc239686446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5</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47" w:history="1">
        <w:r w:rsidRPr="00A47C1A">
          <w:rPr>
            <w:rStyle w:val="aa"/>
            <w:rFonts w:ascii="宋体" w:hAnsi="宋体" w:hint="eastAsia"/>
            <w:noProof/>
            <w:sz w:val="24"/>
          </w:rPr>
          <w:t>二、释义</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_Toc239686447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6</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48" w:history="1">
        <w:r w:rsidRPr="00A47C1A">
          <w:rPr>
            <w:rStyle w:val="aa"/>
            <w:rFonts w:ascii="宋体" w:hAnsi="宋体" w:hint="eastAsia"/>
            <w:noProof/>
            <w:sz w:val="24"/>
          </w:rPr>
          <w:t>三、基金管理人</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_Toc239686448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11</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49" w:history="1">
        <w:r w:rsidRPr="00A47C1A">
          <w:rPr>
            <w:rStyle w:val="aa"/>
            <w:rFonts w:ascii="宋体" w:hAnsi="宋体" w:hint="eastAsia"/>
            <w:noProof/>
            <w:sz w:val="24"/>
          </w:rPr>
          <w:t>四、基金托管人</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_Toc239686449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18</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50" w:history="1">
        <w:r w:rsidRPr="00A47C1A">
          <w:rPr>
            <w:rStyle w:val="aa"/>
            <w:rFonts w:ascii="宋体" w:hAnsi="宋体" w:hint="eastAsia"/>
            <w:noProof/>
            <w:sz w:val="24"/>
          </w:rPr>
          <w:t>五、相关服务机构</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_Toc239686450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21</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51" w:history="1">
        <w:r w:rsidRPr="00A47C1A">
          <w:rPr>
            <w:rStyle w:val="aa"/>
            <w:rFonts w:ascii="宋体" w:hAnsi="宋体" w:hint="eastAsia"/>
            <w:noProof/>
            <w:sz w:val="24"/>
          </w:rPr>
          <w:t>六、基金的募集</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_Toc239686451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42</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52" w:history="1">
        <w:r w:rsidRPr="00A47C1A">
          <w:rPr>
            <w:rStyle w:val="aa"/>
            <w:rFonts w:ascii="宋体" w:hAnsi="宋体" w:hint="eastAsia"/>
            <w:noProof/>
            <w:sz w:val="24"/>
          </w:rPr>
          <w:t>七、基金合同的生效</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_Toc239686452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43</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53" w:history="1">
        <w:r w:rsidRPr="00A47C1A">
          <w:rPr>
            <w:rStyle w:val="aa"/>
            <w:rFonts w:ascii="宋体" w:hAnsi="宋体" w:hint="eastAsia"/>
            <w:noProof/>
            <w:sz w:val="24"/>
          </w:rPr>
          <w:t>八、基金份额的申购与赎回</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_Toc239686453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44</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54" w:history="1">
        <w:r w:rsidRPr="00A47C1A">
          <w:rPr>
            <w:rStyle w:val="aa"/>
            <w:rFonts w:ascii="宋体" w:hAnsi="宋体" w:hint="eastAsia"/>
            <w:noProof/>
            <w:sz w:val="24"/>
          </w:rPr>
          <w:t>九、基金的投资</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_Toc239686454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57</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55" w:history="1">
        <w:r w:rsidRPr="00A47C1A">
          <w:rPr>
            <w:rStyle w:val="aa"/>
            <w:rFonts w:ascii="宋体" w:hAnsi="宋体" w:hint="eastAsia"/>
            <w:noProof/>
            <w:sz w:val="24"/>
          </w:rPr>
          <w:t>十、基金的业绩</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_Toc239686455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68</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56" w:history="1">
        <w:r w:rsidRPr="00A47C1A">
          <w:rPr>
            <w:rStyle w:val="aa"/>
            <w:rFonts w:ascii="宋体" w:hAnsi="宋体" w:hint="eastAsia"/>
            <w:noProof/>
            <w:sz w:val="24"/>
          </w:rPr>
          <w:t>十一、基金的财产</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_Toc239686456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71</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57" w:history="1">
        <w:r w:rsidRPr="00A47C1A">
          <w:rPr>
            <w:rStyle w:val="aa"/>
            <w:rFonts w:ascii="宋体" w:hAnsi="宋体" w:hint="eastAsia"/>
            <w:noProof/>
            <w:sz w:val="24"/>
          </w:rPr>
          <w:t>十二、基金资产的估值</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_Toc239686457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72</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58" w:history="1">
        <w:r w:rsidRPr="00A47C1A">
          <w:rPr>
            <w:rStyle w:val="aa"/>
            <w:rFonts w:ascii="宋体" w:hAnsi="宋体" w:hint="eastAsia"/>
            <w:noProof/>
            <w:sz w:val="24"/>
          </w:rPr>
          <w:t>十三、基金收益与分配</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_Toc239686458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79</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59" w:history="1">
        <w:r w:rsidRPr="00A47C1A">
          <w:rPr>
            <w:rStyle w:val="aa"/>
            <w:rFonts w:ascii="宋体" w:hAnsi="宋体" w:hint="eastAsia"/>
            <w:noProof/>
            <w:sz w:val="24"/>
          </w:rPr>
          <w:t>十四、基金的费用与税收</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_Toc239686459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81</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60" w:history="1">
        <w:r w:rsidRPr="00A47C1A">
          <w:rPr>
            <w:rStyle w:val="aa"/>
            <w:rFonts w:ascii="宋体" w:hAnsi="宋体" w:hint="eastAsia"/>
            <w:noProof/>
            <w:sz w:val="24"/>
          </w:rPr>
          <w:t>十五、基金的会计与审计</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_Toc239686460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84</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61" w:history="1">
        <w:r w:rsidRPr="00A47C1A">
          <w:rPr>
            <w:rStyle w:val="aa"/>
            <w:rFonts w:ascii="宋体" w:hAnsi="宋体" w:hint="eastAsia"/>
            <w:noProof/>
            <w:sz w:val="24"/>
          </w:rPr>
          <w:t>十六、基金的信息披露</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_Toc239686461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85</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62" w:history="1">
        <w:r w:rsidRPr="00A47C1A">
          <w:rPr>
            <w:rStyle w:val="aa"/>
            <w:rFonts w:ascii="宋体" w:hAnsi="宋体" w:hint="eastAsia"/>
            <w:noProof/>
            <w:sz w:val="24"/>
          </w:rPr>
          <w:t>十七、侧袋机制</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_Toc239686462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92</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63" w:history="1">
        <w:r w:rsidRPr="00A47C1A">
          <w:rPr>
            <w:rStyle w:val="aa"/>
            <w:rFonts w:ascii="宋体" w:hAnsi="宋体" w:hint="eastAsia"/>
            <w:noProof/>
            <w:sz w:val="24"/>
          </w:rPr>
          <w:t>十八、风险揭示</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_Toc239686463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95</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64" w:history="1">
        <w:r w:rsidRPr="00A47C1A">
          <w:rPr>
            <w:rStyle w:val="aa"/>
            <w:rFonts w:ascii="宋体" w:hAnsi="宋体" w:hint="eastAsia"/>
            <w:noProof/>
            <w:sz w:val="24"/>
          </w:rPr>
          <w:t>十九、基金合同的变更、终止与基金财产的清算</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_Toc239686464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106</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65" w:history="1">
        <w:r w:rsidRPr="00A47C1A">
          <w:rPr>
            <w:rStyle w:val="aa"/>
            <w:rFonts w:ascii="宋体" w:hAnsi="宋体" w:hint="eastAsia"/>
            <w:noProof/>
            <w:sz w:val="24"/>
          </w:rPr>
          <w:t>二十、基金合同内容摘要</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_Toc239686465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108</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66" w:history="1">
        <w:r w:rsidRPr="00A47C1A">
          <w:rPr>
            <w:rStyle w:val="aa"/>
            <w:rFonts w:ascii="宋体" w:hAnsi="宋体" w:hint="eastAsia"/>
            <w:noProof/>
            <w:sz w:val="24"/>
          </w:rPr>
          <w:t>二十一、托管协议的内容摘要</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_Toc239686466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125</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67" w:history="1">
        <w:r w:rsidRPr="00A47C1A">
          <w:rPr>
            <w:rStyle w:val="aa"/>
            <w:rFonts w:ascii="宋体" w:hAnsi="宋体" w:hint="eastAsia"/>
            <w:noProof/>
            <w:sz w:val="24"/>
          </w:rPr>
          <w:t>二十二、对基金份额持有人的服务</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_Toc239686467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148</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68" w:history="1">
        <w:r w:rsidRPr="00A47C1A">
          <w:rPr>
            <w:rStyle w:val="aa"/>
            <w:rFonts w:ascii="宋体" w:hAnsi="宋体" w:hint="eastAsia"/>
            <w:noProof/>
            <w:sz w:val="24"/>
          </w:rPr>
          <w:t>二十三、其他应披露事项</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_Toc239686468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150</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69" w:history="1">
        <w:r w:rsidRPr="00A47C1A">
          <w:rPr>
            <w:rStyle w:val="aa"/>
            <w:rFonts w:ascii="宋体" w:hAnsi="宋体" w:hint="eastAsia"/>
            <w:noProof/>
            <w:sz w:val="24"/>
          </w:rPr>
          <w:t>二十四、招募说明书的存放及查阅方式</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_Toc239686469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152</w:t>
        </w:r>
        <w:r w:rsidRPr="00A47C1A">
          <w:rPr>
            <w:rFonts w:ascii="宋体" w:hAnsi="宋体"/>
            <w:noProof/>
            <w:sz w:val="24"/>
          </w:rPr>
          <w:fldChar w:fldCharType="end"/>
        </w:r>
      </w:hyperlink>
    </w:p>
    <w:p w:rsidR="00A47C1A" w:rsidRPr="00A47C1A" w:rsidRDefault="00A47C1A" w:rsidP="00A47C1A">
      <w:pPr>
        <w:pStyle w:val="10"/>
        <w:tabs>
          <w:tab w:val="right" w:leader="dot" w:pos="8550"/>
        </w:tabs>
        <w:spacing w:line="360" w:lineRule="auto"/>
        <w:rPr>
          <w:rFonts w:ascii="宋体" w:hAnsi="宋体" w:cstheme="minorBidi"/>
          <w:noProof/>
          <w:sz w:val="24"/>
        </w:rPr>
      </w:pPr>
      <w:hyperlink w:anchor="_Toc239686470" w:history="1">
        <w:r w:rsidRPr="00A47C1A">
          <w:rPr>
            <w:rStyle w:val="aa"/>
            <w:rFonts w:ascii="宋体" w:hAnsi="宋体" w:hint="eastAsia"/>
            <w:noProof/>
            <w:sz w:val="24"/>
          </w:rPr>
          <w:t>二十五、备查文件</w:t>
        </w:r>
        <w:r w:rsidRPr="00A47C1A">
          <w:rPr>
            <w:rFonts w:ascii="宋体" w:hAnsi="宋体"/>
            <w:noProof/>
            <w:sz w:val="24"/>
          </w:rPr>
          <w:tab/>
        </w:r>
        <w:r w:rsidRPr="00A47C1A">
          <w:rPr>
            <w:rFonts w:ascii="宋体" w:hAnsi="宋体"/>
            <w:noProof/>
            <w:sz w:val="24"/>
          </w:rPr>
          <w:fldChar w:fldCharType="begin"/>
        </w:r>
        <w:r w:rsidRPr="00A47C1A">
          <w:rPr>
            <w:rFonts w:ascii="宋体" w:hAnsi="宋体"/>
            <w:noProof/>
            <w:sz w:val="24"/>
          </w:rPr>
          <w:instrText xml:space="preserve"> PAGEREF _Toc239686470 \h </w:instrText>
        </w:r>
        <w:r w:rsidRPr="00A47C1A">
          <w:rPr>
            <w:rFonts w:ascii="宋体" w:hAnsi="宋体"/>
            <w:noProof/>
            <w:sz w:val="24"/>
          </w:rPr>
        </w:r>
        <w:r w:rsidRPr="00A47C1A">
          <w:rPr>
            <w:rFonts w:ascii="宋体" w:hAnsi="宋体"/>
            <w:noProof/>
            <w:sz w:val="24"/>
          </w:rPr>
          <w:fldChar w:fldCharType="separate"/>
        </w:r>
        <w:r w:rsidRPr="00A47C1A">
          <w:rPr>
            <w:rFonts w:ascii="宋体" w:hAnsi="宋体"/>
            <w:noProof/>
            <w:sz w:val="24"/>
          </w:rPr>
          <w:t>153</w:t>
        </w:r>
        <w:r w:rsidRPr="00A47C1A">
          <w:rPr>
            <w:rFonts w:ascii="宋体" w:hAnsi="宋体"/>
            <w:noProof/>
            <w:sz w:val="24"/>
          </w:rPr>
          <w:fldChar w:fldCharType="end"/>
        </w:r>
      </w:hyperlink>
    </w:p>
    <w:p w:rsidR="007C59A8" w:rsidRPr="00A47C1A" w:rsidRDefault="00A47C1A" w:rsidP="00A47C1A">
      <w:pPr>
        <w:pStyle w:val="ad"/>
        <w:snapToGrid w:val="0"/>
        <w:spacing w:after="240" w:line="360" w:lineRule="auto"/>
        <w:jc w:val="center"/>
        <w:rPr>
          <w:rFonts w:ascii="宋体" w:hAnsi="宋体"/>
          <w:color w:val="000000"/>
          <w:sz w:val="24"/>
        </w:rPr>
      </w:pPr>
      <w:r w:rsidRPr="00A47C1A">
        <w:rPr>
          <w:rFonts w:ascii="宋体" w:hAnsi="宋体"/>
          <w:color w:val="000000"/>
          <w:position w:val="-4"/>
          <w:sz w:val="24"/>
          <w:szCs w:val="30"/>
        </w:rPr>
        <w:fldChar w:fldCharType="end"/>
      </w:r>
      <w:bookmarkStart w:id="3" w:name="_GoBack"/>
      <w:bookmarkEnd w:id="3"/>
    </w:p>
    <w:p w:rsidR="007C59A8" w:rsidRDefault="007C59A8">
      <w:pPr>
        <w:autoSpaceDE w:val="0"/>
        <w:autoSpaceDN w:val="0"/>
        <w:adjustRightInd w:val="0"/>
        <w:snapToGrid w:val="0"/>
        <w:spacing w:line="360" w:lineRule="auto"/>
        <w:ind w:left="120" w:rightChars="6" w:right="13"/>
        <w:rPr>
          <w:rFonts w:ascii="宋体" w:hAnsi="宋体"/>
          <w:kern w:val="0"/>
          <w:szCs w:val="24"/>
        </w:rPr>
        <w:sectPr w:rsidR="007C59A8">
          <w:pgSz w:w="11920" w:h="16840"/>
          <w:pgMar w:top="1480" w:right="1680" w:bottom="280" w:left="1680" w:header="0" w:footer="1073" w:gutter="0"/>
          <w:cols w:space="720"/>
        </w:sectPr>
      </w:pPr>
    </w:p>
    <w:p w:rsidR="007C59A8" w:rsidRDefault="004E6825">
      <w:pPr>
        <w:pStyle w:val="1"/>
        <w:snapToGrid w:val="0"/>
        <w:spacing w:beforeLines="0" w:before="240" w:after="240"/>
        <w:rPr>
          <w:rFonts w:ascii="宋体" w:hAnsi="宋体"/>
          <w:szCs w:val="30"/>
        </w:rPr>
      </w:pPr>
      <w:bookmarkStart w:id="4" w:name="_Toc239686446"/>
      <w:r>
        <w:rPr>
          <w:rFonts w:ascii="Times New Roman" w:hAnsi="Times New Roman"/>
          <w:sz w:val="30"/>
        </w:rPr>
        <w:lastRenderedPageBreak/>
        <w:t>一、绪言</w:t>
      </w:r>
      <w:bookmarkEnd w:id="4"/>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兴享一年持有期混合型基金中基金（FOF）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证券投资基金运作指引第2号——基金中基金指引》、《公开募集开放式证券投资基金流动性风险管理规定》（以下简称“《流动性风险管理规定》”）和其他相关法律法规的规定以及《交银施罗德兴享一年持有期混合型基金中基金（FOF）基金合同》（以下简称“基金合同”）编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5" w:name="_Toc239686447"/>
      <w:r>
        <w:rPr>
          <w:rFonts w:ascii="Times New Roman" w:hAnsi="Times New Roman"/>
          <w:sz w:val="30"/>
        </w:rPr>
        <w:lastRenderedPageBreak/>
        <w:t>二、释义</w:t>
      </w:r>
      <w:bookmarkEnd w:id="5"/>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1、基金或本基金：指交银施罗德兴享一年持有期混合型基金中基金（FOF）</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3、基金托管人：指兴业银行股份有限公司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4、基金合同：指《交银施罗德兴享一年持有期混合型基金中基金（FOF）基金合同》及对基金合同的任何有效修订和补充</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5、托管协议：指基金管理人与基金托管人就本基金签订之《交银施罗德兴享一年持有期混合型基金中基金（FOF）托管协议》及对该托管协议的任何有效修订和补充</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6、招募说明书或本招募说明书：指《交银施罗德兴享一年持有期混合型基金中基金（FOF）招募说明书》及其更新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7、基金产品资料概要：指《交银施罗德兴享一年持有期混合型基金中基金（FOF）基金产品资料概要》及其更新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8、基金份额发售公告：指《交银施罗德兴享一年持有期混合型基金中基金（FOF）基金份额发售公告》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16、银行业监督管理机构：指中国人民银行和/或中国银行保险监督管理委员会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29、基金合同生效日：指基金募集达到法律法规规定及基金合同规定的条件，基金管理人向中国证监会办理基金备案手续完毕，并获得中国证监会书面确认的日期</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最短持有期限：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年度对日：指某一特定日期在后续日历年度中的对应日期，若该日历年度中不存在对应日期的，则该年度对日为该特定日期在后续日历年度中对应月度的最后一日。如该年度对日为非工作日的，则顺延至下一个工作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38、开放日：指为投资人办理基金份额申购、赎回或其他业务的工作日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39、开放时间：指开放日基金接受申购、赎回或其他交易的时间段</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40、《业务规则》：指中国证券登记结算有限责任公司相关业务规则及其不时做出的修订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41、认购：指在基金募集期内，投资人根据基金合同和招募说明书的规定申请购买基金份额的行为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42、申购：指基金合同生效后，投资人根据基金合同和招募说明书的规定申请购买基金份额的行为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43、赎回：指基金合同生效后，基金份额持有人按基金合同和招募说明书规定的条件要求将基金份额兑换为现金的行为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44、基金转换：指基金份额持有人按照基金合同和基金管理人届时有效公告规定的条件，申请将其持有基金管理人管理的、某一基金的基金份额转换为基金管理人管理的其他基金基金份额的行为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45、转托管：指基金份额持有人在本基金的不同销售机构之间实施的变更所持基金份额销售机构的操作</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48、元：指人民币元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49、基金收益：指基金投资所得红利、股息、债券利息、买卖证券价差、银行存款利息、已实现的其他合法收入及因运用基金财产带来的成本和费用的节约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50、基金资产总值：指基金拥有的各类有价证券、证券投资基金份额、银行存款本息、基金应收款项及其他资产的价值总和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51、基金资产净值：指基金资产总值减去基金负债后的价值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52、基金份额净值：指计算日基金资产净值除以计算日基金份额总数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53、基金资产估值：指计算评估基金资产和负债的价值，以确定基金资产净值和基金份额净值的过程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54、港股通：指内地投资者委托内地证券公司，经由内地证券交易所在香港设立的证券交易服务公司，向香港联合交易所进行申报，买卖规定范围内的香港联合交易所上市的股票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55、规定媒介：指符合中国证监会规定条件的用以进行信息披露的全国性报刊及《信息披露办法》规定的互联网网站（包括基金管理人网站、基金托管人网站、中国证监会基金电子披露网站）等媒介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56、销售服务费：指从基金财产中计提的，用于本基金市场推广、销售以及基金份额持有人服务的费用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57、A类基金份额：指在投资人认购/申购时收取认购/申购费用且不从本类别基金资产中计提销售服务费的基金份额</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58、C类基金份额：指在投资人认购/申购时不收取认购/申购费用，并从本类别基金资产中计提销售服务费的基金份额</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63、不可抗力：指基金合同当事人不能预见、不能避免且不能克服的客观事件</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6" w:name="_Toc239686448"/>
      <w:r>
        <w:rPr>
          <w:rFonts w:ascii="Times New Roman" w:hAnsi="Times New Roman"/>
          <w:sz w:val="30"/>
        </w:rPr>
        <w:lastRenderedPageBreak/>
        <w:t>三、基金管理人</w:t>
      </w:r>
      <w:bookmarkEnd w:id="6"/>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陈玲斐女士:基金经理。复旦大学文学学士、上海交通大学工商管理硕士，12年证券投资行业从业经验。2011年至2014年任中国银行股份有限公司上海市分行产品经理，2014年至2019年任交通银行股份有限公司总行资产管理中心交易员/投资经理，2019年至2026年任交银理财有限责任公司固定收益部、多资产投资部投资经理。2026年加入交银施罗德基金管理有限公司，现任多元资产管理助理总监、基金经理。现任交银施罗德兴享一年持有期混合型基金中基金（FOF）(2026年08月22日至今)、交银施罗德养老目标日期2035三年持有期混合型基金中基金（FOF）(2026年08月22日至今)、交银施罗德安悦平衡养老目标三年持有期混合型发起式基金中基金（FOF）(2026年08月22日至今)、交银施罗德优享一年持有期混合型基金中基金（FOF）(2026年08月22日至今)的基金经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刘兵先生(2021年12月01日至2026年09月03日)。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5、进行基金会计核算并编制基金财务会计报告；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3、不泄露在任职期间知悉的有关证券、基金的商业秘密，尚未依法公开的基金投资内容、基金投资计划等信息，或利用该信息从事或者明示、暗示他人从事相关的交易活动；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w:t>
      </w:r>
      <w:r>
        <w:rPr>
          <w:rFonts w:ascii="宋体" w:hAnsi="宋体"/>
          <w:sz w:val="24"/>
        </w:rPr>
        <w:lastRenderedPageBreak/>
        <w:t>价，监督检查公司财务状况，审计公司的财务报表，评估公司的财务表现，保证公司的财务运作符合法律的要求和通行的会计标准。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w:t>
      </w:r>
      <w:r>
        <w:rPr>
          <w:rFonts w:ascii="宋体" w:hAnsi="宋体"/>
          <w:sz w:val="24"/>
        </w:rPr>
        <w:lastRenderedPageBreak/>
        <w:t>务活动有恰当的组织和授权，确保监察活动独立，并得到高管人员的支持，同时置备操作手册，并定期更新。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7" w:name="_Toc239686449"/>
      <w:r>
        <w:rPr>
          <w:rFonts w:ascii="Times New Roman" w:hAnsi="Times New Roman"/>
          <w:sz w:val="30"/>
        </w:rPr>
        <w:lastRenderedPageBreak/>
        <w:t>四、基金托管人</w:t>
      </w:r>
      <w:bookmarkEnd w:id="7"/>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名称：兴业银行股份有限公司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办公地址：上海市银城路167号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成立日期：1988年8月22日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批准设立机关和批准设立文号：中国人民银行总行，银复[1988]347号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基金托管业务批准文号：中国证监会证监基金字[2005]74号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注册资本：207.74亿元人民币</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2、发展概况及财务状况</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兴业银行成立于1988年8月，是经国务院、中国人民银行批准成立的首批股份制商业银行之一，总行设在福建省福州市，2007年2月5日正式在上海证券交易所挂牌上市（股票代码：601166），注册资本207.74亿元。截至2025年6月末，兴业银行资产总额达10.61万亿元，实现营业收入1104.58亿元，实现归属于母公司股东的净利润431.41亿元。开业三十多年来，兴业银行始终坚持“真诚服务，相伴成长”的经营理念，致力于为客户提供全面、优质、高效的金融服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（二）托管业务部部门设置及员工情况</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兴业银行股份有限公司总行设资产托管部，下设综合管理处、证券基金处、信托保险处、理财私募处、需求支持处、稽核监察处、投资监督处、运行管理处，共有员工100余人，业务岗位人员均具有基金从业资格。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兴业银行股份有限公司于2005年4月26日取得基金托管资格。基金托管业务批准文号：证监基金字[2005]74号。截至2025年9月30日，兴业银行共托管证券投资基金840只，托管基金的基金资产净值合计28377.90亿元，基金份额合计24568.03</w:t>
      </w:r>
      <w:r>
        <w:rPr>
          <w:rFonts w:ascii="宋体" w:hAnsi="宋体"/>
          <w:sz w:val="24"/>
        </w:rPr>
        <w:lastRenderedPageBreak/>
        <w:t>亿份。</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资产的安全完整，确保有关信息的真实、准确、完整、及时，保护基金份额持有人的合法权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兴业银行基金托管业务内部控制组织架构由总行内部控制委员会、总行风险管理部门、总行审计部、总行资产托管部、总行运营管理部及分行托管运营机构共同组成。各级内部控制组织依照本行相关制度对本行托管业务风险管理和内部控制实施管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3、内部控制原则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（1）全面性原则：内部控制贯穿资产托管业务的全过程，覆盖各项业务和产品，以及从事资产托管业务的各机构和从业人员；</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（2）重要性原则：内部控制应当在全面控制的基础上，关注重要业务事项和高风险领域；</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（3）独立性原则：开展托管业务的部门和岗位的设置应权责分明、相对独立、相互制衡；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（4）审慎性原则：内控与风险管理必须以防范风险，保证托管资产的安全与完整为出发点，“内控优先”，“制度优先”，审慎发展资产托管业务；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（5）制衡性原则：内部控制应当在治理结构、机构设置及权责分配、业务流程等方面形成相互制约、相互监督，同时兼顾运营效率；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适应性原则：内部控制体系应同所处的环境相适应，以合理的成本实现内控目标，内部制度的制订应当具有前瞻性，并应当根据国家政策、法律及经营管理的需要，适时进行相应修改和完善；内部控制存在的问题应当能够得到及时反馈和纠正；</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（7）成本效益原则：内部控制应当权衡实施成本与预期效益，以适当的成本实现有效控制。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4、内部控制制度及措施</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（1）制度建设：建立了明确的岗位职责、科学的业务流程、详细的操作手</w:t>
      </w:r>
      <w:r>
        <w:rPr>
          <w:rFonts w:ascii="宋体" w:hAnsi="宋体"/>
          <w:sz w:val="24"/>
        </w:rPr>
        <w:lastRenderedPageBreak/>
        <w:t>册、严格的人员行为规范等一系列规章制度。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（2）建立健全的组织管理结构：前后台分离，不同部门、岗位相互牵制。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（3）风险识别与评估：稽核监察处指导业务处室进行风险识别、评估，制定并实施风险控制措施。</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（4）相对独立的业务操作空间：业务操作区相对独立，实施门禁管理和音像监控。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（5）人员管理：进行定期的业务与职业道德培训，使员工树立风险防范与控制理念，并签订承诺书。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（6）应急预案：制定完备的《应急预案》，并组织员工定期演练；建立异地灾备中心，保证业务不中断。</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负有对基金管理人的投资运作行使监督权的职责。根据《基金法》、《运作办法》、基金合同及其他有关规定，托管人对基金的投资对象和范围、投资组合比例、投资限制、费用的计提和支付方式、基金会计核算、基金资产估值和基金净值的计算、收益分配、申购赎回以及其他有关基金投资和运作的事项，对基金管理人进行业务监督、核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违反《基金法》、《运作办法》、基金合同和有关法律法规规定的行为，应及时以书面形式通知基金管理人限期纠正，基金管理人收到通知后应及时核对并以书面形式对基金托管人发出回函。在限期内，基金托管人有权随时对通知事项进行复查，督促基金管理人改正。基金管理人对基金托管人通知的违规事项未能在限期内纠正的，基金托管人应报告中国证监会。基金托管人发现基金管理人有重大违规行为，立即报告中国证监会，同时，通知基金管理人限期纠正，并将纠正结果报告中国证监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基金托管人发现基金管理人的指令违反法律、行政法规和其他有关规定，或者违反基金合同约定的，应当拒绝执行，立即通知基金管理人，并及时向中国证监会报告。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8" w:name="_Toc239686450"/>
      <w:r>
        <w:rPr>
          <w:rFonts w:ascii="Times New Roman" w:hAnsi="Times New Roman"/>
          <w:sz w:val="30"/>
        </w:rPr>
        <w:lastRenderedPageBreak/>
        <w:t>五、相关服务机构</w:t>
      </w:r>
      <w:bookmarkEnd w:id="8"/>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（2）名称：兴业银行股份有限公司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注册地址：福建省福州市台江区江滨中大道398号兴业银行大厦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（4）名称：中信银行股份有限公司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（5）名称：东莞农村商业银行股份有限公司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传真：（0769）22866282</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（6）名称：宁波银行股份有限公司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（7）名称：中国银河证券股份有限公司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（8）名称：天风证券股份有限公司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注册地址：湖北省武汉市东湖新技术开发区关东园路2号高科大厦4楼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客户服务电话：95391 / 400-800-5000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（9）名称：中信证券股份有限公司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住所：广东省深圳市福田区中心三路8号卓越时代广场（二期）北座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（10）名称：国联民生证券股份有限公司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（11）名称：国投证券股份有限公司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（12）名称：东方财富证券股份有限公司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网址：http://www.18.cn</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（13）名称：海通证券股份有限公司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（14）名称：华龙证券股份有限公司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（15）名称：长城国瑞证券有限公司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住所：厦门市莲前西路2号莲富大厦17楼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办公地址：厦门市莲前西路2号莲富大厦17楼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电话：（0592）5161642</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传真：（0592）5161640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客户服务电话：（0592）5163588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网址：www.xmzq.cn</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（16）名称：申万宏源证券有限公司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办公地址：上海市徐汇区长乐路989号世纪商贸广场45层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（17）名称：中信证券（山东）有限责任公司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（18）名称：申万宏源西部证券有限公司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（19）名称：华鑫证券有限责任公司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华鑫证券有限责任公司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（20）名称：国金证券股份有限公司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办公地址：成都市东城根上街95号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（21）名称：国新证券股份有限公司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（22）名称：华西证券股份有限公司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（23）名称：第一创业证券股份有限公司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传真：（0755）25831718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（24）名称：中信证券华南股份有限公司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（25）名称：中信建投证券股份有限公司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（26）名称：国泰海通证券股份有限公司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（27）名称：深圳市新兰德证券投资咨询有限公司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（28）名称：大连网金基金销售有限公司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（29）名称：京东肯特瑞基金销售有限公司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（30）名称：和耕传承基金销售有限公司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办公地址：河南自贸试验区郑州片区（郑东）东风南路东康宁街北6号楼5楼503</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（31）名称：腾安基金销售（深圳）有限公司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（32）名称：珠海盈米基金销售有限公司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（33）名称：北京度小满基金销售有限公司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机构联系人：王笑宇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（34）名称：南京苏宁基金销售有限公司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（35）名称：嘉实财富管理有限公司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（36）名称：北京汇成基金销售有限公司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客户服务电话：010-63158805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（37）名称：上海利得基金销售有限公司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（38）名称：上海陆金所基金销售有限公司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（39）名称：上海挖财基金销售有限公司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（40）名称：万家财富基金销售（天津）有限公司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（41）名称：上海万得基金销售有限公司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（42）名称：深圳市金斧子基金销售有限公司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（43）名称：北京雪球基金销售有限公司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法定代表人：李楠</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（44）名称：北京新浪仓石基金销售有限公司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（45）名称：中证金牛（北京）基金销售有限公司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（46）名称：上海证达通基金销售有限公司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传真：（021）20538999</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（47）名称：奕丰基金销售有限公司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（48）名称：上海天天基金销售有限公司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（49）名称：诺亚正行基金销售有限公司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客户服务电话：4008215399</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（50）名称：上海好买基金销售有限公司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（51）名称：上海长量基金销售有限公司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（52）名称：深圳众禄基金销售股份有限公司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（53）名称：蚂蚁（杭州）基金销售有限公司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办公地址：浙江省杭州市西湖区西溪路556号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（54）名称：中信期货有限公司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（55）名称：上海基煜基金销售有限公司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（56）名称：浙江同花顺基金销售有限公司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办公地址：浙江杭州余杭区五常街道同顺街18号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（57）名称：宜信普泽（北京）基金销售有限公司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（58）名称：上海联泰基金销售有限公司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（59）名称：泛华普益基金销售有限公司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传真：无</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（60）名称：北京展恒基金销售股份有限公司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（61）名称：济安财富（北京）基金销售有限公司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（62）名称：北京创金启富基金销售有限公司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 https://www.5irich.com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（63）名称：博时财富基金销售有限公司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（64）名称：上海中欧财富基金销售有限公司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（65）名称：深圳前海微众银行股份有限公司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w:t>
      </w:r>
      <w:r>
        <w:rPr>
          <w:rFonts w:ascii="宋体" w:hAnsi="宋体"/>
          <w:sz w:val="24"/>
        </w:rPr>
        <w:lastRenderedPageBreak/>
        <w:t>金，并在基金管理人网站公示。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9" w:name="_Toc239686451"/>
      <w:r>
        <w:rPr>
          <w:rFonts w:ascii="Times New Roman" w:hAnsi="Times New Roman"/>
          <w:sz w:val="30"/>
        </w:rPr>
        <w:lastRenderedPageBreak/>
        <w:t>六、基金的募集</w:t>
      </w:r>
      <w:bookmarkEnd w:id="9"/>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2021年9月2日证监许可【2021】2887号文准予募集注册。本基金为契约型开放式混合型基金。基金存续期间为不定期。</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本基金于2021年11月15日至2021年11月26日进行发售，本基金设立募集期共募集867,686,455.28份基金份额，有效认购户数为8,784户。</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10" w:name="_Toc239686452"/>
      <w:r>
        <w:rPr>
          <w:rFonts w:ascii="Times New Roman" w:hAnsi="Times New Roman"/>
          <w:sz w:val="30"/>
        </w:rPr>
        <w:lastRenderedPageBreak/>
        <w:t>七、基金合同的生效</w:t>
      </w:r>
      <w:bookmarkEnd w:id="10"/>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根据有关规定，本基金满足基金合同生效条件，基金合同已于2021年12月1日正式生效。自基金合同生效之日起，本基金管理人正式开始管理本基金。</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11" w:name="_Toc239686453"/>
      <w:r>
        <w:rPr>
          <w:rFonts w:ascii="Times New Roman" w:hAnsi="Times New Roman"/>
          <w:sz w:val="30"/>
        </w:rPr>
        <w:lastRenderedPageBreak/>
        <w:t>八、基金份额的申购与赎回</w:t>
      </w:r>
      <w:bookmarkEnd w:id="11"/>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及/或赎回，但对于每份基金份额，基金份额持有人仅可在该份额最短持有期限届满后申请赎回，具体办理时间为上海证券交易所、深圳证券交易所的正常交易日的交易时间，但基金管理人根据法律法规、</w:t>
      </w:r>
      <w:r>
        <w:rPr>
          <w:rFonts w:ascii="宋体" w:hAnsi="宋体"/>
          <w:sz w:val="24"/>
        </w:rPr>
        <w:lastRenderedPageBreak/>
        <w:t>中国证监会的要求或基金合同的规定公告暂停申购、赎回时除外。</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规定媒介上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本基金已于2022年1月4日起开放申购业务。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本基金已于2022年12月1日起开放赎回业务。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投资人在最短持有期限内提出的赎回或转换申请，视为无效申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1、“未知价”原则，即申购、赎回价格以申请日的基金份额净值（非申请日当天公布的基金份额净值）为基准进行计算；</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w:t>
      </w:r>
      <w:r>
        <w:rPr>
          <w:rFonts w:ascii="宋体" w:hAnsi="宋体"/>
          <w:sz w:val="24"/>
        </w:rPr>
        <w:lastRenderedPageBreak/>
        <w:t>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w:t>
      </w:r>
      <w:r>
        <w:rPr>
          <w:rFonts w:ascii="宋体" w:hAnsi="宋体"/>
          <w:sz w:val="24"/>
        </w:rPr>
        <w:lastRenderedPageBreak/>
        <w:t>项。在发生巨额赎回或基金合同载明的其他暂停赎回或延缓支付赎回款项的情形时，款项的支付办法参照基金合同有关条款处理。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+2日（包括该日）内对该交易的有效性进行确认。T日提交的有效申请，投资人应在T+3日后（包括该日）及时到销售网点柜台或以销售机构规定的其他方式查询申请的确认情况。若申购不成功，则申购款项本金退还给投资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（1）投资人T日申购基金成功后，正常情况下，登记机构在T＋2日为投资人增加权益并办理登记手续。投资人应及时查询有关申请的确认情况。</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（2）投资人T日赎回基金成功后，正常情况下，登记机构在T＋2日为投资人扣除权益并办理相应的登记手续。</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0.48%</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0.24%</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w:t>
      </w:r>
      <w:r>
        <w:rPr>
          <w:rFonts w:ascii="宋体" w:hAnsi="宋体"/>
          <w:sz w:val="24"/>
        </w:rPr>
        <w:lastRenderedPageBreak/>
        <w:t>卡交易金额限额请参阅本基金管理人网站。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C类基金份额的赎回金额为按实际确认的有效赎回份额乘以当日该类基金份额基金份额净值并扣除相应的费用（如有），赎回金额单位为元。赎回金额计算结果按四舍五入方法，保留到小数点后2位，由此产生的收益或损失由基金财产承担。</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申购费用=申购总金额-净申购金额</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例四：某投资者（非养老金客户）投资100,000元申购本基金的A类基金份额，假设申购当日A类基金份额净值为1.0400元，申购费率为1.2%，则其可得到的申购份额为：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净申购金额=100,000/（1+1.2%）=98,814.23元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申购费用=100,000-98,814.23=1,185.77元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申购份额=（100,000-1,185.77）/1.0400=95,013.68份</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即：某投资者（非养老金客户）投资100,000元申购本基金，假设申购当日A类基金份额净值为1.0400元，如果其选择申购A类基金份额，则其可得到95,013.68份A类基金份额。</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例五：某养老金客户投资100,000元通过基金管理人的直销柜台申购本基金的A类基金份额，假设申购当日A类基金份额净值为1.0400元，申购费率为0.48%，则其可得到的申购份额为：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净申购金额=100,000/（1+0.48%）=99,522.29元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申购费用=100,000-99,522.29=477.71元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申购份额=（100,000-477.71）/1.0400=95,694.51份</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即：该养老金客户投资100,000元通过基金管理人的直销柜台申购本基金的A类基金份额，假设申购当日A类基金份额净值为1.0400元，则其可得到95,694.51份A类基金份额。</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即：投资者投资100,000元申购本基金的C类基金份额，假设申购当日C类基金份额净值为1.0400元，则其可得到96,153.85份C类基金份额。</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赎回费用=赎回份额×T日该类基金份额净值×赎回费率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赎回金额=赎回份额×T日该类基金份额净值-赎回费用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例七：某投资者赎回持有的10,000份A类基金份额，持有期限为一年，对应的赎回费率为0，假设赎回当日A类基金份额净值是1.0160元，则其可得到的赎回金额为：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赎回费用=10,000×1.0160×0=0元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赎回金额=10,000×1.0160-0＝10,160.00元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即：投资者赎回本基金10,000份A类基金份额，持有期限为一年，对应的赎回费率为0，假设赎回当日A类基金份额净值是1.0160元，则其可得到的赎回金额为10,160.00元。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的基金份额净值的计算，保留到小数点后4位，小数点后第5位四舍五入，由此产生的收益或损失由基金财产承担。T日的基金份额净值在所投资基金披露净值或万份收益当日（法定节假日顺延至第一个交易日）计算，并在T+2日内披露本基金T日的各类基金份额净值和基金份额累计净值。遇特殊情况，经履行适当程序，可以适当延迟计算或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3、证券交易所交易时间非正常停市或港股通临时停市，导致基金管理人无法计算当日基金资产净值。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4、由于本基金持有的相当比例的基金暂停估值，导致基金管理人无法计算当日本基金资产净值。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持有的相当比例的基金份额，或者适合本基金投资的基金份额拒绝或暂停申购、暂停上市或二级市场交易停牌、基金管理人无法找到其他合适的可替代的基金品种，或其他可能对本基金业绩产生负面影响的情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6、接受某笔或某些申购申请可能会影响或损害现有基金份额持有人利益时。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8、基金资产规模过大，使基金管理人无法找到合适的投资品种，或其他可能对基金业绩产生负面影响，或发生其他损害现有基金份额持有人利益的情形。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9、当前一估值日基金资产净值50%以上的资产出现无可参考的活跃市场价格且采用估值技术仍导致公允价值存在重大不确定性时，经与基金托管人协商确认后，基金管理人应当暂停接受基金申购申请。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10、基金管理人接受某笔或者某些申购申请有可能导致单一投资者持有基金份额的比例超过50%，或者变相规避50%集中度的。出现上述情形时，基金管理人有权将上述申购申请全部或部分确认失败。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11、法律法规规定、中国证监会认定或基金合同约定的其他情形。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除第6、10项以外的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3、证券交易所交易时间非正常停市或港股通临时停市，导致基金管理人无法计算当日基金资产净值。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4、由于本基金持有的相当比例的基金暂停估值，导致基金管理人无法计算当日本基金资产净值。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5、由于本基金持有的相当比例的基金份额拒绝或暂停赎回、暂停上市或二级市场交易停牌、延期办理赎回、延期支付赎回款项，或其他可能对本基金业绩产生负面影响的情形。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6、连续两个或两个以上开放日发生巨额赎回。</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7、发生继续接受赎回申请将损害现有基金份额持有人利益的情形时，基金管理人可暂停接受基金份额持有人的赎回申请。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6项所述情形，按基金合同的相关条款处理。基金份额持有人在申请赎回时可事先选择将当日可能未获受理部分予以撤销。在暂停赎回的情况消除时，基金管理人应及时恢复赎回业务的办理并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w:t>
      </w:r>
      <w:r>
        <w:rPr>
          <w:rFonts w:ascii="宋体" w:hAnsi="宋体"/>
          <w:sz w:val="24"/>
        </w:rPr>
        <w:lastRenderedPageBreak/>
        <w:t>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w:t>
      </w:r>
      <w:r>
        <w:rPr>
          <w:rFonts w:ascii="宋体" w:hAnsi="宋体"/>
          <w:sz w:val="24"/>
        </w:rPr>
        <w:lastRenderedPageBreak/>
        <w:t>上刊登暂停公告。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2、如发生暂停的时间为1日，基金管理人应于重新开放日，在规定媒介上刊登基金重新开放申购或赎回公告，并公布最近1个开放日的各类基金份额净值。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（十二）基金转换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（十三）基金的非交易过户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（十四）基金的转托管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（十五）定期定额投资计划</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w:t>
      </w:r>
      <w:r>
        <w:rPr>
          <w:rFonts w:ascii="宋体" w:hAnsi="宋体"/>
          <w:sz w:val="24"/>
        </w:rPr>
        <w:lastRenderedPageBreak/>
        <w:t>额投资计划的同时，仍然可以进行日常申购、赎回业务。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本基金2021年12月30日刊登公告自2022年1月4日起开通定期定额投资计划业务，具体开通销售机构名单和业务规则参见相关公告。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（十八）实施侧袋机制期间本基金的申购与赎回</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12" w:name="_Toc239686454"/>
      <w:r>
        <w:rPr>
          <w:rFonts w:ascii="Times New Roman" w:hAnsi="Times New Roman"/>
          <w:sz w:val="30"/>
        </w:rPr>
        <w:lastRenderedPageBreak/>
        <w:t>九、基金的投资</w:t>
      </w:r>
      <w:bookmarkEnd w:id="12"/>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本基金主要投资于经中国证监会依法核准或注册的公开募集证券投资基金的基金份额，在保持基金资产良好的流动性的前提下，力争实现基金资产的长期增值。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-45%；投资于港股通标的股票的比例占股票资产的0%-50%；本基金持有的现金或者投资于到期日在一年以内的政府债券的比例合计不低于基金资产净值的5%，其中现金不包括结算备付金、存出保证金、应收申购款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本基金通过对宏观经济运行周期、货币与财政政策形势、资金面供求变化、证</w:t>
      </w:r>
      <w:r>
        <w:rPr>
          <w:rFonts w:ascii="宋体" w:hAnsi="宋体"/>
          <w:sz w:val="24"/>
        </w:rPr>
        <w:lastRenderedPageBreak/>
        <w:t>券市场走势与估值水平等综合分析，并融合量化投资方法，结合国内外先进资产配置理念，及时把握市场时机，调整资产配置比例，获取资产配置收益。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2、基金投资策略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本基金管理人绩效评估系统对备选基金的评估分析，在有效控制风险的前提下，通过定量和定性相结合的方法，精选具有不同风险收益特征及投资业绩比较优势的基金确定本基金配置组合。本基金的绩效评估系统分析主要包括业绩指标分析、业绩归因分析以及基金管理人综合评估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（1）运用量化方法分析所有适选基金在不同市场下的历史业绩表现，包括收益指标、风险指标和风险调整后收益指标等，具体如下：</w:t>
      </w:r>
    </w:p>
    <w:p w:rsidR="007C59A8" w:rsidRDefault="004E6825">
      <w:pPr>
        <w:autoSpaceDE w:val="0"/>
        <w:autoSpaceDN w:val="0"/>
        <w:adjustRightInd w:val="0"/>
        <w:snapToGrid w:val="0"/>
        <w:spacing w:line="360" w:lineRule="auto"/>
        <w:ind w:firstLineChars="200" w:firstLine="420"/>
        <w:jc w:val="left"/>
        <w:rPr>
          <w:rFonts w:ascii="宋体" w:hAnsi="宋体"/>
          <w:szCs w:val="24"/>
        </w:rPr>
      </w:pPr>
      <w:r>
        <w:sym w:font="Wingdings" w:char="25A0"/>
      </w:r>
      <w:r>
        <w:rPr>
          <w:rFonts w:ascii="宋体" w:hAnsi="宋体"/>
          <w:sz w:val="24"/>
        </w:rPr>
        <w:t>收益指标：包括绝对收益、相对收益等指标；</w:t>
      </w:r>
    </w:p>
    <w:p w:rsidR="007C59A8" w:rsidRDefault="004E6825">
      <w:pPr>
        <w:autoSpaceDE w:val="0"/>
        <w:autoSpaceDN w:val="0"/>
        <w:adjustRightInd w:val="0"/>
        <w:snapToGrid w:val="0"/>
        <w:spacing w:line="360" w:lineRule="auto"/>
        <w:ind w:firstLineChars="200" w:firstLine="420"/>
        <w:jc w:val="left"/>
        <w:rPr>
          <w:rFonts w:ascii="宋体" w:hAnsi="宋体"/>
          <w:szCs w:val="24"/>
        </w:rPr>
      </w:pPr>
      <w:r>
        <w:sym w:font="Wingdings" w:char="25A0"/>
      </w:r>
      <w:r>
        <w:rPr>
          <w:rFonts w:ascii="宋体" w:hAnsi="宋体"/>
          <w:sz w:val="24"/>
        </w:rPr>
        <w:t>风险指标：包括波动率、最大回撤等指标；</w:t>
      </w:r>
    </w:p>
    <w:p w:rsidR="007C59A8" w:rsidRDefault="004E6825">
      <w:pPr>
        <w:autoSpaceDE w:val="0"/>
        <w:autoSpaceDN w:val="0"/>
        <w:adjustRightInd w:val="0"/>
        <w:snapToGrid w:val="0"/>
        <w:spacing w:line="360" w:lineRule="auto"/>
        <w:ind w:firstLineChars="200" w:firstLine="420"/>
        <w:jc w:val="left"/>
        <w:rPr>
          <w:rFonts w:ascii="宋体" w:hAnsi="宋体"/>
          <w:szCs w:val="24"/>
        </w:rPr>
      </w:pPr>
      <w:r>
        <w:sym w:font="Wingdings" w:char="25A0"/>
      </w:r>
      <w:r>
        <w:rPr>
          <w:rFonts w:ascii="宋体" w:hAnsi="宋体"/>
          <w:sz w:val="24"/>
        </w:rPr>
        <w:t>风险调整后收益指标：包括夏普比率、信息比率等指标。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深入分析基金的业绩表现，再次精选基金确定备选基金，包括对基金的择时能力、资产配置能力、个股选择能力等进行归因分析，解释基金收益来源，评估未来收益的持续性与稳定性。基于市场环境、政策变动、风险事件等多重因素对基金配置组合进行持续跟踪，动态调整基金投资组合及配置比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（3）结合对基金管理人的定性评估，包括基金管理人基本情况、投研团队实力以及投研团队稳定性、基金经理投资优势及业绩稳定性等方面，最终确定本基金的投资组合及配置比例。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综上，本基金通过定量和定性相结合的方法，长期持续跟踪本基金的组合业绩，并定期对基金组合进行维护，力争实现基金资产的长期稳健增值。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3、股票投资策略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筛选出在公司治理、财务及管理品质上符合基本品质要求的上市公司；其次在公司备选股票池基础上，本基金将进一步通过对备选上市公司翔实的基本面分析和深入的实地调研，以定性与定量相结合的方法对公司价值进行综合评估。通过对重点上市公司进行内在价值的评估和成长性跟踪研究，在明确的价值评估基础上精选优秀质地的投资标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4、港股通标的股票投资策略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基金可根据投资策略需要或不同配置地市场环境的变化，选择将部分基金资产投资于港股或选择不将基金资产投资于港股，基金资产并非必然投资港股。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5、债券投资策略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6、资产支持证券投资策略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-45%；投资于港股通标的股票的比例</w:t>
      </w:r>
      <w:r>
        <w:rPr>
          <w:rFonts w:ascii="宋体" w:hAnsi="宋体"/>
          <w:sz w:val="24"/>
        </w:rPr>
        <w:lastRenderedPageBreak/>
        <w:t>占股票资产的0%-50%；投资于货币市场基金的比例不得超过基金资产的15%；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（7）本基金投资于封闭运作基金、定期开放基金等流通受限基金的，其公允价值不得超过本基金资产净值的10%；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（8）基金管理人运用本基金财产投资于股票、债券等金融工具的，投资品种和比例应当符合本基金的投资目标和投资策略；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（9）本基金持有一家公司发行的证券（同一家公司在内地和香港同时上市的A+H股合并计算，不含本基金所投资的基金份额），其市值不超过基金资产净值的10%；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基金持有一家公司发行的证券（同一家公司在内地和香港同时上市的A+H股合并计算，不含本基金所投资的基金份额），不超过该证券的10%，完全按照有关指数的构成比例进行证券投资的基金品种可以不受此条款规定的比例限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（12）本基金主动投资于流动性受限资产的市值合计不得超过本基金资产净值的15%；因证券市场波动、上市公司股票停牌、基金规模变动等基金管理人之外的</w:t>
      </w:r>
      <w:r>
        <w:rPr>
          <w:rFonts w:ascii="宋体" w:hAnsi="宋体"/>
          <w:sz w:val="24"/>
        </w:rPr>
        <w:lastRenderedPageBreak/>
        <w:t>因素致使基金不符合该比例限制的，基金管理人不得主动新增流动性受限资产的投资；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（14）本基金投资于同一原始权益人的各类资产支持证券的比例，不得超过基金资产净值的10%；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（15）本基金持有的全部资产支持证券，其市值不得超过基金资产净值的20%；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（16）本基金持有的同一（指同一信用级别）资产支持证券的比例，不得超过该资产支持证券规模的10%；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（17）本基金管理人管理的全部基金投资于同一原始权益人的各类资产支持证券，不得超过其各类资产支持证券合计规模的10%；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（18）本基金应投资于信用级别评级为BBB以上（含BBB）的资产支持证券。基金持有资产支持证券期间，如果其信用等级下降、不再符合投资标准，应在评级报告发布之日起3个月内予以全部卖出；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（19）基金财产参与股票发行申购，本基金所申报的金额不超过本基金的总资产，本基金所申报的股票数量不超过拟发行股票公司本次发行股票的总量；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（20）本基金进入全国银行间同业市场进行债券回购的资金余额不得超过基金资产净值的40%，进入全国银行间同业市场进行债券回购的最长期限为1年，债券回购到期后不得展期；</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（21）本基金资产总值不超过基金资产净值的140%；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12）项、第（13）项及第（18）项以外的其他情形，基金管理人应当在10个交易日内进行调整，但中国证监会规定的特殊情形除外。法律法规另有规定的，从其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75%×中债综合全价指数收益率+25%×沪深300指数收益率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2、沪深300指数是沪深证券交易所第一次联合发布的反映A股市场整体走势的</w:t>
      </w:r>
      <w:r>
        <w:rPr>
          <w:rFonts w:ascii="宋体" w:hAnsi="宋体"/>
          <w:sz w:val="24"/>
        </w:rPr>
        <w:lastRenderedPageBreak/>
        <w:t>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权益类资产投资的业绩比较基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根据本基金的投资范围和投资策略，选用上述业绩比较基准能够客观、合理地反映本基金的风险收益特征。</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依据维护基金份额持有人合法权益的原则，本基金管理人可与本基金托管人协商一致并按照监管部门要求履行适当程序后，调整或变更本基金的业绩比较基准并及时公告，无需召开基金份额持有人大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本基金为混合型基金中基金，其预期风险与预期收益高于债券型基金、债券型基金中基金、货币市场基金和货币型基金中基金，低于股票型基金和股票型基金中基金。</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侧袋机制实施期间，本部分约定的投资组合比例、投资策略、组合限制、业绩比较基准、风险收益特征等约定仅适用于主袋账户。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（九）基金投资组合报告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本基金托管人兴业银行股份有限公司根据本基金合同规定，于2025年10月27日复核了本报告中的财务指标、净值表现和投资组合报告等内容，保证复核内容不存在虚假记载、误导性陈述或者重大遗漏。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本报告期为2025年07月01日至09月30日。本报告财务资料未经审计师审计。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192,470,490.53</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87.99</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11,590,364.00</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5.30</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11,590,364.00</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5.30</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10,695,986.20</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4.89</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1,852,431.59</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0.85</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2,120,359.83</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0.97</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218,729,632.15</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11,590,364.00</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5.58</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11,590,364.00</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5.58</w:t>
            </w:r>
          </w:p>
        </w:tc>
      </w:tr>
    </w:tbl>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019766</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67,000</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6,751,799.26</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3.25</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019773</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08</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25,000</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2,515,858.22</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1.21</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019758</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国债</w:t>
            </w: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9,000</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911,182.93</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0.44</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801,582.25</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0.39</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019730</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国债</w:t>
            </w: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306,213.70</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bl>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9、报告期末本基金投资的股指期货交易情况说明</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45,541.95</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1,741,474.39</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319,937.65</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13,405.84</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right"/>
              <w:rPr>
                <w:rFonts w:ascii="宋体" w:hAnsi="宋体"/>
                <w:color w:val="000000"/>
                <w:kern w:val="0"/>
                <w:sz w:val="25"/>
                <w:szCs w:val="24"/>
              </w:rPr>
            </w:pPr>
            <w:r>
              <w:rPr>
                <w:rFonts w:ascii="Times New Roman" w:hAnsi="Times New Roman"/>
                <w:color w:val="000000"/>
                <w:kern w:val="0"/>
                <w:sz w:val="25"/>
                <w:szCs w:val="24"/>
              </w:rPr>
              <w:t>2,120,359.83</w:t>
            </w:r>
          </w:p>
        </w:tc>
      </w:tr>
    </w:tbl>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13" w:name="_Toc239686455"/>
      <w:r>
        <w:rPr>
          <w:rFonts w:ascii="Times New Roman" w:hAnsi="Times New Roman"/>
          <w:sz w:val="30"/>
        </w:rPr>
        <w:lastRenderedPageBreak/>
        <w:t>十、基金的业绩</w:t>
      </w:r>
      <w:bookmarkEnd w:id="13"/>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基金业绩截止日为2025年09月30日，所载财务数据未经审计师审计。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（1）交银兴享一年持有期混合（FOF）A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7C59A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7C59A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3.08%</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r>
      <w:tr w:rsidR="007C59A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1.57%</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r>
      <w:tr w:rsidR="007C59A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7.78%</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-7.16%</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r>
      <w:tr w:rsidR="007C59A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-1.03%</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r w:rsidR="007C59A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-4.24%</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-5.19%</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0.95%</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7C59A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-0.69%</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bl>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（2）交银兴享一年持有期混合（FOF）C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7C59A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7C59A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10.90%</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3.08%</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7.82%</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r>
      <w:tr w:rsidR="007C59A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1.34%</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r>
      <w:tr w:rsidR="007C59A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7.78%</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-7.56%</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r>
      <w:tr w:rsidR="007C59A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r w:rsidR="007C59A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-4.61%</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-5.19%</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7C59A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bl>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7C59A8" w:rsidRDefault="004E6825">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交银施罗德兴享一年持有期混合型证券投资基金</w:t>
      </w:r>
    </w:p>
    <w:p w:rsidR="007C59A8" w:rsidRDefault="004E6825">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7C59A8" w:rsidRDefault="004E6825">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（2021年12月01日至2025年09月30日）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（1）交银兴享一年持有期混合（FOF）A</w:t>
      </w:r>
    </w:p>
    <w:p w:rsidR="007C59A8" w:rsidRDefault="00A47C1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（2）交银兴享一年持有期混合（FOF）C</w:t>
      </w:r>
    </w:p>
    <w:p w:rsidR="007C59A8" w:rsidRDefault="00A47C1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14" w:name="_Toc239686456"/>
      <w:r>
        <w:rPr>
          <w:rFonts w:ascii="Times New Roman" w:hAnsi="Times New Roman"/>
          <w:sz w:val="30"/>
        </w:rPr>
        <w:lastRenderedPageBreak/>
        <w:t>十一、基金的财产</w:t>
      </w:r>
      <w:bookmarkEnd w:id="14"/>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基金资产总值是指基金拥有的各类有价证券、证券投资基金份额、银行存款本息、基金应收款项及其他资产的价值总和。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基金账户以及投资所需的其他专用账户。开立的基金专用账户与基金管理人、基金托管人、基金销售机构和基金登记机构自有的财产账户以及其他基金财产账户相独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15" w:name="_Toc239686457"/>
      <w:r>
        <w:rPr>
          <w:rFonts w:ascii="Times New Roman" w:hAnsi="Times New Roman"/>
          <w:sz w:val="30"/>
        </w:rPr>
        <w:lastRenderedPageBreak/>
        <w:t>十二、基金资产的估值</w:t>
      </w:r>
      <w:bookmarkEnd w:id="15"/>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本基金的估值日为本基金相关的证券交易场所的交易日以及国家法律法规规定需要对外披露基金净值的非交易日。所投资基金的估值日是指该基金基金份额净值和基金份额累计净值的归属日。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基金所拥有的证券投资基金份额、股票、债券、资产支持证券和其他投资等持续以公允价值计量的金融资产及负债。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1、证券投资基金的估值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（1）本基金投资于非上市的非货币市场基金，按所投资基金估值日的份额净值进行估值；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（2）本基金投资于非上市的货币市场基金，按所投资基金前一估值日后至估值日期间（含节假日）的万份收益计提估值日基金收益；如所投资基金披露份额净值，则按所投资基金估值日的份额净值估值；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（3）本基金投资的ETF基金，按所投资ETF基金估值日的收盘价进行估值；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（4）本基金投资的上市开放式基金（LOF），按所投资基金估值日的份额净值估值；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（5）本基金投资的上市定期开放式基金、封闭式基金，按所投资基金估值日的收盘价估值；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的上市交易型货币市场基金，如所投资基金披露份额净值，则按所投资基金估值日的份额净值估值；如所投资基金披露万份（百份）收益，则按所投资基金前一估值日后至估值日期间（含节假日）的万份（百份）收益计提估值日基金收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（7）如遇所投资基金不公布基金份额净值、进行折算或拆分、估值日无交易等特殊情况，基金管理人根据以下原则进行估值：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以所投资基金的基金份额净值估值的，若所投资基金与本基金估值频率一致但未公布估值日基金份额净值，以其最近公布的基金份额净值估值；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收盘价估值的，若估值日无交易，且最近交易日后市场环境未发生重大变化，以最近交易日的收盘价估值；如最近交易日后市场环境发生了重大变化的，可使用最新的基金份额净值为基础或参考类似投资品种的现行市价及重大变化因素调整最近交易市价，确定公允价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如果所投资基金前一估值日至估值日期间发生分红除权、折算或拆分，基金管理人应根据基金份额净值或收盘价、单位基金份额分红金额、折算拆分比例、持仓份额等因素合理确定公允价值；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（8）当基金管理人认为所投资基金按上述第（1）至第（7）条进行估值存在不公允时，应与基金托管人协商一致采用合理的估值技术或估值标准确定其公允价值。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2、证券交易所上市的有价证券的估值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3、处于未上市期间的有价证券应区分如下情况处理：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5、估值计算中涉及港币对人民币汇率的，将依据下列信息提供机构所提供的汇率为基准：当日中国人民银行公布的人民币与港币的中间价。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估值日，基金资产净值除以当日该类估值日基金份额的余额数量计算，精确到0.0001元，小数点后第5位四舍五入。基金管理人可以设立大额赎回情形下的净值精度应急调整机制，具体可参见相关公告。国家另有规定的，从其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基金管理人于每个工作日分别计算A类基金份额、C类基金份额的基金资产净值及基金份额净值，并按规定公告。如遇特殊情况，经履行适当程序，可以适当延迟计算或公告。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w:t>
      </w:r>
      <w:r>
        <w:rPr>
          <w:rFonts w:ascii="宋体" w:hAnsi="宋体"/>
          <w:sz w:val="24"/>
        </w:rPr>
        <w:lastRenderedPageBreak/>
        <w:t>错误责任方应对更正的情况向有关当事人进行确认，确保估值错误已得到更正。</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（3）前述内容如法律法规或者监管部门另有规定的，从其规定。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1、基金投资所涉及的证券交易市场遇法定节假日或因其他原因暂停营业时；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3、由于本基金持有的相当比例的基金暂停估值，导致基金管理人无法计算当日基金资产净值；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5、法律法规、中国证监会和基金合同认定的其它情形。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工作日计算各类基金份额的基金资产净值和基金份额净值并发送给基金托管人。基金托管人对净值计算结果复核确认后发送给基金管理人，由基金管理人依据基金合同和相关法律法规的规定对基金净值予以公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16" w:name="_Toc239686458"/>
      <w:r>
        <w:rPr>
          <w:rFonts w:ascii="Times New Roman" w:hAnsi="Times New Roman"/>
          <w:sz w:val="30"/>
        </w:rPr>
        <w:lastRenderedPageBreak/>
        <w:t>十三、基金收益与分配</w:t>
      </w:r>
      <w:bookmarkEnd w:id="16"/>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投资者红利再投资所得基金份额不受最短持有期限制；若投资者不选择，本基金默认的收益分配方式是现金分红；基金份额持有人可对其持有的A类基金份额和C类基金份额分别选择不同的收益分配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4、由于本基金A类基金份额不收取销售服务费，C类基金份额收取销售服务费，各基金份额类别对应的可供分配利润将有所不同；本基金同一类别的每份基金份额享有同等分配权；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（六）基金收益分配中发生的费用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17" w:name="_Toc239686459"/>
      <w:r>
        <w:rPr>
          <w:rFonts w:ascii="Times New Roman" w:hAnsi="Times New Roman"/>
          <w:sz w:val="30"/>
        </w:rPr>
        <w:lastRenderedPageBreak/>
        <w:t>十四、基金的费用与税收</w:t>
      </w:r>
      <w:bookmarkEnd w:id="17"/>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6、基金的证券、基金交易费用；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10、本基金投资其他基金产生的其他基金的销售费用（如申购费、赎回费、销售服务费等），但法律法规禁止从基金财产中列支的除外；</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11、因投资港股通标的股票而产生的各项合理费用；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12、按照国家有关规定和《基金合同》约定，可以在基金财产中列支的其他费用。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管理人自身管理的基金部分不收取管理费。本基金的管理费按前一日基金资产净值扣除基金财产中持有的基金管理人自身管理的基金部分所对应资产后剩余部分的0.8%年费率计提。管理费的计算方法如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H＝E×0.8%÷当年天数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E为前一日的基金资产净值扣除基金财产中持有的基金管理人自身管理的基金部分所对应资产后剩余部分，若为负数，则E取0。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算，按月支付，由基金管理人向基金托管人发送划款指令，由基金托管人复核后于次月首日起第3个工作日从基金财产中一次性支付给基金管理人，若遇法定节假日、休息日或不可抗力致使无法按时支付的，支付日期顺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（2）基金托管人的托管费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托管人自身托管的基金部分不收取托管费。本基金的托管费按前一日基金资产净值扣除基金财产中持有的基金托管人自身托管的基金部分所对应资产后剩余部分的0.15%的年费率计提。托管费的计算方法如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H＝E×0.15%÷当年天数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E为前一日的基金资产净值扣除基金财产中持有的基金托管人自身托管的基金部分所对应资产后剩余部分，若为负数，则E取0。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算，按月支付，由基金管理人向基金托管人发送划款指令，由基金托管人复核后于次月首日起第3个工作日从基金财产中一次性支取。若遇法定节假日、休息日或不可抗力致使无法按时支付的，支付日期顺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本基金A类基金份额不收取销售服务费，C类基金份额的销售服务费按前一日C类基金资产净值的0.4%年费率计提。计算方法如下：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按月支付，由基金管理人向基金托管人发送划款指令，由基金托管人复核后于次月首日起第3个工作日从基金财产中一次性支付给基金管理人，由基金管理人代付给销售机构。若遇法定节假日、休息日或不可抗力致使无法按时支付的，支付日期顺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（4）上述“（一）基金费用的种类”中第3－8项，第10－11项费用，根据有关法规及相应协议规定，按费用实际支出金额列入当期费用，由基金托管人从基金财产中支付。</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2、与基金销售有关的费用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18" w:name="_Toc239686460"/>
      <w:r>
        <w:rPr>
          <w:rFonts w:ascii="Times New Roman" w:hAnsi="Times New Roman"/>
          <w:sz w:val="30"/>
        </w:rPr>
        <w:lastRenderedPageBreak/>
        <w:t>十五、基金的会计与审计</w:t>
      </w:r>
      <w:bookmarkEnd w:id="18"/>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19" w:name="_Toc239686461"/>
      <w:r>
        <w:rPr>
          <w:rFonts w:ascii="Times New Roman" w:hAnsi="Times New Roman"/>
          <w:sz w:val="30"/>
        </w:rPr>
        <w:lastRenderedPageBreak/>
        <w:t>十六、基金的信息披露</w:t>
      </w:r>
      <w:bookmarkEnd w:id="19"/>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招募说明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《基金合同》生效后，在开始办理基金份额申购或者赎回前，基金管理人应当至少每周在规定网站分别披露一次A类基金份额和C类基金份额所对应的基金份额净值和基金份额累计净值。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后的2个工作日内，通过规定网站、基金销售机构网站或者营业网点，分别披露开放日的A类基金份额和C类基金份额所对应的基金份额净值和基金份额累计净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基金管理人应当在不晚于半年度和年度最后一日后的2个工作日内，在规定网站披露半年度和年度最后一日A类基金份额和C类基金份额所对应的基金份额净值和基金份额累计净值。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7、临时报告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w:t>
      </w:r>
      <w:r>
        <w:rPr>
          <w:rFonts w:ascii="宋体" w:hAnsi="宋体"/>
          <w:sz w:val="24"/>
        </w:rPr>
        <w:lastRenderedPageBreak/>
        <w:t>方式和费率发生变更；</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（25）《基金合同》生效后，连续30、40、45个工作日出现基金份额持有人数量不满200人或者基金资产净值低于5000万元情形，基金管理人应当发布提示性公告；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13、基金投资证券投资基金情况</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定期报告和招募说明书（更新）中应设立专门章节披露所持基金的相关情况并揭示相关风险：（1）投资策略、持仓情况、损益情况、净值披露时间等；（2）交易及持有基金产生的费用，包括申购费、赎回费、销售服务费、管理费、托管费等，在招募说明书（更新）中列明计算方法并举例说明；（3）持有的基金发生的重大影响事件，如转换运作方式、与其他基金合并、终止基金合同以及召开基金份额持有人大会等；（4）本基金投资于基金管理人以及基金管理人关联方所管理基金的情况。</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w:t>
      </w:r>
      <w:r>
        <w:rPr>
          <w:rFonts w:ascii="宋体" w:hAnsi="宋体"/>
          <w:sz w:val="24"/>
        </w:rPr>
        <w:lastRenderedPageBreak/>
        <w:t>基金定期报告、更新的招募说明书、基金产品资料概要、基金清算报告等相关基金信息进行复核、审查，并向基金管理人进行书面或电子确认。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基金管理人、基金托管人应当在规定报刊中选择一家报刊披露本基金信息。基金管理人、基金托管人应当向中国证监会基金电子披露网站报送拟披露的基金信息，并保证相关报送信息的真实、准确、完整、及时。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20" w:name="_Toc239686462"/>
      <w:r>
        <w:rPr>
          <w:rFonts w:ascii="Times New Roman" w:hAnsi="Times New Roman"/>
          <w:sz w:val="30"/>
        </w:rPr>
        <w:lastRenderedPageBreak/>
        <w:t>十七、侧袋机制</w:t>
      </w:r>
      <w:bookmarkEnd w:id="20"/>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7C59A8" w:rsidRDefault="004E6825">
      <w:pPr>
        <w:pStyle w:val="1"/>
        <w:snapToGrid w:val="0"/>
        <w:spacing w:beforeLines="0" w:before="240" w:after="240"/>
        <w:rPr>
          <w:rFonts w:ascii="宋体" w:hAnsi="宋体"/>
          <w:szCs w:val="30"/>
        </w:rPr>
      </w:pPr>
      <w:bookmarkStart w:id="21" w:name="_Toc239686463"/>
      <w:r>
        <w:rPr>
          <w:rFonts w:ascii="Times New Roman" w:hAnsi="Times New Roman"/>
          <w:sz w:val="30"/>
        </w:rPr>
        <w:lastRenderedPageBreak/>
        <w:t>十八、风险揭示</w:t>
      </w:r>
      <w:bookmarkEnd w:id="21"/>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基金中基金等不同类型，基金中基金进一步分为股票型基金中基金、混合型基金中基金、债券型基金中基金、货币型基金中基金等不同类型，投资人投资不同类型的基金将获得不同的收益预期，也将承担不同程度的风险。一般来说，基金的收益预期越高，投资人承担的风险也越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w:t>
      </w:r>
      <w:r>
        <w:rPr>
          <w:rFonts w:ascii="宋体" w:hAnsi="宋体"/>
          <w:sz w:val="24"/>
        </w:rPr>
        <w:lastRenderedPageBreak/>
        <w:t>构成对本基金业绩表现的保证。基金管理人提醒投资人基金投资的“买者自负”原则，在做出投资决策后，基金运营状况与基金净值变化引致的投资风险，由投资人自行负担。</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本基金属于开放式基金，但设置最短持有期，基金份额持有人持有的每份基金</w:t>
      </w:r>
      <w:r>
        <w:rPr>
          <w:rFonts w:ascii="宋体" w:hAnsi="宋体"/>
          <w:sz w:val="24"/>
        </w:rPr>
        <w:lastRenderedPageBreak/>
        <w:t>份额最短持有期限为一年，对于满足持有期限的投资人，基金管理人在每个开放日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业务，具体业务办理时间在申购开始公告中规定。基金管理人自基金合同生效之日起一年后年度对日（含该日）开始办理赎回，具体业务办理时间在赎回开始公告中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一年的基金份额数量，则基金份额持有人的赎回申请将全部被予以拒绝。基金份额持有人需承担赎回申请失败的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基金中基金，投资于公开募集证券投资基金的基金份额的资产不低于基金资产的80%，主要投资对象为具有良好流动性的金融工具，同时本基金基于分散投资的原则在行业和个券方面未有高集中度的特征，综合评估在正常市场环境下本基金的流动性风险适中。</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w:t>
      </w:r>
      <w:r>
        <w:rPr>
          <w:rFonts w:ascii="宋体" w:hAnsi="宋体"/>
          <w:sz w:val="24"/>
        </w:rPr>
        <w:lastRenderedPageBreak/>
        <w:t>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混合型基金中基金，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w:t>
      </w:r>
      <w:r>
        <w:rPr>
          <w:rFonts w:ascii="宋体" w:hAnsi="宋体"/>
          <w:sz w:val="24"/>
        </w:rPr>
        <w:lastRenderedPageBreak/>
        <w:t>金资产的比例均在60%以上的混合型基金）的资产合计占基金资产的比例为0%-45%。因此本基金所持有的基金的业绩表现、持有基金的基金管理人水平等因素将影响到本基金的基金业绩表现。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6、本基金为基金中基金，本基金可投资于商品基金，因此将间接承担商品基金可能面临的商品价格波动风险、投资商品期货合约的风险、盯市风险等商品投资风险。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w:t>
      </w:r>
      <w:r>
        <w:rPr>
          <w:rFonts w:ascii="宋体" w:hAnsi="宋体"/>
          <w:sz w:val="24"/>
        </w:rPr>
        <w:lastRenderedPageBreak/>
        <w:t>该笔申购份额确认日（含该日）至一年后年度对日的前一日。因此，对于基金份额持有人而言，存在投资本基金后一年内无法赎回的风险。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8、本基金可投资创业板股票，创业板个股上市后的前五个交易日不设价格涨跌幅限制，第六个交易日开始涨跌幅限制比例为20%。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（六）投资资产支持证券的特定风险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（七）投资流通受限证券的特定风险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（八）基金合同提前终止风险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连续50个工作日出现基金份额持有人数量不满200人或基金资产净值低于5000万元情形时，基金合同终止，不需召开基金份额持有人大会。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（九）投资港股通标的股票的特定风险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w:t>
      </w:r>
      <w:r>
        <w:rPr>
          <w:rFonts w:ascii="宋体" w:hAnsi="宋体"/>
          <w:sz w:val="24"/>
        </w:rPr>
        <w:lastRenderedPageBreak/>
        <w:t>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香港出现台风、黑色暴雨或者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w:t>
      </w:r>
      <w:r>
        <w:rPr>
          <w:rFonts w:ascii="宋体" w:hAnsi="宋体"/>
          <w:sz w:val="24"/>
        </w:rPr>
        <w:lastRenderedPageBreak/>
        <w:t>股通股票权益分派、转换或者上市公司被收购等所取得的非香港联合交易所上市证券，不得通过港股通买入或卖出；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（十）投资科创板股票的特定风险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w:t>
      </w:r>
      <w:r>
        <w:rPr>
          <w:rFonts w:ascii="宋体" w:hAnsi="宋体"/>
          <w:sz w:val="24"/>
        </w:rPr>
        <w:lastRenderedPageBreak/>
        <w:t>环节，上市公司退市风险更大。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（十一）投资存托凭证的特定风险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（十二）本基金法律文件风险收益特征表述与销售机构基金风险评价可能不一致的风险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（十三）其他风险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1、因技术因素而产生的风险，如电脑系统不可靠产生的风险；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22" w:name="_Toc239686464"/>
      <w:r>
        <w:rPr>
          <w:rFonts w:ascii="Times New Roman" w:hAnsi="Times New Roman"/>
          <w:sz w:val="30"/>
        </w:rPr>
        <w:lastRenderedPageBreak/>
        <w:t>十九、基金合同的变更、终止与基金财产的清算</w:t>
      </w:r>
      <w:bookmarkEnd w:id="22"/>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23" w:name="_Toc239686465"/>
      <w:r>
        <w:rPr>
          <w:rFonts w:ascii="Times New Roman" w:hAnsi="Times New Roman"/>
          <w:sz w:val="30"/>
        </w:rPr>
        <w:lastRenderedPageBreak/>
        <w:t>二十、基金合同内容摘要</w:t>
      </w:r>
      <w:bookmarkEnd w:id="23"/>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12）依照法律法规为基金的利益对被投资公司行使股东权利，为基金的利益行使因基金财产投资所产生的权利；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17）以基金管理人的名义，参与本基金持有的基金所召开的基金份额持有人大会；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18）法律法规及中国证监会规定的和《基金合同》约定的其他权利。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5）建立健全内部风险控制、监察与稽核、财务管理及人事管理等制度，保证所管理的基金财产和基金管理人的财产相互独立，对所管理的不同基金分别管理，分别记账，进行证券、基金投资；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w:t>
      </w:r>
      <w:r>
        <w:rPr>
          <w:rFonts w:ascii="宋体" w:hAnsi="宋体"/>
          <w:sz w:val="24"/>
        </w:rPr>
        <w:lastRenderedPageBreak/>
        <w:t>配基金收益；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w:t>
      </w:r>
      <w:r>
        <w:rPr>
          <w:rFonts w:ascii="宋体" w:hAnsi="宋体"/>
          <w:sz w:val="24"/>
        </w:rPr>
        <w:lastRenderedPageBreak/>
        <w:t>于：</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4）根据相关市场规则，为基金开设资金账户、证券账户、基金账户等投资所需账户、为基金办理基金、证券交易资金清算；</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6）按规定开设基金财产的资金账户、证券账户、基金账户等投资所需账户，按照《基金合同》的约定，根据基金管理人的投资指令，及时办理清算、交割事宜；</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8）复核、审查基金管理人计算的基金资产净值、基金份额净值、基金份额申购、赎回价格；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12）从基金管理人或其委托的登记机构处接收并保存基金份额持有人名册；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w:t>
      </w:r>
      <w:r>
        <w:rPr>
          <w:rFonts w:ascii="宋体" w:hAnsi="宋体"/>
          <w:sz w:val="24"/>
        </w:rPr>
        <w:lastRenderedPageBreak/>
        <w:t>《基金合同》的当事人，直至其不再持有本基金的基金份额。基金份额持有人作为《基金合同》当事人并不以在《基金合同》上书面签章或签字为必要条件。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w:t>
      </w:r>
      <w:r>
        <w:rPr>
          <w:rFonts w:ascii="宋体" w:hAnsi="宋体"/>
          <w:sz w:val="24"/>
        </w:rPr>
        <w:lastRenderedPageBreak/>
        <w:t>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w:t>
      </w:r>
      <w:r>
        <w:rPr>
          <w:rFonts w:ascii="宋体" w:hAnsi="宋体"/>
          <w:sz w:val="24"/>
        </w:rPr>
        <w:lastRenderedPageBreak/>
        <w:t>不需召开基金份额持有人大会：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（3）基金合同生效后的存续期内，若连续50个工作日出现基金份额持有人数量不满200人或者基金资产净值低于5000万元情形，基金合同终止，不需召开基金份额持有人大会。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w:t>
      </w:r>
      <w:r>
        <w:rPr>
          <w:rFonts w:ascii="宋体" w:hAnsi="宋体"/>
          <w:sz w:val="24"/>
        </w:rPr>
        <w:lastRenderedPageBreak/>
        <w:t>当配合；</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w:t>
      </w:r>
      <w:r>
        <w:rPr>
          <w:rFonts w:ascii="宋体" w:hAnsi="宋体"/>
          <w:sz w:val="24"/>
        </w:rPr>
        <w:lastRenderedPageBreak/>
        <w:t>方式和联系人、表决意见寄交的截止时间和收取方式。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基金份额持有人大会不得对未事先公告的议事内容进行表决。</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w:t>
      </w:r>
      <w:r>
        <w:rPr>
          <w:rFonts w:ascii="宋体" w:hAnsi="宋体"/>
          <w:sz w:val="24"/>
        </w:rPr>
        <w:lastRenderedPageBreak/>
        <w:t>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w:t>
      </w:r>
      <w:r>
        <w:rPr>
          <w:rFonts w:ascii="宋体" w:hAnsi="宋体"/>
          <w:sz w:val="24"/>
        </w:rPr>
        <w:lastRenderedPageBreak/>
        <w:t>其规定。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基金召开基金份额持有人大会时，本基金的基金管理人应当代表其份额持有人的利益，根据本基金合同的约定参与所持有基金的份额持有人大会，并在遵循本基金基金份额持有人利益优先原则的前提下行使相关投票权利。基金管理人需将表决意见事先征求基金托管人的意见，并将表决意见在定期报告中予以披露。</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法律法规对于本基金参与本基金持有的基金召开基金份额持有人大会的程序或要求另有规定的，从其规定。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10、实施侧袋机制期间基金份额持有人大会的特殊约定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w:t>
      </w:r>
      <w:r>
        <w:rPr>
          <w:rFonts w:ascii="宋体" w:hAnsi="宋体"/>
          <w:sz w:val="24"/>
        </w:rPr>
        <w:lastRenderedPageBreak/>
        <w:t>与基金份额持有人大会投票；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3、基金财产的清算</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w:t>
      </w:r>
      <w:r>
        <w:rPr>
          <w:rFonts w:ascii="宋体" w:hAnsi="宋体"/>
          <w:sz w:val="24"/>
        </w:rPr>
        <w:lastRenderedPageBreak/>
        <w:t>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由败诉方承担。</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24" w:name="_Toc239686466"/>
      <w:r>
        <w:rPr>
          <w:rFonts w:ascii="Times New Roman" w:hAnsi="Times New Roman"/>
          <w:sz w:val="30"/>
        </w:rPr>
        <w:lastRenderedPageBreak/>
        <w:t>二十一、托管协议的内容摘要</w:t>
      </w:r>
      <w:bookmarkEnd w:id="24"/>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名称：兴业银行股份有限公司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住所：福建省福州市湖东路154号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法定代表人：陶以平（代为履行法定代表人职权）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成立时间：1988年8月22日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基金托管业务批准文号：证监基金字[2005]74号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注册资本：207.74亿元人民币</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批准设立机关及批准设立文号:中国人民银行总行,银复[1988]347号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代理发行股票以外的有价证券；买卖、代理买卖股票以外的有价证券；资产托管业务；从事同业拆借；买卖、代理买卖外汇；结汇、售汇业务；从事银行卡业务；提供信用证服务及担保；代理收付款项及代理保险业务；提供保管箱服务；财务顾问、资信调查、咨询、见证业务；经中国银行业监督管理机构批</w:t>
      </w:r>
      <w:r>
        <w:rPr>
          <w:rFonts w:ascii="宋体" w:hAnsi="宋体"/>
          <w:sz w:val="24"/>
        </w:rPr>
        <w:lastRenderedPageBreak/>
        <w:t>准的其他业务。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021-52629999</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 021-62152155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托管人运用相关技术系统，对基金实际投资是否符合基金合同的约定进行监督，对存在疑义的事项进行核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-45%；投资于港股通标的股票的比例占股票资产的0%-50%；本基金持有的现金或者投资于到期日在一年以内的政府债券的比例合计不低于基金资产净值的5%，其中现金不包括结算备付金、存出保证金、应收申购款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2、基金托管人根据有关法律法规的规定及基金合同的约定，对基金投资比例进行监督。基金托管人按下述比例和调整期限进行监督：</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-45%；投资于港股通标的股票的比例占股票资产的0%-50%；投资于货币市场基金的比例不得超过基金资产的15%；</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（7）本基金投资于封闭运作基金、定期开放基金等流通受限基金的，其公允价值不得超过本基金资产净值的10%；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（8）基金管理人运用本基金财产投资于股票、债券等金融工具的，投资品种和比例应当符合本基金的投资目标和投资策略；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（9）本基金持有一家公司发行的证券（同一家公司在内地和香港同时上市的A+H股合并计算，不含本基金所投资的基金份额），其市值不超过基金资产净值的10%；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基金持有一家公司发行的证券（同一家公司在内地和香港同时上市的A+H股合并计算，不含本基金所投资的基金份额），不超过该证券的10%，完全按照有关指数的构成比例进行证券投资的基金品种可以不受此条款规定的比例限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w:t>
      </w:r>
      <w:r>
        <w:rPr>
          <w:rFonts w:ascii="宋体" w:hAnsi="宋体"/>
          <w:sz w:val="24"/>
        </w:rPr>
        <w:lastRenderedPageBreak/>
        <w:t>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（14）本基金投资于同一原始权益人的各类资产支持证券的比例，不得超过基金资产净值的10%；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（15）本基金持有的全部资产支持证券，其市值不得超过基金资产净值的20%；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（16）本基金持有的同一（指同一信用级别）资产支持证券的比例，不得超过该资产支持证券规模的10%；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（17）本基金管理人管理的全部基金投资于同一原始权益人的各类资产支持证券，不得超过其各类资产支持证券合计规模的10%；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（18）本基金应投资于信用级别评级为BBB以上（含BBB）的资产支持证券。基金持有资产支持证券期间，如果其信用等级下降、不再符合投资标准，应在评级报告发布之日起3个月内予以全部卖出；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（19）基金财产参与股票发行申购，本基金所申报的金额不超过本基金的总资产，本基金所申报的股票数量不超过拟发行股票公司本次发行股票的总量；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（20）本基金进入全国银行间同业市场进行债券回购的资金余额不得超过基金资产净值的40%，进入全国银行间同业市场进行债券回购的最长期限为1年，债券回购到期后不得展期；</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（21）本基金资产总值不超过基金资产净值的140%；</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w:t>
      </w:r>
      <w:r>
        <w:rPr>
          <w:rFonts w:ascii="宋体" w:hAnsi="宋体"/>
          <w:sz w:val="24"/>
        </w:rPr>
        <w:lastRenderedPageBreak/>
        <w:t>生流动性限制、暂停申购、赎回或二级市场交易停牌等基金管理人之外的因素致使本基金投资比例不符合上述第（3）项、第（4）项规定投资比例的，基金管理人应当在20个交易日内进行调整；对于第（2）项、第（3）项、第（4）项、第（12）项、第（13）项及第（18）项以外的其他情形，基金管理人应当在10个交易日内进行调整，但中国证监会规定的特殊情形除外。法律法规另有规定的，从其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基金托管人对基金投资的监督和检查自基金合同生效之日起开始。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根据法律法规的规定及基金合同的约定，基金财产不得用于下列投资或者活动：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法律、行政法规或监管部门取消或调整上述限制，如适用于本基金，基金管理</w:t>
      </w:r>
      <w:r>
        <w:rPr>
          <w:rFonts w:ascii="宋体" w:hAnsi="宋体"/>
          <w:sz w:val="24"/>
        </w:rPr>
        <w:lastRenderedPageBreak/>
        <w:t>人在履行适当程序后，则本基金投资不受上述限制或按调整后的规定执行。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如基金管理人在基金投资运作之前未向基金托管人提供银行间债券市场交易对手名单的，视为基金管理人认可全市场交易对手。基金管理人可以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与基金托管人协商解决。</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基金托管人不承担由此造成的任何法律责任及损失。若未履约的交易对手在基金托管人与基金管理人确定的时间前仍未承担违约责任及其他相关法律责任的，基金管理人有权向相关交易对手追偿，基金托管人应予以必要的协助与配合。基金托管人根据银行间债券市场成交单对本基金银行间债券交易的交易对手及其结算方式进行监督。如基金托管人事后发现基金管理人没有按照事先约定的交易对手或交易方式进行交易时，基金托管人应及时书面或以双方认可的其他方式提醒基金管理人，经提醒后仍未改正时造成基金财产损失的，基金托管人不承担由此造成的相应损失和责任。如果基金托管人未能切实履行监督职责，导致基金出现风险或造成基金资产损失的，基金托管人应承担相应责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5、基金托管人对基金投资银行存款进行监督。</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与存款银行建立定期对账机制，确保基金银行存款业务账目及核算的真实、准确。基金管理人应当按照有关法规规定，与存款机构签订相关书面协议。基金托管人应根据有关相关法规及协议对基金银行存款业务进行监督与核查，严格审查、复核相关协议、账户资料、投资指令、存款证实书等有关文件，切实履行托管职责。</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基金管理人与基金托管人在开展基金存款业务时，应严格遵守《基金法》、《运作办法》等有关法律法规，以及国家有关账户管理、利率管理、支付结算等的各项规定。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存款的，基金管理人应根据法律法规的规定及基金合同的约定，确定符合条件的所有存款银行的名单，并及时提供给基金托管人，基金托管人应据以对基金投资银行存款的交易对手是否符合有关规定进行监督。如基金管理人在基金投资运作之前未向基金托管人提供存款银行名单的，视为基金管理人认可所有银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6、基金托管人根据有关法律法规的规定及基金合同的约定，对基金投资流通受限证券进行监督。</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与上文所述的流动性受限资产的范围并不完全一致，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等规章制度并提交给基金托管人。基金管理人应当根据基金的投资风格和流动性的需要合理安排流通受限证券的投资比例，并在相关制度中明确具体比例，避免基金出现流动性风险。基金投资非公开发行股票，基金管理人还应提供流动性风险处置预案。上述资料应包括但不限于基金投资流通受限证券的投资额度和投资比例控制情况。</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流通受限证券的相关信息，具体应当包括但不限于如下文件(如有)：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（5）基金管理人应在本基金投资非公开发行股票后两个交易日内，在中国证监会规定媒介披露所投资非公开发行股票的名称、数量、总成本、账面价值，以及</w:t>
      </w:r>
      <w:r>
        <w:rPr>
          <w:rFonts w:ascii="宋体" w:hAnsi="宋体"/>
          <w:sz w:val="24"/>
        </w:rPr>
        <w:lastRenderedPageBreak/>
        <w:t>总成本和账面价值占基金资产净值的比例、锁定期等信息。</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应对基金管理人是否遵守法律法规、投资决策流程、风险控制制度、流动性风险处置预案情况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备查资料的权利。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（7）相关法律法规对基金投资流通受限证券有新规定的，从其规定。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7、基金托管人依据有关法律法规的规定、基金合同和本托管协议的约定对于基金关联交易进行监督。</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本基金的投资目标和投资策略，遵循基金份额持有人利益优先原则，防范利益冲突，建立健全内部审批机制和评估机制，按照市场公平合理价格执行。相关交易必须事先得到基金托管人同意，并按法律法规予以披露。重大关联交易应提交基金管理人董事会审议，并经过三分之二以上的独立董事通过。基金管理人董事会应至少每半年对关联交易事项进行审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实际控制人或者与其有重大利害关系的公司名单及有关关联方发行的证券名单，书面提交，并确保所提供的关联交易名单的真实性、完整性、全面性。基金管理人及基金托管人有责任保管真实、完整、全面的关联交易名单，并负责及时更新该名单。名单变更后基金管理人及基金托管人应及时发送另一方，另一方于2个工作日内进行回函确认已知名单的变更。一方收到另一方书面确认后，新的关联交易名单开始生效。</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资产净值计算、基金份额净值、应收资金到账、基金费用开支及收入确定、基金收益分配、相关信息披露、基金宣传推介材料中登载基金业绩表现数据等进行监督和核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9、基金托管人发现基金管理人的上述事项及投资指令或实际投资运作违反法</w:t>
      </w:r>
      <w:r>
        <w:rPr>
          <w:rFonts w:ascii="宋体" w:hAnsi="宋体"/>
          <w:sz w:val="24"/>
        </w:rPr>
        <w:lastRenderedPageBreak/>
        <w:t>律法规、基金合同和本托管协议的规定，应及时以电话提醒或书面提示等方式通知基金管理人限期纠正。</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如果基金托管人未能切实履行监督职责，导致基金出现风险或造成基金资产损失的，基金托管人应承担相应责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10、基金管理人有义务配合和协助基金托管人依照法律法规、基金合同和本托管协议对基金业务执行核查。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11、若基金托管人发现基金管理人依据交易程序已经生效的指令违反法律、行政法规和其他有关规定，或者违反基金合同约定的，应当立即以书面或以双方认可的其他方式通知基金管理人。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但不限于基金托管人安全保管基金财产、开设基金财产的资金账户、证券账户、基金账户等投资所需账户、及时、准确复核基金管理人计算的基金资产净值、基金份额净值，根据基金管理人指令办理清算交收且如遇到问题应及时反馈、相关信息披露和监督基金投资运作是否对非公开信息保密等行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基金管理人定期和不定期地对基金托管人保管的基金资产进行核查。基金托管</w:t>
      </w:r>
      <w:r>
        <w:rPr>
          <w:rFonts w:ascii="宋体" w:hAnsi="宋体"/>
          <w:sz w:val="24"/>
        </w:rPr>
        <w:lastRenderedPageBreak/>
        <w:t>人应积极配合基金管理人的核查行为，包括但不限于：提交相关资料以供基金管理人核查托管财产的完整性和真实性，在规定时间内答复基金管理人并改正。</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前及时核对并以书面形式给基金管理人发出回函，说明违规原因，并保证在规定期限内及时改正。在上述规定期限内，基金管理人有权随时对通知事项进行复查, 督促基金托管人改正。基金托管人应积极配合基金管理人的核查行为，包括但不限于：提交相关资料以供基金管理人核查托管财产的完整性和真实性，在规定时间内答复基金管理人并改正等。基金管理人有权要求基金托管人赔偿基金因此所遭受的损失。</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和银行业监督管理机构，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（2）基金托管人应安全保管基金财产。未经基金管理人的正当指令，不得自行运用、处分、分配基金的任何财产。如果基金财产在基金托管人保管期间损坏、灭失的，应由该基金托管人承担赔偿责任。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（3）基金托管人按照规定开设基金财产的资金账户、证券账户、基金账户和债券托管账户等投资所需账户。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（5）基金托管人根据基金管理人的指令，按照法律法规的规定、基金合同和本协议的约定保管基金财产。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（6）对于因为基金投资产生的应收资产和基金认购、申购过程中产生的应收资产，如基金托管人无法从公开信息或基金管理人提供的书面资料中获取到账日期</w:t>
      </w:r>
      <w:r>
        <w:rPr>
          <w:rFonts w:ascii="宋体" w:hAnsi="宋体"/>
          <w:sz w:val="24"/>
        </w:rPr>
        <w:lastRenderedPageBreak/>
        <w:t>信息的，应由基金管理人负责与有关当事人确定到账日期并通知基金托管人，到账日基金财产没有到达基金账户的，基金托管人应及时通知并配合基金管理人采取措施进行催收。由此给基金财产造成损失的，基金管理人应负责向有关当事人追偿基金的损失，基金托管人对此不承担任何责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（1）基金募集期间募集的资金应存于基金管理人开立的“基金募集专户”。该账户由基金管理人或基金管理人委托的登记机构开立并管理。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提前结束募集时，募集的基金份额总额、基金募集金额、基金份额持有人人数符合《基金法》、《运作办法》、基金合同等有关规定后，基金管理人应将属于基金财产的全部资金划入基金托管人为本基金开立的基金银行账户，基金托管人在收到资金当日出具相关证明文件，基金管理人在规定时间内，聘请符合《中华人民共和国证券法》规定的会计师事务所进行验资，出具验资报告，验资报告中需对基金募集的资金进行确认。出具的验资报告由参加验资的2名或2名以上中国注册会计师签章方为有效。</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（3）若基金募集期限届满，未能达到基金合同生效的条件，由基金管理人按规定办理退款等事宜，基金托管人应提供充分协助。</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（1）基金托管人应负责本基金的银行账户的开设和管理。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可以本基金的名义在其营业机构开设本基金的银行账户，并根据基金管理人合法合规的指令办理资金收付。账户的名称应当包含本基金名称，具体名称以实际开立为准。本基金的一切货币收支活动，包括但不限于投资、支付赎回金额、支付基金收益、收取申购款，均需通过本基金的银行账户进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（3）基金银行账户的开立和使用，限于满足开展本基金业务的需要。基金托管人和基金管理人不得假借本基金的名义开立任何其他银行账户；亦不得使用基金的任何账户进行本基金业务以外的活动。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（4）基金银行账户的开立和管理应符合相关法律法规的有关规定。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4、基金证券交收账户和结算备付金账户的开立和管理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w:t>
      </w:r>
      <w:r>
        <w:rPr>
          <w:rFonts w:ascii="宋体" w:hAnsi="宋体"/>
          <w:sz w:val="24"/>
        </w:rPr>
        <w:lastRenderedPageBreak/>
        <w:t>为基金开立基金托管人与本基金联名的证券账户，账户名称以实际开立为准。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以本基金的名义在基金托管人托管系统中开立二级结算备付金账户，并代表所托管的基金完成与中国证券登记结算有限责任公司的一级法人清算工作，基金管理人应予以积极协助。结算备付金的收取按照中国证券登记结算有限责任公司的规定执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生效日之后允许基金从事其他投资品种的投资业务，涉及相关账户的开设、使用的，按有关规定开设、使用并管理；若无相关规定，则基金托管人应当比照并遵守上述关于账户开设、使用的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5、债券托管账户的开设和管理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管理人代表基金向中国人民银行申请备案，再由基金托管人根据中国人民银行、中央国债登记结算有限责任公司的有关规定，在中央国债登记结算有限责任公司、银行间市场清算所股份有限公司开立债券托管与结算账户，并代表基金进行银行间市场债券的结算。基金管理人代表基金签订中国银行间市场债券回购交易主协议。</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（1）因业务发展需要而开立的其他账户，可以根据法律法规和基金合同的规定，在基金管理人和基金托管人商议后由基金托管人负责开立。新账户按有关规则使用并管理。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基金财产投资的有关实物证券、银行定期存款证实书等有价凭证由基金托管人负责妥善保管，保管凭证由基金托管人持有，其中实物证券由基金托管人存放于托</w:t>
      </w:r>
      <w:r>
        <w:rPr>
          <w:rFonts w:ascii="宋体" w:hAnsi="宋体"/>
          <w:sz w:val="24"/>
        </w:rPr>
        <w:lastRenderedPageBreak/>
        <w:t>管银行的保管库，应与非本基金的其他实物证券分开保管；也可存入登记结算机构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及其他基金财产不承担保管责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相关业务程序另有限制除外。除协议另有规定外，基金管理人在代表基金签署与基金有关的重大合同时应保证基金一方持有两份以上的正本，以便基金管理人和基金托管人至少各持有一份正本的原件。基金管理人应在重大合同签署后及时以加密方式或双方同意的其他方式将重大合同传真给基金托管人，并在10个工作日内将正本送达基金托管人处。重大合同的保管期限为基金合同终止后不低于法律法规规定的最低期限。对于无法取得二份以上的正本的，基金管理人应向基金托管人提供加盖授权业务章的合同传真件，未经双方协商或未在合同约定范围内，合同原件不得转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（五）基金资产净值计算和会计核算</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1、基金资产净值的计算及复核程序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基金资产净值是指基金资产总值减去负债后的金额。</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估值日，基金资产净值除以当日该类估值日基金份额的余额数量计算，精确到0.0001元，小数点后第5位四舍五入。基金管理人可以设立大额赎回情形下的净值精度应急调整机制，具体可参见相关公告。国家另有规定的，从其规定。</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基金管理人于每个工作日分别计算A类基金份额、C类基金份额的基金资产净值及基金份额净值，并按规定公告。如遇特殊情况，经履行适当程序，可以适当延迟计算或公告。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w:t>
      </w:r>
      <w:r>
        <w:rPr>
          <w:rFonts w:ascii="宋体" w:hAnsi="宋体"/>
          <w:sz w:val="24"/>
        </w:rPr>
        <w:lastRenderedPageBreak/>
        <w:t>金合同和相关法律法规的规定对外公布。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基金所拥有的证券投资基金份额、股票、债券、资产支持证券和其他投资等持续以公允价值计量的金融资产及负债。</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1）证券投资基金的估值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a.本基金投资于非上市的非货币市场基金，按所投资基金估值日的份额净值进行估值；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b.本基金投资于非上市的货币市场基金，按所投资基金前一估值日后至估值日期间（含节假日）的万份收益计提估值日基金收益；如所投资基金披露份额净值，则按所投资基金估值日的份额净值估值；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c.本基金投资的ETF基金，按所投资ETF基金估值日的收盘价进行估值；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d.本基金投资的上市开放式基金（LOF），按所投资基金估值日的份额净值估值；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e.本基金投资的上市定期开放式基金、封闭式基金，按所投资基金估值日的收盘价估值；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本基金投资的上市交易型货币市场基金，如所投资基金披露份额净值，则按所投资基金估值日的份额净值估值；如所投资基金披露万份（百份）收益，则按所投资基金前一估值日后至估值日期间（含节假日）的万份（百份）收益计提估值日基金收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g.如遇所投资基金不公布基金份额净值、进行折算或拆分、估值日无交易等特殊情况，基金管理人根据以下原则进行估值：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以所投资基金的基金份额净值估值的，若所投资基金与本基金估值频率一致但未公布估值日基金份额净值，以其最近公布的基金份额净值估值；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收盘价估值的，若估值日无交易，且最近交易日后市场环境未发生重大变化，以最近交易日的收盘价估值；如最近交易日后市场环境发生了重大变化的，可使用最新的基金份额净值为基础或参考类似投资品种的现行市价及重大变化因素调整最近交易市价，确定公允价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如果所投资基金前一估值日至估值日期间发生分红除权、折算或拆分，基金管</w:t>
      </w:r>
      <w:r>
        <w:rPr>
          <w:rFonts w:ascii="宋体" w:hAnsi="宋体"/>
          <w:sz w:val="24"/>
        </w:rPr>
        <w:lastRenderedPageBreak/>
        <w:t>理人应根据基金份额净值或收盘价、单位基金份额分红金额、折算拆分比例、持仓份额等因素合理确定公允价值；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h.当基金管理人认为所投资基金按上述第1）至第7）条进行估值存在不公允时，应与基金托管人协商一致采用合理的估值技术或估值标准确定其公允价值。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2）证券交易所上市的有价证券的估值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b.交易所上市交易或挂牌转让的固定收益品种（另有规定的除外），选取估值日第三方估值机构提供的相应品种当日的估值净价进行估值；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d.交易所上市实行全价交易的债券（可转债除外），选取第三方估值机构提供的估值全价减去估值全价中所含的债券（税后）应收利息得到的净价进行估值；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e.交易所上市不存在活跃市场的有价证券，采用估值技术确定公允价值。交易所市场挂牌转让的资产支持证券，采用估值技术确定公允价值；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3）处于未上市期间的有价证券应区分如下情况处理：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a.送股、转增股、配股和公开增发的新股，按估值日在证券交易所挂牌的同一</w:t>
      </w:r>
      <w:r>
        <w:rPr>
          <w:rFonts w:ascii="宋体" w:hAnsi="宋体"/>
          <w:sz w:val="24"/>
        </w:rPr>
        <w:lastRenderedPageBreak/>
        <w:t>股票的估值方法估值；该日无交易的，以最近一日的市价（收盘价）估值；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b.首次公开发行未上市的股票和债券，采用估值技术确定公允价值，在估值技术难以可靠计量公允价值的情况下，按成本估值；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5）估值计算中涉及港币对人民币汇率的，将依据下列信息提供机构所提供的汇率为基准：当日中国人民银行公布的人民币与港币的中间价。</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（3）特殊情形的处理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基金管理人、基金托管人按第（2）条第6）款进行估值时，所造成的误差不作为基金资产估值错误处理。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3、估值错误的处理方式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本托管协议的当事人应按照以下约定处理：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w:t>
      </w:r>
      <w:r>
        <w:rPr>
          <w:rFonts w:ascii="宋体" w:hAnsi="宋体"/>
          <w:sz w:val="24"/>
        </w:rPr>
        <w:lastRenderedPageBreak/>
        <w:t>务的当事人有足够的时间进行更正而未更正，则其应当承担相应赔偿责任。估值错误责任方应对更正的情况向有关当事人进行确认，确保估值错误已得到更正。</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4、暂停估值的情形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（3）由于本基金持有的相当比例的基金暂停估值，导致基金管理人无法计算当日基金资产净值；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（5）法律法规、中国证监会和基金合同认定的其它情形。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基金托管人分别独立地设置、记录和保管本基金的全套账册。若基金管理人和基金托管人对会计处理方法存在分歧，应以基金管理人的处理方法为准。若当日核对不符，暂时无法查找到错账的原因而影响到基金净值信息的计算和公告的，以基金管理人的账册为准。</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7、基金财务报表与报告的编制和复核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工作日内完成；《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季度报告应在季度结束之日起15个工作日内完成季度报告编制并予以公告；中期报告在上半年结束之日起两个月内完成中期报告编制并予以公告；年度报告在每年结束之日起三个月内完成年度报告编制并予以公告。基金年度报告中的财务会计报告应当经过符合《中华人民共和国证券法》规定的会计师事务所审计。基金合同生效不足2个月的，基金管理人可以不编制当期季度报告、中期报告或者年度报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（2）报表复核</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将报表盖章后提供给基金托管人复核；基金托管人在收到后应在3个工作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以传真的方式或双方商定的其他方式进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如果基金管理人与基金托管人不能于应当发布公告之日之前就相关报表达成一致，基金管理人有权按照其编制的报表对外发布公告，基金托管人有权就相关情况报中国证监会备案。</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8、基金管理人应在编制季度报告、中期报告或者年度报告之前向基金托管人提供基金业绩比较基准的基础数据和编制结果。</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基金份额持有人名册由登记机构编制，由基金管理人审核并提交基金托管人保管。基金托管人有权要求基金管理人提供基金份额持有人名册，基金管理人应及时提供，不得拖延或拒绝提供。</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基金权益登记日、基金份额持有人大会权益登记日等涉及到基金重要事项日期的基金份额持有人名册应于发生日后十个工作日内提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基金管理人和基金托管人应妥善保管基金份额持有人名册，保存期限不低于法</w:t>
      </w:r>
      <w:r>
        <w:rPr>
          <w:rFonts w:ascii="宋体" w:hAnsi="宋体"/>
          <w:sz w:val="24"/>
        </w:rPr>
        <w:lastRenderedPageBreak/>
        <w:t>律法规规定的最低期限。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用由败诉方承担。</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本协议适用中华人民共和国法律（为本协议之目的，不包括香港特别行政区、澳门特别行政区和台湾地区法律）并从其解释。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（八）基金托管协议的变更、终止与基金财产的清算</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基金财产清算账册及有关文件由基金托管人保存不低于法律法规规定的最低期限。</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25" w:name="_Toc239686467"/>
      <w:r>
        <w:rPr>
          <w:rFonts w:ascii="Times New Roman" w:hAnsi="Times New Roman"/>
          <w:sz w:val="30"/>
        </w:rPr>
        <w:lastRenderedPageBreak/>
        <w:t>二十二、对基金份额持有人的服务</w:t>
      </w:r>
      <w:bookmarkEnd w:id="25"/>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1、基金合同生效后的每次交易结束后，投资人可在T+3个工作日后通过销售机构的网点查询和打印确认单；</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本基金的申购、赎回、定期定额投资等业务。通过网上直销交易平台办理本基金基金份额申购业务的个人投资者将享受申购费率的优惠，其他费率标准不变。具体优惠费率请参见公司网站列示的网上直销交易平台申购费率表或相关公告。基金网上直销交易平台已开通的银行卡及各银行卡交易金额限额请参阅本基金管理人网站。</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本基金收益分配时，基金份额持有人持有的基金份额可选择现金红利或选择红利再投将现金红利自动转为基金份额进行再投资，若投资人不选择，本基金默认的</w:t>
      </w:r>
      <w:r>
        <w:rPr>
          <w:rFonts w:ascii="宋体" w:hAnsi="宋体"/>
          <w:sz w:val="24"/>
        </w:rPr>
        <w:lastRenderedPageBreak/>
        <w:t>收益分配方式是现金分红。再投资红利按红利再投日（即除息日）除息后的基金份额净值自动转为基金份额，并免收申购费用。</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26" w:name="_Toc239686468"/>
      <w:r>
        <w:rPr>
          <w:rFonts w:ascii="Times New Roman" w:hAnsi="Times New Roman"/>
          <w:sz w:val="30"/>
        </w:rPr>
        <w:lastRenderedPageBreak/>
        <w:t>二十三、其他应披露事项</w:t>
      </w:r>
      <w:bookmarkEnd w:id="26"/>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交银施罗德兴享一年持有期混合型基金中基金（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交银施罗德兴享一年持有期混合型基金中基金（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交银施罗德兴享一年持有期混合型基金中基金（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交银施罗德兴享一年持有期混合型基金中基金（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交银施罗德基金管理有限公司关于增加国泰君安证券股份有限公司为旗下基金的销售机构的公告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2025-03-17</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交银施罗德兴享一年持有期混合型基金中基金（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交银施罗德兴享一年持有期混合型基金中基金（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交银施罗德兴享一年持有期混合型基金中基金（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7C59A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交银施罗德兴享一年持有期混合型基金中基金（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C59A8" w:rsidRDefault="004E68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27" w:name="_Toc239686469"/>
      <w:r>
        <w:rPr>
          <w:rFonts w:ascii="Times New Roman" w:hAnsi="Times New Roman"/>
          <w:sz w:val="30"/>
        </w:rPr>
        <w:lastRenderedPageBreak/>
        <w:t>二十四、招募说明书的存放及查阅方式</w:t>
      </w:r>
      <w:bookmarkEnd w:id="27"/>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4E68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C59A8" w:rsidRDefault="004E6825">
      <w:pPr>
        <w:pStyle w:val="1"/>
        <w:snapToGrid w:val="0"/>
        <w:spacing w:beforeLines="0" w:before="240" w:after="240"/>
        <w:rPr>
          <w:rFonts w:ascii="宋体" w:hAnsi="宋体"/>
          <w:szCs w:val="30"/>
        </w:rPr>
      </w:pPr>
      <w:bookmarkStart w:id="28" w:name="_Toc239686470"/>
      <w:r>
        <w:rPr>
          <w:rFonts w:ascii="Times New Roman" w:hAnsi="Times New Roman"/>
          <w:sz w:val="30"/>
        </w:rPr>
        <w:lastRenderedPageBreak/>
        <w:t>二十五、备查文件</w:t>
      </w:r>
      <w:bookmarkEnd w:id="28"/>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（一）中国证监会准予交银施罗德兴享一年持有期混合型基金中基金（FOF）募集注册的文件</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（二）《交银施罗德兴享一年持有期混合型基金中基金（FOF）基金合同》</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（三）《交银施罗德兴享一年持有期混合型基金中基金（FOF）托管协议》</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7C59A8" w:rsidRDefault="004E68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（六）关于申请募集注册交银施罗德兴享一年持有期混合型基金中基金（FOF）的法律意见书</w:t>
      </w:r>
    </w:p>
    <w:sectPr w:rsidR="007C59A8">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A77" w:rsidRDefault="004E6825">
      <w:r>
        <w:separator/>
      </w:r>
    </w:p>
  </w:endnote>
  <w:endnote w:type="continuationSeparator" w:id="0">
    <w:p w:rsidR="00142A77" w:rsidRDefault="004E6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9A8" w:rsidRDefault="007C59A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9A8" w:rsidRDefault="00A47C1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7C59A8" w:rsidRDefault="004E6825">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A47C1A">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9A8" w:rsidRDefault="007C59A8">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9A8" w:rsidRDefault="00A47C1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7C59A8" w:rsidRDefault="004E6825">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A47C1A">
                  <w:rPr>
                    <w:rFonts w:ascii="Times New Roman" w:hAnsi="Times New Roman"/>
                    <w:noProof/>
                    <w:kern w:val="0"/>
                    <w:sz w:val="18"/>
                    <w:szCs w:val="18"/>
                  </w:rPr>
                  <w:t>153</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A77" w:rsidRDefault="004E6825">
      <w:r>
        <w:separator/>
      </w:r>
    </w:p>
  </w:footnote>
  <w:footnote w:type="continuationSeparator" w:id="0">
    <w:p w:rsidR="00142A77" w:rsidRDefault="004E68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9A8" w:rsidRDefault="007C59A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9A8" w:rsidRDefault="004E6825">
    <w:pPr>
      <w:pStyle w:val="a3"/>
      <w:jc w:val="right"/>
      <w:rPr>
        <w:rFonts w:ascii="宋体" w:hAnsi="宋体"/>
      </w:rPr>
    </w:pPr>
    <w:r>
      <w:rPr>
        <w:rFonts w:ascii="宋体" w:hAnsi="宋体" w:hint="eastAsia"/>
      </w:rPr>
      <w:t>交银施罗德兴享一年持有期混合型基金中基金（FOF）招募说明书更新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9A8" w:rsidRDefault="007C59A8">
    <w:pPr>
      <w:pStyle w:val="10"/>
      <w:jc w:val="right"/>
    </w:pPr>
  </w:p>
  <w:p w:rsidR="007C59A8" w:rsidRDefault="007C59A8">
    <w:pPr>
      <w:pStyle w:val="10"/>
      <w:jc w:val="right"/>
    </w:pPr>
  </w:p>
  <w:p w:rsidR="007C59A8" w:rsidRDefault="007C59A8">
    <w:pPr>
      <w:pStyle w:val="a3"/>
      <w:jc w:val="right"/>
    </w:pPr>
  </w:p>
  <w:p w:rsidR="007C59A8" w:rsidRDefault="004E6825">
    <w:pPr>
      <w:pStyle w:val="a3"/>
      <w:jc w:val="right"/>
      <w:rPr>
        <w:rFonts w:ascii="宋体" w:hAnsi="宋体"/>
      </w:rPr>
    </w:pPr>
    <w:r>
      <w:rPr>
        <w:rFonts w:ascii="宋体" w:hAnsi="宋体" w:hint="eastAsia"/>
      </w:rPr>
      <w:t>交银施罗德兴享一年持有期混合型基金中基金（FOF）招募说明书更新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9A8" w:rsidRDefault="007C59A8">
    <w:pPr>
      <w:pStyle w:val="a3"/>
      <w:jc w:val="right"/>
    </w:pPr>
  </w:p>
  <w:p w:rsidR="007C59A8" w:rsidRDefault="007C59A8">
    <w:pPr>
      <w:pStyle w:val="a3"/>
      <w:jc w:val="right"/>
    </w:pPr>
  </w:p>
  <w:p w:rsidR="007C59A8" w:rsidRDefault="007C59A8">
    <w:pPr>
      <w:pStyle w:val="a3"/>
      <w:jc w:val="right"/>
    </w:pPr>
  </w:p>
  <w:p w:rsidR="007C59A8" w:rsidRDefault="004E6825">
    <w:pPr>
      <w:pStyle w:val="a3"/>
      <w:jc w:val="right"/>
      <w:rPr>
        <w:rFonts w:ascii="宋体" w:hAnsi="宋体"/>
      </w:rPr>
    </w:pPr>
    <w:r>
      <w:rPr>
        <w:rFonts w:ascii="宋体" w:hAnsi="宋体" w:hint="eastAsia"/>
      </w:rPr>
      <w:t>交银施罗德兴享一年持有期混合型基金中基金（FOF）招募说明书更新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2A77"/>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6825"/>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59A8"/>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47C1A"/>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7B804854-0524-44BE-89A4-E8E06FDE3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154</Pages>
  <Words>16269</Words>
  <Characters>92738</Characters>
  <Application>Microsoft Office Word</Application>
  <DocSecurity>0</DocSecurity>
  <Lines>772</Lines>
  <Paragraphs>217</Paragraphs>
  <ScaleCrop>false</ScaleCrop>
  <Company>Microsoft</Company>
  <LinksUpToDate>false</LinksUpToDate>
  <CharactersWithSpaces>108790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2026-09-07T07:13:00Z</dcterms:created>
  <dcterms:modified xsi:type="dcterms:W3CDTF">2026-09-07T07:13:00Z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