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交银施罗德养老目标日期2035三年持有期混合型基金中基金（FOF）（A类份额）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交银养老2035三年A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008697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2020-04-29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2035年12月31日前，每个开放日开放申购，每份基金份额最短持有期限为三年，三年内不能提出赎回申请；2036年起，不再设置最短持有期。</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陈玲斐</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2026-08-22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2014-05-16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本基金为基金中基金，依照下滑曲线进行大类资产配置，力争实现养老资产的长期稳健增值，满足养老资金理财需求。</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QDII）、国内依法发行上市的股票（含中小板、创业板及其他经中国证监会核准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债券回购、同业存单、银行存款（含协议存款、定期存款及其他银行存款）、货币市场工具以及法律法规或中国证监会允许基金投资的其他金融工具。</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公开募集证券投资基金的基金份额的资产不低于本基金资产的80%，其中投资于股票（含存托凭证）、股票型基金（包括股票指数基金）、混合型基金和商品基金（含商品期货基金和黄金ETF）等品种的比例合计占基金资产的0%-60%；投资于港股通标的股票的比例占股票资产的0-50%。本基金持有的现金或者到期日在一年以内的政府债券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本基金投资策略主要分为以下七个部分：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1、大类资产配置；2、基金投资策略；3、股票投资策略；4、债券投资策略；5、资产支持证券投资策略；6、港股通标的股票投资策略；7、风险控制策略。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沪深300指数收益率×X+中债综合全价指数收益率×（1-X）</w:t>
            </w:r>
          </w:p>
          <w:p>
            <w:pPr>
              <w:ind w:firstLine="420"/>
              <w:jc w:val="left"/>
              <w:rPr>
                <w:rFonts w:ascii="仿宋_GB2312" w:eastAsia="仿宋_GB2312"/>
                <w:szCs w:val="21"/>
              </w:rPr>
            </w:pPr>
            <w:r>
              <w:rPr>
                <w:rFonts w:hint="eastAsia" w:ascii="仿宋_GB2312" w:eastAsia="仿宋_GB2312"/>
                <w:szCs w:val="21"/>
              </w:rPr>
              <w:t>其中X的取值如下表列示：</w:t>
            </w:r>
          </w:p>
          <w:p>
            <w:pPr>
              <w:ind w:firstLine="420"/>
              <w:jc w:val="left"/>
              <w:rPr>
                <w:rFonts w:ascii="仿宋_GB2312" w:eastAsia="仿宋_GB2312"/>
                <w:szCs w:val="21"/>
              </w:rPr>
            </w:pPr>
            <w:r>
              <w:rPr>
                <w:rFonts w:hint="eastAsia" w:ascii="仿宋_GB2312" w:eastAsia="仿宋_GB2312"/>
                <w:szCs w:val="21"/>
              </w:rPr>
              <w:t>年份                       X的取值</w:t>
            </w:r>
          </w:p>
          <w:p>
            <w:pPr>
              <w:ind w:firstLine="420"/>
              <w:jc w:val="left"/>
              <w:rPr>
                <w:rFonts w:ascii="仿宋_GB2312" w:eastAsia="仿宋_GB2312"/>
                <w:szCs w:val="21"/>
              </w:rPr>
            </w:pPr>
            <w:r>
              <w:rPr>
                <w:rFonts w:hint="eastAsia" w:ascii="仿宋_GB2312" w:eastAsia="仿宋_GB2312"/>
                <w:szCs w:val="21"/>
              </w:rPr>
              <w:t>基金合同生效之日至2020.12.31 53%</w:t>
            </w:r>
          </w:p>
          <w:p>
            <w:pPr>
              <w:ind w:firstLine="420"/>
              <w:jc w:val="left"/>
              <w:rPr>
                <w:rFonts w:ascii="仿宋_GB2312" w:eastAsia="仿宋_GB2312"/>
                <w:szCs w:val="21"/>
              </w:rPr>
            </w:pPr>
            <w:r>
              <w:rPr>
                <w:rFonts w:hint="eastAsia" w:ascii="仿宋_GB2312" w:eastAsia="仿宋_GB2312"/>
                <w:szCs w:val="21"/>
              </w:rPr>
              <w:t>2021.1.1-2023.12.31          46%</w:t>
            </w:r>
          </w:p>
          <w:p>
            <w:pPr>
              <w:ind w:firstLine="420"/>
              <w:jc w:val="left"/>
              <w:rPr>
                <w:rFonts w:ascii="仿宋_GB2312" w:eastAsia="仿宋_GB2312"/>
                <w:szCs w:val="21"/>
              </w:rPr>
            </w:pPr>
            <w:r>
              <w:rPr>
                <w:rFonts w:hint="eastAsia" w:ascii="仿宋_GB2312" w:eastAsia="仿宋_GB2312"/>
                <w:szCs w:val="21"/>
              </w:rPr>
              <w:t>2024.1.1-2026.12.31          39%</w:t>
            </w:r>
          </w:p>
          <w:p>
            <w:pPr>
              <w:ind w:firstLine="420"/>
              <w:jc w:val="left"/>
              <w:rPr>
                <w:rFonts w:ascii="仿宋_GB2312" w:eastAsia="仿宋_GB2312"/>
                <w:szCs w:val="21"/>
              </w:rPr>
            </w:pPr>
            <w:r>
              <w:rPr>
                <w:rFonts w:hint="eastAsia" w:ascii="仿宋_GB2312" w:eastAsia="仿宋_GB2312"/>
                <w:szCs w:val="21"/>
              </w:rPr>
              <w:t>2027.1.1-2029.12.31          35%</w:t>
            </w:r>
          </w:p>
          <w:p>
            <w:pPr>
              <w:ind w:firstLine="420"/>
              <w:jc w:val="left"/>
              <w:rPr>
                <w:rFonts w:ascii="仿宋_GB2312" w:eastAsia="仿宋_GB2312"/>
                <w:szCs w:val="21"/>
              </w:rPr>
            </w:pPr>
            <w:r>
              <w:rPr>
                <w:rFonts w:hint="eastAsia" w:ascii="仿宋_GB2312" w:eastAsia="仿宋_GB2312"/>
                <w:szCs w:val="21"/>
              </w:rPr>
              <w:t>2030.1.1-2032.12.31          32%</w:t>
            </w:r>
          </w:p>
          <w:p>
            <w:pPr>
              <w:ind w:firstLine="420"/>
              <w:jc w:val="left"/>
              <w:rPr>
                <w:rFonts w:ascii="仿宋_GB2312" w:eastAsia="仿宋_GB2312"/>
                <w:szCs w:val="21"/>
              </w:rPr>
            </w:pPr>
            <w:r>
              <w:rPr>
                <w:rFonts w:hint="eastAsia" w:ascii="仿宋_GB2312" w:eastAsia="仿宋_GB2312"/>
                <w:szCs w:val="21"/>
              </w:rPr>
              <w:t>2033.1.1-2035.12.31          29%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由于本基金主要投资于公开募集证券投资基金的基金份额，持有基金的预期风险和预期收益间接成为本基金的预期风险和预期收益。本基金的预期风险与预期收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详见《交银施罗德养老目标日期2035三年持有期混合型基金中基金(FOF)招募说明书》第九部分“基金的投资”。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2、本基金合同于2020年4月29日生效，合同生效当年净值增长率按实际存续期计算。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基金份额持有人持有的每份基金份额最短持有期限为三年，本基金不收取赎回费。其中，对于不受最短持有期限制的红利再投资所得基金份额，对持续持有期少于7日的投资者收取1.5%的赎回费，并全额计入基金财产。2、本基金管理人对非个人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0.80%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20000.00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 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1.06%</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（1）本基金为养老目标基金，致力于满足投资者的养老资金理财需求，但养老目标基金并不代表收益保障或其他任何形式的收益承诺。本基金非保本产品，存在投资者承担亏损的可能性。</w:t>
      </w:r>
    </w:p>
    <w:p>
      <w:pPr>
        <w:ind w:firstLine="420"/>
        <w:jc w:val="left"/>
        <w:rPr>
          <w:rFonts w:ascii="仿宋_GB2312" w:eastAsia="仿宋_GB2312"/>
          <w:szCs w:val="21"/>
        </w:rPr>
      </w:pPr>
      <w:r>
        <w:rPr>
          <w:rFonts w:hint="eastAsia" w:ascii="仿宋_GB2312" w:eastAsia="仿宋_GB2312"/>
          <w:szCs w:val="21"/>
        </w:rPr>
        <w:t>（2）本基金为混合型基金中基金，本基金投资于经中国证监会依法核准或注册的公开募集证券投资基金的基金份额的资产不低于本基金资产的80%，其中投资于股票（含存托凭证）、股票型基金（包括股票指数基金）、混合型基金和商品基金（含商品期货基金和黄金ETF）等品种的比例合计占基金资产的0%-60%；投资于港股通标的股票的比例占股票资产的0-50%。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3）目标日期前，本基金设置基金份额持有人最短持有期限。基金份额持有人持有的每份基金份额最短持有期限为三年，在最短持有期限内该份基金份额不可赎回，自最短持有期限的下一工作日起（含该日）可赎回。对于每笔认购的基金份额而言，最短持有期限自基金合同生效之日起（含该日）至三年后的年度对日的前一日；对于每笔申购的基金份额而言，最短持有期限自该笔申购份额确认日（含该日，通常T日提交的有效申购申请于T+3日确认）至三年后的年度对日的前一日。到达目标日期（2035年12月31日）后2036年第一个工作日，本基金转型为“交银施罗德债基优选债券型基金中基金（FOF）”，不再设置最短持有期，基金管理人将根据转型后基金合同的约定在开放日办理基金份额的申购和赎回。因此，对于基金份额持有人而言，存在投资本基金后三年内无法赎回的风险。</w:t>
      </w:r>
    </w:p>
    <w:p>
      <w:pPr>
        <w:ind w:firstLine="420"/>
        <w:jc w:val="left"/>
        <w:rPr>
          <w:rFonts w:ascii="仿宋_GB2312" w:eastAsia="仿宋_GB2312"/>
          <w:szCs w:val="21"/>
        </w:rPr>
      </w:pPr>
      <w:r>
        <w:rPr>
          <w:rFonts w:hint="eastAsia" w:ascii="仿宋_GB2312" w:eastAsia="仿宋_GB2312"/>
          <w:szCs w:val="21"/>
        </w:rPr>
        <w:t>（4）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5）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6）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7）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（8）本基金为基金中基金，本基金可投资于商品基金，因此将间接承担商品基金可能面临的商品价格波动风险、投资商品期货合约的风险、盯市风险等商品投资风险。</w:t>
      </w:r>
    </w:p>
    <w:p>
      <w:pPr>
        <w:ind w:firstLine="420"/>
        <w:jc w:val="left"/>
        <w:rPr>
          <w:rFonts w:ascii="仿宋_GB2312" w:eastAsia="仿宋_GB2312"/>
          <w:szCs w:val="21"/>
        </w:rPr>
      </w:pPr>
      <w:r>
        <w:rPr>
          <w:rFonts w:hint="eastAsia" w:ascii="仿宋_GB2312" w:eastAsia="仿宋_GB2312"/>
          <w:szCs w:val="21"/>
        </w:rPr>
        <w:t>（9）本基金可投资港股通标的股票，会面临港股通机制下因投资环境、投资标的、市场制度以及交易规则等差异带来的特有风险，具体如下：</w:t>
      </w:r>
    </w:p>
    <w:p>
      <w:pPr>
        <w:ind w:firstLine="420"/>
        <w:jc w:val="left"/>
        <w:rPr>
          <w:rFonts w:ascii="仿宋_GB2312" w:eastAsia="仿宋_GB2312"/>
          <w:szCs w:val="21"/>
        </w:rPr>
      </w:pPr>
      <w:r>
        <w:rPr>
          <w:rFonts w:hint="eastAsia" w:ascii="仿宋_GB2312" w:eastAsia="仿宋_GB2312"/>
          <w:szCs w:val="21"/>
        </w:rPr>
        <w:t>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8、基金合同提前终止风险</w:t>
      </w:r>
    </w:p>
    <w:p>
      <w:pPr>
        <w:ind w:firstLine="420"/>
        <w:jc w:val="left"/>
        <w:rPr>
          <w:rFonts w:ascii="仿宋_GB2312" w:eastAsia="仿宋_GB2312"/>
          <w:szCs w:val="21"/>
        </w:rPr>
      </w:pPr>
      <w:r>
        <w:rPr>
          <w:rFonts w:hint="eastAsia" w:ascii="仿宋_GB2312" w:eastAsia="仿宋_GB2312"/>
          <w:szCs w:val="21"/>
        </w:rPr>
        <w:t>连续五十个工作日出现基金份额持有人数量不满200人或基金资产净值低于5000万元情形时，基金管理人提前终止《基金合同》，不需召开基金份额持有人大会。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●《交银施罗德养老目标日期2035三年持有期混合型基金中基金（FOF）基金合同》、</w:t>
      </w:r>
    </w:p>
    <w:p>
      <w:pPr>
        <w:ind w:firstLine="420"/>
        <w:jc w:val="left"/>
        <w:rPr>
          <w:rFonts w:ascii="仿宋_GB2312" w:eastAsia="仿宋_GB2312"/>
          <w:szCs w:val="21"/>
        </w:rPr>
      </w:pPr>
      <w:r>
        <w:rPr>
          <w:rFonts w:hint="eastAsia" w:ascii="仿宋_GB2312" w:eastAsia="仿宋_GB2312"/>
          <w:szCs w:val="21"/>
        </w:rPr>
        <w:t>《交银施罗德养老目标日期2035三年持有期混合型基金中基金（FOF）托管协议》、</w:t>
      </w:r>
    </w:p>
    <w:p>
      <w:pPr>
        <w:ind w:firstLine="420"/>
        <w:jc w:val="left"/>
        <w:rPr>
          <w:rFonts w:ascii="仿宋_GB2312" w:eastAsia="仿宋_GB2312"/>
          <w:szCs w:val="21"/>
        </w:rPr>
      </w:pPr>
      <w:r>
        <w:rPr>
          <w:rFonts w:hint="eastAsia" w:ascii="仿宋_GB2312" w:eastAsia="仿宋_GB2312"/>
          <w:szCs w:val="21"/>
        </w:rPr>
        <w:t>《交银施罗德养老目标日期2035三年持有期混合型基金中基金（FOF）招募说明书》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440EF"/>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305561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962</Words>
  <Characters>5487</Characters>
  <Lines>45</Lines>
  <Paragraphs>12</Paragraphs>
  <TotalTime>0</TotalTime>
  <ScaleCrop>false</ScaleCrop>
  <LinksUpToDate>false</LinksUpToDate>
  <CharactersWithSpaces>6437</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2026-09-07T06:26:00Z</dcterms:created>
  <dc:creator>Cc</dc:creator>
  <cp:lastModifiedBy>haotingting</cp:lastModifiedBy>
  <dcterms:modified xsi:type="dcterms:W3CDTF">2026-09-07T07:05:15Z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FDFB85910B2C4E95A0422E221B891631</vt:lpwstr>
  </property>
</Properties>
</file>