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64CEB">
      <w:pPr>
        <w:rPr>
          <w:sz w:val="32"/>
        </w:rPr>
      </w:pPr>
      <w:bookmarkStart w:id="28" w:name="_GoBack"/>
      <w:bookmarkEnd w:id="28"/>
    </w:p>
    <w:p w14:paraId="3AB79BE7">
      <w:pPr>
        <w:rPr>
          <w:sz w:val="32"/>
        </w:rPr>
      </w:pPr>
    </w:p>
    <w:p w14:paraId="4D5F000B">
      <w:pPr>
        <w:rPr>
          <w:sz w:val="32"/>
        </w:rPr>
      </w:pPr>
    </w:p>
    <w:p w14:paraId="409B9B63">
      <w:pPr>
        <w:jc w:val="center"/>
        <w:rPr>
          <w:sz w:val="32"/>
        </w:rPr>
      </w:pPr>
    </w:p>
    <w:p w14:paraId="2DB6A4C4">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783CA792">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21A44278">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交银施罗德天利宝货币市场基金</w:t>
      </w:r>
    </w:p>
    <w:p w14:paraId="065C98AA">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6123E8E5">
      <w:pPr>
        <w:snapToGrid w:val="0"/>
        <w:spacing w:line="360" w:lineRule="auto"/>
        <w:jc w:val="center"/>
        <w:rPr>
          <w:rFonts w:ascii="宋体" w:hAnsi="宋体"/>
          <w:b/>
          <w:sz w:val="30"/>
          <w:szCs w:val="30"/>
        </w:rPr>
      </w:pPr>
    </w:p>
    <w:p w14:paraId="6AF6149C">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52D4BE47">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5285B6D">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D5F6113">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2610F207">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71AA210A">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149882E">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5D843A75">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基金托管人：中信银行股份有限公司</w:t>
      </w:r>
    </w:p>
    <w:p w14:paraId="0057784B">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51B6AF71">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DF4BE7A">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w:t>
      </w:r>
      <w:r>
        <w:rPr>
          <w:rFonts w:hint="eastAsia" w:ascii="Times New Roman" w:hAnsi="Times New Roman"/>
          <w:b/>
          <w:spacing w:val="2"/>
          <w:w w:val="99"/>
          <w:kern w:val="0"/>
          <w:sz w:val="28"/>
          <w:szCs w:val="32"/>
          <w:lang w:val="en-US" w:eastAsia="zh-CN"/>
        </w:rPr>
        <w:t>六年九</w:t>
      </w:r>
      <w:r>
        <w:rPr>
          <w:rFonts w:ascii="Times New Roman" w:hAnsi="Times New Roman"/>
          <w:b/>
          <w:spacing w:val="2"/>
          <w:w w:val="99"/>
          <w:kern w:val="0"/>
          <w:sz w:val="28"/>
          <w:szCs w:val="32"/>
        </w:rPr>
        <w:t>月</w:t>
      </w:r>
    </w:p>
    <w:p w14:paraId="47112C9C">
      <w:pPr>
        <w:autoSpaceDE w:val="0"/>
        <w:autoSpaceDN w:val="0"/>
        <w:adjustRightInd w:val="0"/>
        <w:snapToGrid w:val="0"/>
        <w:spacing w:line="360" w:lineRule="auto"/>
        <w:ind w:left="1347" w:right="13" w:rightChars="6"/>
        <w:rPr>
          <w:rFonts w:ascii="宋体" w:hAnsi="宋体"/>
          <w:kern w:val="0"/>
          <w:sz w:val="32"/>
          <w:szCs w:val="32"/>
        </w:rPr>
        <w:sectPr>
          <w:headerReference r:id="rId5"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4398A0F6">
      <w:pPr>
        <w:pStyle w:val="2"/>
        <w:snapToGrid w:val="0"/>
        <w:spacing w:before="240" w:beforeLines="0" w:after="240"/>
        <w:rPr>
          <w:rFonts w:ascii="宋体" w:hAnsi="宋体"/>
          <w:kern w:val="0"/>
        </w:rPr>
      </w:pPr>
      <w:bookmarkStart w:id="0" w:name="_Toc496884613"/>
      <w:bookmarkStart w:id="1" w:name="_Toc214028656"/>
      <w:bookmarkStart w:id="2" w:name="_Toc324920538"/>
      <w:r>
        <w:rPr>
          <w:rFonts w:ascii="Times New Roman" w:hAnsi="Times New Roman"/>
          <w:kern w:val="0"/>
        </w:rPr>
        <w:t>重要提示</w:t>
      </w:r>
      <w:bookmarkEnd w:id="0"/>
      <w:bookmarkEnd w:id="1"/>
      <w:bookmarkEnd w:id="2"/>
    </w:p>
    <w:p w14:paraId="3909102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交银施罗德天利宝货币市场基金（以下简称“本基金”）经2016年5月24日中国证券监督管理委员会（以下简称“中国证监会”）证监许可【2016】1106号文准予募集注册。本基金基金合同于2016年10月19日正式生效。</w:t>
      </w:r>
    </w:p>
    <w:p w14:paraId="333547B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14:paraId="7301CCA0">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7A1C65D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货币市场基金特有的其他风险等等。本基金属于货币市场基金，长期风险收益水平低于股票型基金、混合型基金和债券型基金。</w:t>
      </w:r>
    </w:p>
    <w:p w14:paraId="6240FF21">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14:paraId="781FAA7F">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14:paraId="6F74B372">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当本基金前10 名基金份额持有人的持有份额合计超过基金总份额50%，且本基金投资组合中现金、国债、中央银行票据、政策性金融债券以及5 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故投资者可能面临上述被征收1%的强制赎回费用的风险。此外，单个基金份额持有人在单个开放日申请赎回基金份额超过基金总份额10%的，该基金份额持有人可能面临延期办理部分赎回申请或者延缓支付赎回款项的风险。</w:t>
      </w:r>
    </w:p>
    <w:p w14:paraId="5D072A4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投资者购买本货币市场基金并不等于将资金作为存款存放在银行或存款类金融机构，基金管理人不保证基金一定盈利，也不保证最低收益。</w:t>
      </w:r>
    </w:p>
    <w:p w14:paraId="3F73B219">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14:paraId="5E21277B">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本次更新招募说明书主要对本基金调整托管费率的相关信息进行更新，更新截止日为2026年0</w:t>
      </w:r>
      <w:r>
        <w:rPr>
          <w:rFonts w:hint="eastAsia" w:ascii="Times New Roman" w:hAnsi="Times New Roman"/>
          <w:kern w:val="0"/>
          <w:sz w:val="24"/>
          <w:lang w:val="en-US" w:eastAsia="zh-CN"/>
        </w:rPr>
        <w:t>9</w:t>
      </w:r>
      <w:r>
        <w:rPr>
          <w:rFonts w:hint="eastAsia" w:ascii="Times New Roman" w:hAnsi="Times New Roman"/>
          <w:kern w:val="0"/>
          <w:sz w:val="24"/>
        </w:rPr>
        <w:t>月</w:t>
      </w:r>
      <w:r>
        <w:rPr>
          <w:rFonts w:hint="eastAsia" w:ascii="Times New Roman" w:hAnsi="Times New Roman"/>
          <w:kern w:val="0"/>
          <w:sz w:val="24"/>
          <w:lang w:val="en-US" w:eastAsia="zh-CN"/>
        </w:rPr>
        <w:t>02</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lang w:val="en-US" w:eastAsia="zh-CN"/>
        </w:rPr>
        <w:t>其他</w:t>
      </w:r>
      <w:r>
        <w:rPr>
          <w:rFonts w:ascii="Times New Roman" w:hAnsi="Times New Roman"/>
          <w:kern w:val="0"/>
          <w:sz w:val="24"/>
        </w:rPr>
        <w:t>所载内容截止日为2025年10月27日，有关财务数据和净值表现截止日为2025年09月30日。本招募说明书所载的财务数据未经审计。</w:t>
      </w:r>
    </w:p>
    <w:p w14:paraId="20B7C77F">
      <w:pPr>
        <w:autoSpaceDE w:val="0"/>
        <w:autoSpaceDN w:val="0"/>
        <w:adjustRightInd w:val="0"/>
        <w:snapToGrid w:val="0"/>
        <w:spacing w:before="51" w:line="360" w:lineRule="auto"/>
        <w:ind w:left="120" w:right="13" w:rightChars="6" w:firstLine="480"/>
        <w:rPr>
          <w:rFonts w:ascii="宋体" w:hAnsi="宋体"/>
          <w:kern w:val="0"/>
          <w:szCs w:val="24"/>
        </w:rPr>
        <w:sectPr>
          <w:headerReference r:id="rId8" w:type="default"/>
          <w:pgSz w:w="11920" w:h="16840"/>
          <w:pgMar w:top="1440" w:right="1680" w:bottom="280" w:left="1680" w:header="0" w:footer="1073" w:gutter="0"/>
          <w:pgNumType w:start="1"/>
          <w:cols w:space="720" w:num="1"/>
        </w:sectPr>
      </w:pPr>
    </w:p>
    <w:p w14:paraId="54C5680D">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3E234C39">
      <w:pPr>
        <w:pStyle w:val="10"/>
        <w:tabs>
          <w:tab w:val="right" w:leader="dot" w:pos="8550"/>
        </w:tabs>
        <w:spacing w:line="360" w:lineRule="auto"/>
        <w:rPr>
          <w:rFonts w:ascii="宋体" w:hAnsi="宋体" w:cstheme="minorBidi"/>
          <w:sz w:val="24"/>
        </w:rPr>
      </w:pPr>
      <w:r>
        <w:fldChar w:fldCharType="begin"/>
      </w:r>
      <w:r>
        <w:instrText xml:space="preserve"> HYPERLINK \l "_Toc214028656"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_Toc214028656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34E8FF7">
      <w:pPr>
        <w:pStyle w:val="10"/>
        <w:tabs>
          <w:tab w:val="right" w:leader="dot" w:pos="8550"/>
        </w:tabs>
        <w:spacing w:line="360" w:lineRule="auto"/>
        <w:rPr>
          <w:rFonts w:ascii="宋体" w:hAnsi="宋体" w:cstheme="minorBidi"/>
          <w:sz w:val="24"/>
        </w:rPr>
      </w:pPr>
      <w:r>
        <w:fldChar w:fldCharType="begin"/>
      </w:r>
      <w:r>
        <w:instrText xml:space="preserve"> HYPERLINK \l "_Toc214028657"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_Toc214028657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6C20BA32">
      <w:pPr>
        <w:pStyle w:val="10"/>
        <w:tabs>
          <w:tab w:val="right" w:leader="dot" w:pos="8550"/>
        </w:tabs>
        <w:spacing w:line="360" w:lineRule="auto"/>
        <w:rPr>
          <w:rFonts w:ascii="宋体" w:hAnsi="宋体" w:cstheme="minorBidi"/>
          <w:sz w:val="24"/>
        </w:rPr>
      </w:pPr>
      <w:r>
        <w:fldChar w:fldCharType="begin"/>
      </w:r>
      <w:r>
        <w:instrText xml:space="preserve"> HYPERLINK \l "_Toc214028658"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_Toc214028658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14:paraId="475EEA36">
      <w:pPr>
        <w:pStyle w:val="10"/>
        <w:tabs>
          <w:tab w:val="right" w:leader="dot" w:pos="8550"/>
        </w:tabs>
        <w:spacing w:line="360" w:lineRule="auto"/>
        <w:rPr>
          <w:rFonts w:ascii="宋体" w:hAnsi="宋体" w:cstheme="minorBidi"/>
          <w:sz w:val="24"/>
        </w:rPr>
      </w:pPr>
      <w:r>
        <w:fldChar w:fldCharType="begin"/>
      </w:r>
      <w:r>
        <w:instrText xml:space="preserve"> HYPERLINK \l "_Toc214028659"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_Toc214028659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14:paraId="4BE336AE">
      <w:pPr>
        <w:pStyle w:val="10"/>
        <w:tabs>
          <w:tab w:val="right" w:leader="dot" w:pos="8550"/>
        </w:tabs>
        <w:spacing w:line="360" w:lineRule="auto"/>
        <w:rPr>
          <w:rFonts w:ascii="宋体" w:hAnsi="宋体" w:cstheme="minorBidi"/>
          <w:sz w:val="24"/>
        </w:rPr>
      </w:pPr>
      <w:r>
        <w:fldChar w:fldCharType="begin"/>
      </w:r>
      <w:r>
        <w:instrText xml:space="preserve"> HYPERLINK \l "_Toc214028660"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_Toc214028660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14:paraId="7BED8228">
      <w:pPr>
        <w:pStyle w:val="10"/>
        <w:tabs>
          <w:tab w:val="right" w:leader="dot" w:pos="8550"/>
        </w:tabs>
        <w:spacing w:line="360" w:lineRule="auto"/>
        <w:rPr>
          <w:rFonts w:ascii="宋体" w:hAnsi="宋体" w:cstheme="minorBidi"/>
          <w:sz w:val="24"/>
        </w:rPr>
      </w:pPr>
      <w:r>
        <w:fldChar w:fldCharType="begin"/>
      </w:r>
      <w:r>
        <w:instrText xml:space="preserve"> HYPERLINK \l "_Toc214028661"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_Toc214028661 \h </w:instrText>
      </w:r>
      <w:r>
        <w:rPr>
          <w:rFonts w:ascii="宋体" w:hAnsi="宋体"/>
          <w:sz w:val="24"/>
        </w:rPr>
        <w:fldChar w:fldCharType="separate"/>
      </w:r>
      <w:r>
        <w:rPr>
          <w:rFonts w:ascii="宋体" w:hAnsi="宋体"/>
          <w:sz w:val="24"/>
        </w:rPr>
        <w:t>23</w:t>
      </w:r>
      <w:r>
        <w:rPr>
          <w:rFonts w:ascii="宋体" w:hAnsi="宋体"/>
          <w:sz w:val="24"/>
        </w:rPr>
        <w:fldChar w:fldCharType="end"/>
      </w:r>
      <w:r>
        <w:rPr>
          <w:rFonts w:ascii="宋体" w:hAnsi="宋体"/>
          <w:sz w:val="24"/>
        </w:rPr>
        <w:fldChar w:fldCharType="end"/>
      </w:r>
    </w:p>
    <w:p w14:paraId="418FC505">
      <w:pPr>
        <w:pStyle w:val="10"/>
        <w:tabs>
          <w:tab w:val="right" w:leader="dot" w:pos="8550"/>
        </w:tabs>
        <w:spacing w:line="360" w:lineRule="auto"/>
        <w:rPr>
          <w:rFonts w:ascii="宋体" w:hAnsi="宋体" w:cstheme="minorBidi"/>
          <w:sz w:val="24"/>
        </w:rPr>
      </w:pPr>
      <w:r>
        <w:fldChar w:fldCharType="begin"/>
      </w:r>
      <w:r>
        <w:instrText xml:space="preserve"> HYPERLINK \l "_Toc214028662"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_Toc214028662 \h </w:instrText>
      </w:r>
      <w:r>
        <w:rPr>
          <w:rFonts w:ascii="宋体" w:hAnsi="宋体"/>
          <w:sz w:val="24"/>
        </w:rPr>
        <w:fldChar w:fldCharType="separate"/>
      </w:r>
      <w:r>
        <w:rPr>
          <w:rFonts w:ascii="宋体" w:hAnsi="宋体"/>
          <w:sz w:val="24"/>
        </w:rPr>
        <w:t>46</w:t>
      </w:r>
      <w:r>
        <w:rPr>
          <w:rFonts w:ascii="宋体" w:hAnsi="宋体"/>
          <w:sz w:val="24"/>
        </w:rPr>
        <w:fldChar w:fldCharType="end"/>
      </w:r>
      <w:r>
        <w:rPr>
          <w:rFonts w:ascii="宋体" w:hAnsi="宋体"/>
          <w:sz w:val="24"/>
        </w:rPr>
        <w:fldChar w:fldCharType="end"/>
      </w:r>
    </w:p>
    <w:p w14:paraId="0111DC53">
      <w:pPr>
        <w:pStyle w:val="10"/>
        <w:tabs>
          <w:tab w:val="right" w:leader="dot" w:pos="8550"/>
        </w:tabs>
        <w:spacing w:line="360" w:lineRule="auto"/>
        <w:rPr>
          <w:rFonts w:ascii="宋体" w:hAnsi="宋体" w:cstheme="minorBidi"/>
          <w:sz w:val="24"/>
        </w:rPr>
      </w:pPr>
      <w:r>
        <w:fldChar w:fldCharType="begin"/>
      </w:r>
      <w:r>
        <w:instrText xml:space="preserve"> HYPERLINK \l "_Toc214028663"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_Toc214028663 \h </w:instrText>
      </w:r>
      <w:r>
        <w:rPr>
          <w:rFonts w:ascii="宋体" w:hAnsi="宋体"/>
          <w:sz w:val="24"/>
        </w:rPr>
        <w:fldChar w:fldCharType="separate"/>
      </w:r>
      <w:r>
        <w:rPr>
          <w:rFonts w:ascii="宋体" w:hAnsi="宋体"/>
          <w:sz w:val="24"/>
        </w:rPr>
        <w:t>47</w:t>
      </w:r>
      <w:r>
        <w:rPr>
          <w:rFonts w:ascii="宋体" w:hAnsi="宋体"/>
          <w:sz w:val="24"/>
        </w:rPr>
        <w:fldChar w:fldCharType="end"/>
      </w:r>
      <w:r>
        <w:rPr>
          <w:rFonts w:ascii="宋体" w:hAnsi="宋体"/>
          <w:sz w:val="24"/>
        </w:rPr>
        <w:fldChar w:fldCharType="end"/>
      </w:r>
    </w:p>
    <w:p w14:paraId="7BA2B368">
      <w:pPr>
        <w:pStyle w:val="10"/>
        <w:tabs>
          <w:tab w:val="right" w:leader="dot" w:pos="8550"/>
        </w:tabs>
        <w:spacing w:line="360" w:lineRule="auto"/>
        <w:rPr>
          <w:rFonts w:ascii="宋体" w:hAnsi="宋体" w:cstheme="minorBidi"/>
          <w:sz w:val="24"/>
        </w:rPr>
      </w:pPr>
      <w:r>
        <w:fldChar w:fldCharType="begin"/>
      </w:r>
      <w:r>
        <w:instrText xml:space="preserve"> HYPERLINK \l "_Toc214028664"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_Toc214028664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14:paraId="1066258D">
      <w:pPr>
        <w:pStyle w:val="10"/>
        <w:tabs>
          <w:tab w:val="right" w:leader="dot" w:pos="8550"/>
        </w:tabs>
        <w:spacing w:line="360" w:lineRule="auto"/>
        <w:rPr>
          <w:rFonts w:ascii="宋体" w:hAnsi="宋体" w:cstheme="minorBidi"/>
          <w:sz w:val="24"/>
        </w:rPr>
      </w:pPr>
      <w:r>
        <w:fldChar w:fldCharType="begin"/>
      </w:r>
      <w:r>
        <w:instrText xml:space="preserve"> HYPERLINK \l "_Toc214028665"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_Toc214028665 \h </w:instrText>
      </w:r>
      <w:r>
        <w:rPr>
          <w:rFonts w:ascii="宋体" w:hAnsi="宋体"/>
          <w:sz w:val="24"/>
        </w:rPr>
        <w:fldChar w:fldCharType="separate"/>
      </w:r>
      <w:r>
        <w:rPr>
          <w:rFonts w:ascii="宋体" w:hAnsi="宋体"/>
          <w:sz w:val="24"/>
        </w:rPr>
        <w:t>58</w:t>
      </w:r>
      <w:r>
        <w:rPr>
          <w:rFonts w:ascii="宋体" w:hAnsi="宋体"/>
          <w:sz w:val="24"/>
        </w:rPr>
        <w:fldChar w:fldCharType="end"/>
      </w:r>
      <w:r>
        <w:rPr>
          <w:rFonts w:ascii="宋体" w:hAnsi="宋体"/>
          <w:sz w:val="24"/>
        </w:rPr>
        <w:fldChar w:fldCharType="end"/>
      </w:r>
    </w:p>
    <w:p w14:paraId="5C1962C8">
      <w:pPr>
        <w:pStyle w:val="10"/>
        <w:tabs>
          <w:tab w:val="right" w:leader="dot" w:pos="8550"/>
        </w:tabs>
        <w:spacing w:line="360" w:lineRule="auto"/>
        <w:rPr>
          <w:rFonts w:ascii="宋体" w:hAnsi="宋体" w:cstheme="minorBidi"/>
          <w:sz w:val="24"/>
        </w:rPr>
      </w:pPr>
      <w:r>
        <w:fldChar w:fldCharType="begin"/>
      </w:r>
      <w:r>
        <w:instrText xml:space="preserve"> HYPERLINK \l "_Toc214028666"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_Toc214028666 \h </w:instrText>
      </w:r>
      <w:r>
        <w:rPr>
          <w:rFonts w:ascii="宋体" w:hAnsi="宋体"/>
          <w:sz w:val="24"/>
        </w:rPr>
        <w:fldChar w:fldCharType="separate"/>
      </w:r>
      <w:r>
        <w:rPr>
          <w:rFonts w:ascii="宋体" w:hAnsi="宋体"/>
          <w:sz w:val="24"/>
        </w:rPr>
        <w:t>63</w:t>
      </w:r>
      <w:r>
        <w:rPr>
          <w:rFonts w:ascii="宋体" w:hAnsi="宋体"/>
          <w:sz w:val="24"/>
        </w:rPr>
        <w:fldChar w:fldCharType="end"/>
      </w:r>
      <w:r>
        <w:rPr>
          <w:rFonts w:ascii="宋体" w:hAnsi="宋体"/>
          <w:sz w:val="24"/>
        </w:rPr>
        <w:fldChar w:fldCharType="end"/>
      </w:r>
    </w:p>
    <w:p w14:paraId="2447C512">
      <w:pPr>
        <w:pStyle w:val="10"/>
        <w:tabs>
          <w:tab w:val="right" w:leader="dot" w:pos="8550"/>
        </w:tabs>
        <w:spacing w:line="360" w:lineRule="auto"/>
        <w:rPr>
          <w:rFonts w:ascii="宋体" w:hAnsi="宋体" w:cstheme="minorBidi"/>
          <w:sz w:val="24"/>
        </w:rPr>
      </w:pPr>
      <w:r>
        <w:fldChar w:fldCharType="begin"/>
      </w:r>
      <w:r>
        <w:instrText xml:space="preserve"> HYPERLINK \l "_Toc214028667"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_Toc214028667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14:paraId="7B085FFD">
      <w:pPr>
        <w:pStyle w:val="10"/>
        <w:tabs>
          <w:tab w:val="right" w:leader="dot" w:pos="8550"/>
        </w:tabs>
        <w:spacing w:line="360" w:lineRule="auto"/>
        <w:rPr>
          <w:rFonts w:ascii="宋体" w:hAnsi="宋体" w:cstheme="minorBidi"/>
          <w:sz w:val="24"/>
        </w:rPr>
      </w:pPr>
      <w:r>
        <w:fldChar w:fldCharType="begin"/>
      </w:r>
      <w:r>
        <w:instrText xml:space="preserve"> HYPERLINK \l "_Toc214028668"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_Toc214028668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14:paraId="39EB8022">
      <w:pPr>
        <w:pStyle w:val="10"/>
        <w:tabs>
          <w:tab w:val="right" w:leader="dot" w:pos="8550"/>
        </w:tabs>
        <w:spacing w:line="360" w:lineRule="auto"/>
        <w:rPr>
          <w:rFonts w:ascii="宋体" w:hAnsi="宋体" w:cstheme="minorBidi"/>
          <w:sz w:val="24"/>
        </w:rPr>
      </w:pPr>
      <w:r>
        <w:fldChar w:fldCharType="begin"/>
      </w:r>
      <w:r>
        <w:instrText xml:space="preserve"> HYPERLINK \l "_Toc214028669"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_Toc214028669 \h </w:instrText>
      </w:r>
      <w:r>
        <w:rPr>
          <w:rFonts w:ascii="宋体" w:hAnsi="宋体"/>
          <w:sz w:val="24"/>
        </w:rPr>
        <w:fldChar w:fldCharType="separate"/>
      </w:r>
      <w:r>
        <w:rPr>
          <w:rFonts w:ascii="宋体" w:hAnsi="宋体"/>
          <w:sz w:val="24"/>
        </w:rPr>
        <w:t>80</w:t>
      </w:r>
      <w:r>
        <w:rPr>
          <w:rFonts w:ascii="宋体" w:hAnsi="宋体"/>
          <w:sz w:val="24"/>
        </w:rPr>
        <w:fldChar w:fldCharType="end"/>
      </w:r>
      <w:r>
        <w:rPr>
          <w:rFonts w:ascii="宋体" w:hAnsi="宋体"/>
          <w:sz w:val="24"/>
        </w:rPr>
        <w:fldChar w:fldCharType="end"/>
      </w:r>
    </w:p>
    <w:p w14:paraId="7B36C6B3">
      <w:pPr>
        <w:pStyle w:val="10"/>
        <w:tabs>
          <w:tab w:val="right" w:leader="dot" w:pos="8550"/>
        </w:tabs>
        <w:spacing w:line="360" w:lineRule="auto"/>
        <w:rPr>
          <w:rFonts w:ascii="宋体" w:hAnsi="宋体" w:cstheme="minorBidi"/>
          <w:sz w:val="24"/>
        </w:rPr>
      </w:pPr>
      <w:r>
        <w:fldChar w:fldCharType="begin"/>
      </w:r>
      <w:r>
        <w:instrText xml:space="preserve"> HYPERLINK \l "_Toc214028670"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_Toc214028670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14:paraId="57C7FF87">
      <w:pPr>
        <w:pStyle w:val="10"/>
        <w:tabs>
          <w:tab w:val="right" w:leader="dot" w:pos="8550"/>
        </w:tabs>
        <w:spacing w:line="360" w:lineRule="auto"/>
        <w:rPr>
          <w:rFonts w:ascii="宋体" w:hAnsi="宋体" w:cstheme="minorBidi"/>
          <w:sz w:val="24"/>
        </w:rPr>
      </w:pPr>
      <w:r>
        <w:fldChar w:fldCharType="begin"/>
      </w:r>
      <w:r>
        <w:instrText xml:space="preserve"> HYPERLINK \l "_Toc214028671"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_Toc214028671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14:paraId="52F08B30">
      <w:pPr>
        <w:pStyle w:val="10"/>
        <w:tabs>
          <w:tab w:val="right" w:leader="dot" w:pos="8550"/>
        </w:tabs>
        <w:spacing w:line="360" w:lineRule="auto"/>
        <w:rPr>
          <w:rFonts w:ascii="宋体" w:hAnsi="宋体" w:cstheme="minorBidi"/>
          <w:sz w:val="24"/>
        </w:rPr>
      </w:pPr>
      <w:r>
        <w:fldChar w:fldCharType="begin"/>
      </w:r>
      <w:r>
        <w:instrText xml:space="preserve"> HYPERLINK \l "_Toc214028672"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_Toc214028672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14:paraId="4DB9EFAB">
      <w:pPr>
        <w:pStyle w:val="10"/>
        <w:tabs>
          <w:tab w:val="right" w:leader="dot" w:pos="8550"/>
        </w:tabs>
        <w:spacing w:line="360" w:lineRule="auto"/>
        <w:rPr>
          <w:rFonts w:ascii="宋体" w:hAnsi="宋体" w:cstheme="minorBidi"/>
          <w:sz w:val="24"/>
        </w:rPr>
      </w:pPr>
      <w:r>
        <w:fldChar w:fldCharType="begin"/>
      </w:r>
      <w:r>
        <w:instrText xml:space="preserve"> HYPERLINK \l "_Toc214028673"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_Toc214028673 \h </w:instrText>
      </w:r>
      <w:r>
        <w:rPr>
          <w:rFonts w:ascii="宋体" w:hAnsi="宋体"/>
          <w:sz w:val="24"/>
        </w:rPr>
        <w:fldChar w:fldCharType="separate"/>
      </w:r>
      <w:r>
        <w:rPr>
          <w:rFonts w:ascii="宋体" w:hAnsi="宋体"/>
          <w:sz w:val="24"/>
        </w:rPr>
        <w:t>91</w:t>
      </w:r>
      <w:r>
        <w:rPr>
          <w:rFonts w:ascii="宋体" w:hAnsi="宋体"/>
          <w:sz w:val="24"/>
        </w:rPr>
        <w:fldChar w:fldCharType="end"/>
      </w:r>
      <w:r>
        <w:rPr>
          <w:rFonts w:ascii="宋体" w:hAnsi="宋体"/>
          <w:sz w:val="24"/>
        </w:rPr>
        <w:fldChar w:fldCharType="end"/>
      </w:r>
    </w:p>
    <w:p w14:paraId="6A92A4B0">
      <w:pPr>
        <w:pStyle w:val="10"/>
        <w:tabs>
          <w:tab w:val="right" w:leader="dot" w:pos="8550"/>
        </w:tabs>
        <w:spacing w:line="360" w:lineRule="auto"/>
        <w:rPr>
          <w:rFonts w:ascii="宋体" w:hAnsi="宋体" w:cstheme="minorBidi"/>
          <w:sz w:val="24"/>
        </w:rPr>
      </w:pPr>
      <w:r>
        <w:fldChar w:fldCharType="begin"/>
      </w:r>
      <w:r>
        <w:instrText xml:space="preserve"> HYPERLINK \l "_Toc214028674"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_Toc214028674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14:paraId="357874C9">
      <w:pPr>
        <w:pStyle w:val="10"/>
        <w:tabs>
          <w:tab w:val="right" w:leader="dot" w:pos="8550"/>
        </w:tabs>
        <w:spacing w:line="360" w:lineRule="auto"/>
        <w:rPr>
          <w:rFonts w:ascii="宋体" w:hAnsi="宋体" w:cstheme="minorBidi"/>
          <w:sz w:val="24"/>
        </w:rPr>
      </w:pPr>
      <w:r>
        <w:fldChar w:fldCharType="begin"/>
      </w:r>
      <w:r>
        <w:instrText xml:space="preserve"> HYPERLINK \l "_Toc214028675"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_Toc214028675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14:paraId="55FBE4AB">
      <w:pPr>
        <w:pStyle w:val="10"/>
        <w:tabs>
          <w:tab w:val="right" w:leader="dot" w:pos="8550"/>
        </w:tabs>
        <w:spacing w:line="360" w:lineRule="auto"/>
        <w:rPr>
          <w:rFonts w:ascii="宋体" w:hAnsi="宋体" w:cstheme="minorBidi"/>
          <w:sz w:val="24"/>
        </w:rPr>
      </w:pPr>
      <w:r>
        <w:fldChar w:fldCharType="begin"/>
      </w:r>
      <w:r>
        <w:instrText xml:space="preserve"> HYPERLINK \l "_Toc214028676"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_Toc214028676 \h </w:instrText>
      </w:r>
      <w:r>
        <w:rPr>
          <w:rFonts w:ascii="宋体" w:hAnsi="宋体"/>
          <w:sz w:val="24"/>
        </w:rPr>
        <w:fldChar w:fldCharType="separate"/>
      </w:r>
      <w:r>
        <w:rPr>
          <w:rFonts w:ascii="宋体" w:hAnsi="宋体"/>
          <w:sz w:val="24"/>
        </w:rPr>
        <w:t>106</w:t>
      </w:r>
      <w:r>
        <w:rPr>
          <w:rFonts w:ascii="宋体" w:hAnsi="宋体"/>
          <w:sz w:val="24"/>
        </w:rPr>
        <w:fldChar w:fldCharType="end"/>
      </w:r>
      <w:r>
        <w:rPr>
          <w:rFonts w:ascii="宋体" w:hAnsi="宋体"/>
          <w:sz w:val="24"/>
        </w:rPr>
        <w:fldChar w:fldCharType="end"/>
      </w:r>
    </w:p>
    <w:p w14:paraId="7C1CD918">
      <w:pPr>
        <w:pStyle w:val="10"/>
        <w:tabs>
          <w:tab w:val="right" w:leader="dot" w:pos="8550"/>
        </w:tabs>
        <w:spacing w:line="360" w:lineRule="auto"/>
        <w:rPr>
          <w:rFonts w:ascii="宋体" w:hAnsi="宋体" w:cstheme="minorBidi"/>
          <w:sz w:val="24"/>
        </w:rPr>
      </w:pPr>
      <w:r>
        <w:fldChar w:fldCharType="begin"/>
      </w:r>
      <w:r>
        <w:instrText xml:space="preserve"> HYPERLINK \l "_Toc214028677"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_Toc214028677 \h </w:instrText>
      </w:r>
      <w:r>
        <w:rPr>
          <w:rFonts w:ascii="宋体" w:hAnsi="宋体"/>
          <w:sz w:val="24"/>
        </w:rPr>
        <w:fldChar w:fldCharType="separate"/>
      </w:r>
      <w:r>
        <w:rPr>
          <w:rFonts w:ascii="宋体" w:hAnsi="宋体"/>
          <w:sz w:val="24"/>
        </w:rPr>
        <w:t>121</w:t>
      </w:r>
      <w:r>
        <w:rPr>
          <w:rFonts w:ascii="宋体" w:hAnsi="宋体"/>
          <w:sz w:val="24"/>
        </w:rPr>
        <w:fldChar w:fldCharType="end"/>
      </w:r>
      <w:r>
        <w:rPr>
          <w:rFonts w:ascii="宋体" w:hAnsi="宋体"/>
          <w:sz w:val="24"/>
        </w:rPr>
        <w:fldChar w:fldCharType="end"/>
      </w:r>
    </w:p>
    <w:p w14:paraId="43AFEFC2">
      <w:pPr>
        <w:pStyle w:val="10"/>
        <w:tabs>
          <w:tab w:val="right" w:leader="dot" w:pos="8550"/>
        </w:tabs>
        <w:spacing w:line="360" w:lineRule="auto"/>
        <w:rPr>
          <w:rFonts w:ascii="宋体" w:hAnsi="宋体" w:cstheme="minorBidi"/>
          <w:sz w:val="24"/>
        </w:rPr>
      </w:pPr>
      <w:r>
        <w:fldChar w:fldCharType="begin"/>
      </w:r>
      <w:r>
        <w:instrText xml:space="preserve"> HYPERLINK \l "_Toc214028678"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_Toc214028678 \h </w:instrText>
      </w:r>
      <w:r>
        <w:rPr>
          <w:rFonts w:ascii="宋体" w:hAnsi="宋体"/>
          <w:sz w:val="24"/>
        </w:rPr>
        <w:fldChar w:fldCharType="separate"/>
      </w:r>
      <w:r>
        <w:rPr>
          <w:rFonts w:ascii="宋体" w:hAnsi="宋体"/>
          <w:sz w:val="24"/>
        </w:rPr>
        <w:t>134</w:t>
      </w:r>
      <w:r>
        <w:rPr>
          <w:rFonts w:ascii="宋体" w:hAnsi="宋体"/>
          <w:sz w:val="24"/>
        </w:rPr>
        <w:fldChar w:fldCharType="end"/>
      </w:r>
      <w:r>
        <w:rPr>
          <w:rFonts w:ascii="宋体" w:hAnsi="宋体"/>
          <w:sz w:val="24"/>
        </w:rPr>
        <w:fldChar w:fldCharType="end"/>
      </w:r>
    </w:p>
    <w:p w14:paraId="1E68E416">
      <w:pPr>
        <w:pStyle w:val="10"/>
        <w:tabs>
          <w:tab w:val="right" w:leader="dot" w:pos="8550"/>
        </w:tabs>
        <w:spacing w:line="360" w:lineRule="auto"/>
        <w:rPr>
          <w:rFonts w:ascii="宋体" w:hAnsi="宋体" w:cstheme="minorBidi"/>
          <w:sz w:val="24"/>
        </w:rPr>
      </w:pPr>
      <w:r>
        <w:fldChar w:fldCharType="begin"/>
      </w:r>
      <w:r>
        <w:instrText xml:space="preserve"> HYPERLINK \l "_Toc214028679"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_Toc214028679 \h </w:instrText>
      </w:r>
      <w:r>
        <w:rPr>
          <w:rFonts w:ascii="宋体" w:hAnsi="宋体"/>
          <w:sz w:val="24"/>
        </w:rPr>
        <w:fldChar w:fldCharType="separate"/>
      </w:r>
      <w:r>
        <w:rPr>
          <w:rFonts w:ascii="宋体" w:hAnsi="宋体"/>
          <w:sz w:val="24"/>
        </w:rPr>
        <w:t>135</w:t>
      </w:r>
      <w:r>
        <w:rPr>
          <w:rFonts w:ascii="宋体" w:hAnsi="宋体"/>
          <w:sz w:val="24"/>
        </w:rPr>
        <w:fldChar w:fldCharType="end"/>
      </w:r>
      <w:r>
        <w:rPr>
          <w:rFonts w:ascii="宋体" w:hAnsi="宋体"/>
          <w:sz w:val="24"/>
        </w:rPr>
        <w:fldChar w:fldCharType="end"/>
      </w:r>
    </w:p>
    <w:p w14:paraId="14C86CBD">
      <w:pPr>
        <w:pStyle w:val="10"/>
        <w:tabs>
          <w:tab w:val="right" w:leader="dot" w:pos="8550"/>
        </w:tabs>
        <w:spacing w:line="360" w:lineRule="auto"/>
        <w:rPr>
          <w:rFonts w:ascii="宋体" w:hAnsi="宋体" w:cstheme="minorBidi"/>
          <w:sz w:val="24"/>
        </w:rPr>
      </w:pPr>
      <w:r>
        <w:fldChar w:fldCharType="begin"/>
      </w:r>
      <w:r>
        <w:instrText xml:space="preserve"> HYPERLINK \l "_Toc214028680"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_Toc214028680 \h </w:instrText>
      </w:r>
      <w:r>
        <w:rPr>
          <w:rFonts w:ascii="宋体" w:hAnsi="宋体"/>
          <w:sz w:val="24"/>
        </w:rPr>
        <w:fldChar w:fldCharType="separate"/>
      </w:r>
      <w:r>
        <w:rPr>
          <w:rFonts w:ascii="宋体" w:hAnsi="宋体"/>
          <w:sz w:val="24"/>
        </w:rPr>
        <w:t>139</w:t>
      </w:r>
      <w:r>
        <w:rPr>
          <w:rFonts w:ascii="宋体" w:hAnsi="宋体"/>
          <w:sz w:val="24"/>
        </w:rPr>
        <w:fldChar w:fldCharType="end"/>
      </w:r>
      <w:r>
        <w:rPr>
          <w:rFonts w:ascii="宋体" w:hAnsi="宋体"/>
          <w:sz w:val="24"/>
        </w:rPr>
        <w:fldChar w:fldCharType="end"/>
      </w:r>
    </w:p>
    <w:p w14:paraId="7A93F8F5">
      <w:pPr>
        <w:pStyle w:val="10"/>
        <w:tabs>
          <w:tab w:val="right" w:leader="dot" w:pos="8550"/>
        </w:tabs>
        <w:spacing w:line="360" w:lineRule="auto"/>
        <w:rPr>
          <w:rFonts w:ascii="宋体" w:hAnsi="宋体" w:cstheme="minorBidi"/>
          <w:sz w:val="24"/>
        </w:rPr>
      </w:pPr>
      <w:r>
        <w:fldChar w:fldCharType="begin"/>
      </w:r>
      <w:r>
        <w:instrText xml:space="preserve"> HYPERLINK \l "_Toc214028681"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_Toc214028681 \h </w:instrText>
      </w:r>
      <w:r>
        <w:rPr>
          <w:rFonts w:ascii="宋体" w:hAnsi="宋体"/>
          <w:sz w:val="24"/>
        </w:rPr>
        <w:fldChar w:fldCharType="separate"/>
      </w:r>
      <w:r>
        <w:rPr>
          <w:rFonts w:ascii="宋体" w:hAnsi="宋体"/>
          <w:sz w:val="24"/>
        </w:rPr>
        <w:t>140</w:t>
      </w:r>
      <w:r>
        <w:rPr>
          <w:rFonts w:ascii="宋体" w:hAnsi="宋体"/>
          <w:sz w:val="24"/>
        </w:rPr>
        <w:fldChar w:fldCharType="end"/>
      </w:r>
      <w:r>
        <w:rPr>
          <w:rFonts w:ascii="宋体" w:hAnsi="宋体"/>
          <w:sz w:val="24"/>
        </w:rPr>
        <w:fldChar w:fldCharType="end"/>
      </w:r>
    </w:p>
    <w:p w14:paraId="2CE59D67">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14:paraId="0405C8EE">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63C46169">
      <w:pPr>
        <w:pStyle w:val="2"/>
        <w:snapToGrid w:val="0"/>
        <w:spacing w:before="240" w:beforeLines="0" w:after="240"/>
        <w:rPr>
          <w:rFonts w:ascii="宋体" w:hAnsi="宋体"/>
          <w:szCs w:val="30"/>
        </w:rPr>
      </w:pPr>
      <w:bookmarkStart w:id="3" w:name="_Toc214028657"/>
      <w:r>
        <w:rPr>
          <w:rFonts w:ascii="Times New Roman" w:hAnsi="Times New Roman"/>
          <w:sz w:val="30"/>
        </w:rPr>
        <w:t>一、绪言</w:t>
      </w:r>
      <w:bookmarkEnd w:id="3"/>
    </w:p>
    <w:p w14:paraId="62C96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天利宝货币市场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货币市场基金监督管理办法》、《关于实施＜货币市场基金监督管理办法＞有关问题的规定》、《公开募集开放式证券投资基金流动性风险管理规定》(以下简称“《流动性规定》”)和其他相关法律法规的规定以及《交银施罗德天利宝货币市场基金基金合同》（以下简称“基金合同”）编写。</w:t>
      </w:r>
    </w:p>
    <w:p w14:paraId="4E1003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284AE3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13F429D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AF00119">
      <w:pPr>
        <w:pStyle w:val="2"/>
        <w:snapToGrid w:val="0"/>
        <w:spacing w:before="240" w:beforeLines="0" w:after="240"/>
        <w:rPr>
          <w:rFonts w:ascii="宋体" w:hAnsi="宋体"/>
          <w:szCs w:val="30"/>
        </w:rPr>
      </w:pPr>
      <w:bookmarkStart w:id="4" w:name="_Toc214028658"/>
      <w:r>
        <w:rPr>
          <w:rFonts w:ascii="Times New Roman" w:hAnsi="Times New Roman"/>
          <w:sz w:val="30"/>
        </w:rPr>
        <w:t>二、释义</w:t>
      </w:r>
      <w:bookmarkEnd w:id="4"/>
    </w:p>
    <w:p w14:paraId="4C8B0F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029C6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1、基金或本基金：指交银施罗德天利宝货币市场基金</w:t>
      </w:r>
    </w:p>
    <w:p w14:paraId="19FA38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14:paraId="01C1B3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3、基金托管人或本基金托管人：指中信银行股份有限公司</w:t>
      </w:r>
    </w:p>
    <w:p w14:paraId="7CF8CE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4、基金合同或《基金合同》：指《交银施罗德天利宝货币市场基金基金合同》及对基金合同的任何有效修订和补充</w:t>
      </w:r>
    </w:p>
    <w:p w14:paraId="361593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5、托管协议：指基金管理人与基金托管人就本基金签订之《交银施罗德天利宝货币市场基金托管协议》及对该托管协议的任何有效修订和补充</w:t>
      </w:r>
    </w:p>
    <w:p w14:paraId="0D2543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6、招募说明书、《招募说明书》或本招募说明书：指《交银施罗德天利宝货币市场基金招募说明书》及其更新</w:t>
      </w:r>
    </w:p>
    <w:p w14:paraId="507093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7、基金份额发售公告：指《交银施罗德天利宝货币市场基金基金份额发售公告》</w:t>
      </w:r>
    </w:p>
    <w:p w14:paraId="034DE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8、基金产品资料概要：指《交银施罗德天利宝货币市场基金基金产品资料概要》及其更新</w:t>
      </w:r>
    </w:p>
    <w:p w14:paraId="4908E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42412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14:paraId="33AB73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14:paraId="5DD589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14:paraId="213FD2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14:paraId="328D29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14:paraId="33BE2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14:paraId="381231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14:paraId="383E8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29851F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14:paraId="33CEEB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0F2787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14:paraId="1389B0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14:paraId="5D0D7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14:paraId="6E16A1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14:paraId="1CE2DD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14:paraId="1E2D1B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14:paraId="0BB7D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493D2C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14:paraId="2D41FE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14:paraId="5A5118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14:paraId="661DF3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14:paraId="121306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14:paraId="19CE2C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14:paraId="4FD5F6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14:paraId="7BA60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14:paraId="465FE1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14:paraId="5ECBD2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14:paraId="2F238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w:t>
      </w:r>
    </w:p>
    <w:p w14:paraId="71CC5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14:paraId="64CFA7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14:paraId="0D5BF3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14:paraId="55E7E7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14:paraId="75127E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14:paraId="2F9F4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14:paraId="0BE4F3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14:paraId="12518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47E4B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217568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14:paraId="0AD502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48、基金收益：指基金投资所得债券利息、买卖证券价差、银行存款利息、已实现的其他合法收入及因运用基金财产带来的成本和费用的节约</w:t>
      </w:r>
    </w:p>
    <w:p w14:paraId="1CBDCE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49、摊余成本法：指计价对象以买入成本列示，按照票面利率或协议利率并考虑其买入时的溢价与折价，在剩余存续期内按照实际利率法摊销，每日计提损益</w:t>
      </w:r>
    </w:p>
    <w:p w14:paraId="42FF88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50、每万份基金已实现收益：指按照相关法规计算的每万份基金份额的日已实现收益</w:t>
      </w:r>
    </w:p>
    <w:p w14:paraId="26E90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51、7日年化收益率：指以最近7日(含节假日) 每万份基金已实现收益所折算的年资产收益率</w:t>
      </w:r>
    </w:p>
    <w:p w14:paraId="673460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52、销售服务费：指本基金用于持续销售和服务基金份额持有人的费用，该笔费用从基金财产中扣除，属于基金的营运费用</w:t>
      </w:r>
    </w:p>
    <w:p w14:paraId="7C93A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53、基金资产总值：指基金拥有的各类有价证券和票据价值、银行存款本息、基金应收申购款及其他资产的价值总和</w:t>
      </w:r>
    </w:p>
    <w:p w14:paraId="4A61CF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54、基金资产净值：指基金资产总值减去基金负债后的价值</w:t>
      </w:r>
    </w:p>
    <w:p w14:paraId="3B7BD2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55、基金份额净值：指计算日基金资产净值除以计算日基金份额总数，本基金各类基金份额的基金份额净值保持在1.00元</w:t>
      </w:r>
    </w:p>
    <w:p w14:paraId="79BFD4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56、基金资产估值：指计算评估基金资产和负债的价值，以确定各类基金份额的基金资产净值、每万份基金已实现收益和7日年化收益率的过程</w:t>
      </w:r>
    </w:p>
    <w:p w14:paraId="10F9A2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14:paraId="536BCA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14:paraId="4CE6D1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59、不可抗力：指基金合同当事人不能预见、不能避免且不能克服的客观事件</w:t>
      </w:r>
    </w:p>
    <w:p w14:paraId="1478EDE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B327CF5">
      <w:pPr>
        <w:pStyle w:val="2"/>
        <w:snapToGrid w:val="0"/>
        <w:spacing w:before="240" w:beforeLines="0" w:after="240"/>
        <w:rPr>
          <w:rFonts w:ascii="宋体" w:hAnsi="宋体"/>
          <w:szCs w:val="30"/>
        </w:rPr>
      </w:pPr>
      <w:bookmarkStart w:id="5" w:name="_Toc214028659"/>
      <w:r>
        <w:rPr>
          <w:rFonts w:ascii="Times New Roman" w:hAnsi="Times New Roman"/>
          <w:sz w:val="30"/>
        </w:rPr>
        <w:t>三、基金管理人</w:t>
      </w:r>
      <w:bookmarkEnd w:id="5"/>
    </w:p>
    <w:p w14:paraId="7ACD0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3DE5B5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045DED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7BC849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51E79E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2A382C0A">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0CA725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7A5129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38C74C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2E716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68146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302FA3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6B14FB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4E4F319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7A996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14:paraId="2B892F0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33E0F4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AF78E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14:paraId="78AE3948">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11F2597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E3F4E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04C018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280B66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1402B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4A15978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098EC5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48292A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14:paraId="7A4038C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14:paraId="242883E9">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40884D8C">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324A9743">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215EDE9C">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单锋先生，独立董事，博士。现任南京大学法学教授职务。历任南京大学法学院助教、讲师、副教授。</w:t>
      </w:r>
    </w:p>
    <w:p w14:paraId="4BE9D675">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刘凤元先生，独立董事，博士。现任华东政法大学国际金融法律学院教授，资本市场研究中心主任，兼任多家香港和大陆上市公司（非证券基金经营机构）独立董事。</w:t>
      </w:r>
    </w:p>
    <w:p w14:paraId="2578355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宋若坤女士，独立董事，学士。英格兰及威尔士特许会计师协会和香港会计师公会特许会计师、注册金融分析师。历任毕马威会计师事务所香港分所审计部主管副经理，摩根资产管理（香港）亚太区资产管理合规主管、董事总经理等。</w:t>
      </w:r>
    </w:p>
    <w:p w14:paraId="0952EAD6">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2、基金管理人高级管理人员</w:t>
      </w:r>
    </w:p>
    <w:p w14:paraId="56B90212">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袁庆伟女士，总经理。简历同上。</w:t>
      </w:r>
    </w:p>
    <w:p w14:paraId="0702D19B">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5E325A0A">
      <w:pPr>
        <w:autoSpaceDE w:val="0"/>
        <w:autoSpaceDN w:val="0"/>
        <w:adjustRightInd w:val="0"/>
        <w:snapToGrid w:val="0"/>
        <w:spacing w:line="360" w:lineRule="auto"/>
        <w:ind w:firstLine="480" w:firstLineChars="200"/>
        <w:jc w:val="left"/>
        <w:rPr>
          <w:rFonts w:hint="eastAsia" w:ascii="宋体" w:hAnsi="宋体"/>
          <w:sz w:val="24"/>
        </w:rPr>
      </w:pPr>
      <w:r>
        <w:rPr>
          <w:rFonts w:hint="eastAsia"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14:paraId="1E0DE68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38554F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098F16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黄莹洁女士:基金经理。香港大学工商管理硕士、北京大学经济学、管理学双学士。1</w:t>
      </w:r>
      <w:r>
        <w:rPr>
          <w:rFonts w:hint="eastAsia" w:ascii="宋体" w:hAnsi="宋体"/>
          <w:sz w:val="24"/>
          <w:lang w:val="en-US" w:eastAsia="zh-CN"/>
        </w:rPr>
        <w:t>8</w:t>
      </w:r>
      <w:r>
        <w:rPr>
          <w:rFonts w:ascii="宋体" w:hAnsi="宋体"/>
          <w:sz w:val="24"/>
        </w:rPr>
        <w:t>年证券投资行业从业经验。2008年至2012年任中海基金管理有限公司交易员。2012年加入交银施罗德基金管理有限公司，曾任中央交易室交易员，现任固定收益部</w:t>
      </w:r>
      <w:r>
        <w:rPr>
          <w:rFonts w:hint="eastAsia" w:ascii="宋体" w:hAnsi="宋体"/>
          <w:sz w:val="24"/>
        </w:rPr>
        <w:t>投资助理总监、</w:t>
      </w:r>
      <w:r>
        <w:rPr>
          <w:rFonts w:ascii="宋体" w:hAnsi="宋体"/>
          <w:sz w:val="24"/>
        </w:rPr>
        <w:t>基金经理。曾任交银施罗德现金宝货币市场基金(2015年05月27日至2019年08月02日)、交银施罗德货币市场证券投资基金(2015年05月27日至2019年08月02日)、交银施罗德理财21天债券型证券投资基金(2015年05月27日至2020年07月27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w:t>
      </w:r>
      <w:r>
        <w:rPr>
          <w:rFonts w:hint="eastAsia" w:ascii="宋体" w:hAnsi="宋体"/>
          <w:sz w:val="24"/>
          <w:lang w:val="en-US" w:eastAsia="zh-CN"/>
        </w:rPr>
        <w:t>至2026年03月11日</w:t>
      </w:r>
      <w:r>
        <w:rPr>
          <w:rFonts w:ascii="宋体" w:hAnsi="宋体"/>
          <w:sz w:val="24"/>
        </w:rPr>
        <w:t>)、交银施罗德丰盈收益债券型证券投资基金(2024年12月04日</w:t>
      </w:r>
      <w:r>
        <w:rPr>
          <w:rFonts w:hint="eastAsia" w:ascii="宋体" w:hAnsi="宋体"/>
          <w:sz w:val="24"/>
          <w:lang w:val="en-US" w:eastAsia="zh-CN"/>
        </w:rPr>
        <w:t>至2025年12月27日</w:t>
      </w:r>
      <w:r>
        <w:rPr>
          <w:rFonts w:ascii="宋体" w:hAnsi="宋体"/>
          <w:sz w:val="24"/>
        </w:rPr>
        <w:t>)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w:t>
      </w:r>
      <w:r>
        <w:rPr>
          <w:rFonts w:hint="eastAsia" w:ascii="宋体" w:hAnsi="宋体"/>
          <w:sz w:val="24"/>
          <w:lang w:eastAsia="zh-CN"/>
        </w:rPr>
        <w:t>、</w:t>
      </w:r>
      <w:r>
        <w:rPr>
          <w:rFonts w:hint="eastAsia" w:ascii="宋体" w:hAnsi="宋体"/>
          <w:sz w:val="24"/>
        </w:rPr>
        <w:t>交银施罗德双轮动债券型证券投资基金</w:t>
      </w:r>
      <w:r>
        <w:rPr>
          <w:rFonts w:ascii="宋体" w:hAnsi="宋体"/>
          <w:sz w:val="24"/>
        </w:rPr>
        <w:t>(20</w:t>
      </w:r>
      <w:r>
        <w:rPr>
          <w:rFonts w:hint="default" w:ascii="宋体" w:hAnsi="宋体"/>
          <w:sz w:val="24"/>
          <w:lang w:val="en-US" w:eastAsia="zh-CN"/>
        </w:rPr>
        <w:t>25</w:t>
      </w:r>
      <w:r>
        <w:rPr>
          <w:rFonts w:ascii="宋体" w:hAnsi="宋体"/>
          <w:sz w:val="24"/>
        </w:rPr>
        <w:t>年12月</w:t>
      </w:r>
      <w:r>
        <w:rPr>
          <w:rFonts w:hint="default" w:ascii="宋体" w:hAnsi="宋体"/>
          <w:sz w:val="24"/>
          <w:lang w:val="en-US" w:eastAsia="zh-CN"/>
        </w:rPr>
        <w:t>27</w:t>
      </w:r>
      <w:r>
        <w:rPr>
          <w:rFonts w:ascii="宋体" w:hAnsi="宋体"/>
          <w:sz w:val="24"/>
        </w:rPr>
        <w:t>日至今)</w:t>
      </w:r>
      <w:r>
        <w:rPr>
          <w:rFonts w:hint="default" w:ascii="宋体" w:hAnsi="宋体"/>
          <w:sz w:val="24"/>
          <w:lang w:eastAsia="zh-CN"/>
        </w:rPr>
        <w:t>、</w:t>
      </w:r>
      <w:r>
        <w:rPr>
          <w:rFonts w:hint="eastAsia" w:ascii="宋体" w:hAnsi="宋体"/>
          <w:sz w:val="24"/>
        </w:rPr>
        <w:t>交银施罗德120天滚动持有债券型证券投资基金</w:t>
      </w:r>
      <w:r>
        <w:rPr>
          <w:rFonts w:ascii="宋体" w:hAnsi="宋体"/>
          <w:sz w:val="24"/>
        </w:rPr>
        <w:t>(20</w:t>
      </w:r>
      <w:r>
        <w:rPr>
          <w:rFonts w:hint="default" w:ascii="宋体" w:hAnsi="宋体"/>
          <w:sz w:val="24"/>
          <w:lang w:val="en-US" w:eastAsia="zh-CN"/>
        </w:rPr>
        <w:t>26</w:t>
      </w:r>
      <w:r>
        <w:rPr>
          <w:rFonts w:ascii="宋体" w:hAnsi="宋体"/>
          <w:sz w:val="24"/>
        </w:rPr>
        <w:t>年</w:t>
      </w:r>
      <w:r>
        <w:rPr>
          <w:rFonts w:hint="eastAsia" w:ascii="宋体" w:hAnsi="宋体"/>
          <w:sz w:val="24"/>
          <w:lang w:val="en-US" w:eastAsia="zh-CN"/>
        </w:rPr>
        <w:t>0</w:t>
      </w:r>
      <w:r>
        <w:rPr>
          <w:rFonts w:hint="default" w:ascii="宋体" w:hAnsi="宋体"/>
          <w:sz w:val="24"/>
          <w:lang w:val="en-US" w:eastAsia="zh-CN"/>
        </w:rPr>
        <w:t>3</w:t>
      </w:r>
      <w:r>
        <w:rPr>
          <w:rFonts w:ascii="宋体" w:hAnsi="宋体"/>
          <w:sz w:val="24"/>
        </w:rPr>
        <w:t>月1</w:t>
      </w:r>
      <w:r>
        <w:rPr>
          <w:rFonts w:hint="default" w:ascii="宋体" w:hAnsi="宋体"/>
          <w:sz w:val="24"/>
          <w:lang w:val="en-US" w:eastAsia="zh-CN"/>
        </w:rPr>
        <w:t>1</w:t>
      </w:r>
      <w:r>
        <w:rPr>
          <w:rFonts w:ascii="宋体" w:hAnsi="宋体"/>
          <w:sz w:val="24"/>
        </w:rPr>
        <w:t>日至今)的基金经理。</w:t>
      </w:r>
    </w:p>
    <w:p w14:paraId="4B4908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7AE31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连端清先生(2016年10月19日至2019年09月27日)。</w:t>
      </w:r>
    </w:p>
    <w:p w14:paraId="7A672A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4F44C4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14:paraId="1F216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14:paraId="36545D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于海颖（混合资产投资总监兼多元资产管理总监、基金经理）</w:t>
      </w:r>
    </w:p>
    <w:p w14:paraId="139515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2E833E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14:paraId="626688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14:paraId="613BBA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3499D3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0CF4B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58BA9E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76EC2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0C0DD6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456452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67DF9C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1423D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4AFDC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14:paraId="24784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1C53A1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6395B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56F3F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576611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14:paraId="1FFE92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4397A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7F6F2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1694D5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300EE0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763C83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14:paraId="37B878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（6）泄露因职务便利获取的未公开信息、利用该信息从事或者明示、暗示他人从事相关的交易活动；</w:t>
      </w:r>
    </w:p>
    <w:p w14:paraId="1586FA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（7）玩忽职守，不按照规定履行职责；</w:t>
      </w:r>
    </w:p>
    <w:p w14:paraId="3AB4F4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（8）法律、行政法规和中国证监会禁止的其他行为。</w:t>
      </w:r>
    </w:p>
    <w:p w14:paraId="26B28C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027ECD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71EEA6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336000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4DAFA9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5C410F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6B374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14:paraId="2EE3CC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5F1142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718140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14:paraId="5A53E5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14:paraId="37CC4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14:paraId="12F2CA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14:paraId="7C0EE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14:paraId="504FB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14:paraId="64564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14:paraId="2A00F0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14:paraId="0F47ED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14:paraId="265DE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14:paraId="1A9247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14:paraId="6BAD5B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14:paraId="3F070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5D9E6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14:paraId="15B2AE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14:paraId="536686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14:paraId="3A14DC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3A450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14:paraId="6E9D7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438064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14:paraId="555EB7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14:paraId="4FFC8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14:paraId="3B50C0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68124C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14:paraId="7B5133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5EDC0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14:paraId="6B7A23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4D86DE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14:paraId="22D64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3EBCCC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14:paraId="6428C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14:paraId="0E84C9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4202A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14:paraId="221A6C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14:paraId="2DBBAD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14:paraId="46E2F8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14:paraId="7ED3A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14:paraId="618155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662F90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14:paraId="7C204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14:paraId="624116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14:paraId="159385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14:paraId="27D10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14:paraId="47BA1B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14:paraId="1147244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EBF25C7">
      <w:pPr>
        <w:pStyle w:val="2"/>
        <w:snapToGrid w:val="0"/>
        <w:spacing w:before="240" w:beforeLines="0" w:after="240"/>
        <w:rPr>
          <w:rFonts w:ascii="宋体" w:hAnsi="宋体"/>
          <w:szCs w:val="30"/>
        </w:rPr>
      </w:pPr>
      <w:bookmarkStart w:id="6" w:name="_Toc214028660"/>
      <w:r>
        <w:rPr>
          <w:rFonts w:ascii="Times New Roman" w:hAnsi="Times New Roman"/>
          <w:sz w:val="30"/>
        </w:rPr>
        <w:t>四、基金托管人</w:t>
      </w:r>
      <w:bookmarkEnd w:id="6"/>
    </w:p>
    <w:p w14:paraId="686B4B7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（一）基金托管人基本情况</w:t>
      </w:r>
    </w:p>
    <w:p w14:paraId="301C0C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名称：中信银行股份有限公司（简称“中信银行”）</w:t>
      </w:r>
    </w:p>
    <w:p w14:paraId="0B66BC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14:paraId="6055E0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办公地址：北京市朝阳区光华路10号院1号楼6-30层、32-42层</w:t>
      </w:r>
    </w:p>
    <w:p w14:paraId="08885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法定代表人：方合英</w:t>
      </w:r>
    </w:p>
    <w:p w14:paraId="06ACAC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14:paraId="1B0EA6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267684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14:paraId="7CB851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68211E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14:paraId="4C9AA0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14:paraId="50A38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联系人：中信银行资产托管部</w:t>
      </w:r>
    </w:p>
    <w:p w14:paraId="3C325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联系电话：4006800000</w:t>
      </w:r>
    </w:p>
    <w:p w14:paraId="775C99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492C7B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客服电话：95558</w:t>
      </w:r>
    </w:p>
    <w:p w14:paraId="44966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网址：www.citicbank.com</w:t>
      </w:r>
    </w:p>
    <w:p w14:paraId="55A16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14:paraId="77CF4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w:t>
      </w:r>
    </w:p>
    <w:p w14:paraId="48997E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14:paraId="600EDB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14:paraId="575736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14:paraId="6219B9A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14:paraId="49B4B7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14:paraId="1276BC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14:paraId="513F73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14:paraId="0CFE857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14:paraId="47F53C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14:paraId="1C428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截至2025年第三季度末，中信银行托管429只公开募集证券投资基金，以及基金公司、证券公司资产管理产品、信托产品、企业年金、股权基金、QDII等其他托管资产，托管总规模达到17.88万亿元人民币。</w:t>
      </w:r>
    </w:p>
    <w:p w14:paraId="5EA53A3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（四）基金托管人的内部控制制度</w:t>
      </w:r>
    </w:p>
    <w:p w14:paraId="7E81D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14:paraId="27343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14:paraId="67184B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14:paraId="743B92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14:paraId="0870788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14:paraId="43F652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14:paraId="561198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14:paraId="5C5DBED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C94929F">
      <w:pPr>
        <w:pStyle w:val="2"/>
        <w:snapToGrid w:val="0"/>
        <w:spacing w:before="240" w:beforeLines="0" w:after="240"/>
        <w:rPr>
          <w:rFonts w:ascii="宋体" w:hAnsi="宋体"/>
          <w:szCs w:val="30"/>
        </w:rPr>
      </w:pPr>
      <w:bookmarkStart w:id="7" w:name="_Toc214028661"/>
      <w:r>
        <w:rPr>
          <w:rFonts w:ascii="Times New Roman" w:hAnsi="Times New Roman"/>
          <w:sz w:val="30"/>
        </w:rPr>
        <w:t>五、相关服务机构</w:t>
      </w:r>
      <w:bookmarkEnd w:id="7"/>
    </w:p>
    <w:p w14:paraId="566FB4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62940C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1F9524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本基金直销机构仅包括本基金管理人直销柜台。</w:t>
      </w:r>
    </w:p>
    <w:p w14:paraId="230AF7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03144D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6FC0E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0C39006F">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55F187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3EB856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2815F8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2615D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7F0875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384E8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102F1F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投资者可以通过本基金管理人直销柜台办理开户、本基金的申购、赎回、转换以及定期定额投资等业务。</w:t>
      </w:r>
    </w:p>
    <w:p w14:paraId="5BF0FC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14:paraId="082DC7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14:paraId="18F6D7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01AC0C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7F4F69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66F877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5E46A1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0CC143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3B4793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16AB9A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6A268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（2）名称：昆仑银行股份有限公司</w:t>
      </w:r>
    </w:p>
    <w:p w14:paraId="48E358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注册地址：新疆克拉玛依市世纪大道7号</w:t>
      </w:r>
    </w:p>
    <w:p w14:paraId="4CE6F7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办公地址：北京市西城区金融大街1号金亚光大厦B座</w:t>
      </w:r>
    </w:p>
    <w:p w14:paraId="27627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14:paraId="51FEC6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法定代表人：闫宏</w:t>
      </w:r>
    </w:p>
    <w:p w14:paraId="60966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电话：010-89026561</w:t>
      </w:r>
    </w:p>
    <w:p w14:paraId="5BCB7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传真：010-89025405</w:t>
      </w:r>
    </w:p>
    <w:p w14:paraId="1657E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联系人：陈宇良</w:t>
      </w:r>
    </w:p>
    <w:p w14:paraId="7D58D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客户服务电话：400-669-6569</w:t>
      </w:r>
    </w:p>
    <w:p w14:paraId="704E3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网址：www.klb.cn</w:t>
      </w:r>
    </w:p>
    <w:p w14:paraId="1D0AB0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（3）名称：宁波银行股份有限公司</w:t>
      </w:r>
    </w:p>
    <w:p w14:paraId="1E362B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0D08E3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46D17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7617A5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069609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27AE61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3F885C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10006A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（4）名称：招商银行股份有限公司</w:t>
      </w:r>
    </w:p>
    <w:p w14:paraId="636247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14:paraId="5D62C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14:paraId="7F804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3605C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14:paraId="50BFF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14:paraId="4C92C4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14:paraId="45FE3A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14:paraId="28D7FA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14:paraId="47A6B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（5）名称：中信银行股份有限公司</w:t>
      </w:r>
    </w:p>
    <w:p w14:paraId="2E88AA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17B941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3CD4BF87">
      <w:pPr>
        <w:autoSpaceDE w:val="0"/>
        <w:autoSpaceDN w:val="0"/>
        <w:adjustRightInd w:val="0"/>
        <w:snapToGrid w:val="0"/>
        <w:spacing w:line="360" w:lineRule="auto"/>
        <w:ind w:firstLine="480" w:firstLineChars="200"/>
        <w:jc w:val="left"/>
        <w:rPr>
          <w:rFonts w:hint="default" w:ascii="宋体" w:hAnsi="宋体" w:eastAsia="宋体"/>
          <w:szCs w:val="24"/>
          <w:lang w:val="en-US" w:eastAsia="zh-CN"/>
        </w:rPr>
      </w:pPr>
      <w:r>
        <w:rPr>
          <w:rFonts w:ascii="宋体" w:hAnsi="宋体"/>
          <w:sz w:val="24"/>
        </w:rPr>
        <w:t>法定代表人：</w:t>
      </w:r>
      <w:r>
        <w:rPr>
          <w:rFonts w:hint="eastAsia" w:ascii="宋体" w:hAnsi="宋体"/>
          <w:sz w:val="24"/>
        </w:rPr>
        <w:t>方合英</w:t>
      </w:r>
    </w:p>
    <w:p w14:paraId="5B445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7ABF13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26F28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7692D0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7C6305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2B94D4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（6）名称：兴业银行股份有限公司</w:t>
      </w:r>
    </w:p>
    <w:p w14:paraId="49505B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14:paraId="2E9EA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14:paraId="52900F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14:paraId="23866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14:paraId="62D7A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14:paraId="7883EA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14:paraId="01604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14:paraId="2F509D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（7）名称：上海浦东发展银行股份有限公司</w:t>
      </w:r>
    </w:p>
    <w:p w14:paraId="1F8B5A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14:paraId="70B00A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14:paraId="77CFCF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14:paraId="6F23A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14:paraId="60DEC6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14:paraId="182D23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14:paraId="74E0C4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14:paraId="73408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14:paraId="0F826F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（8）名称：中国邮政储蓄银行股份有限公司</w:t>
      </w:r>
    </w:p>
    <w:p w14:paraId="39306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14:paraId="718B22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14:paraId="6B70CA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14:paraId="3724AC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14:paraId="482BB3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14:paraId="5BF04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14:paraId="020E7A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14:paraId="6CCCFF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（9）名称：中国民生银行股份有限公司</w:t>
      </w:r>
    </w:p>
    <w:p w14:paraId="6C2E9B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14:paraId="1FD727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14:paraId="30F7A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14:paraId="28D4D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14:paraId="7EE64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14:paraId="4B6352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14:paraId="569BE6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14:paraId="6F656A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14:paraId="139E68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（10）名称：平安银行股份有限公司</w:t>
      </w:r>
    </w:p>
    <w:p w14:paraId="341662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14:paraId="4835A4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14:paraId="3779B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14:paraId="375777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14:paraId="3762BC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14:paraId="06E5DB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14:paraId="7155A6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14:paraId="05F83A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14:paraId="52948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（11）名称：中国光大银行股份有限公司</w:t>
      </w:r>
    </w:p>
    <w:p w14:paraId="7D809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14:paraId="67FC97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14:paraId="7B3951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14:paraId="7C25C7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14:paraId="42027D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14:paraId="311FCE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14:paraId="433B2E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14:paraId="77FBE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14:paraId="2051E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（12）名称：中国农业银行股份有限公司</w:t>
      </w:r>
    </w:p>
    <w:p w14:paraId="57FCCF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25CB11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24CD2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163F7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3F1A2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20D0E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14:paraId="075BC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14:paraId="6DC197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14:paraId="54D67D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（13）名称：江苏银行股份有限公司</w:t>
      </w:r>
    </w:p>
    <w:p w14:paraId="250181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14:paraId="40CC58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14:paraId="47FDA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14:paraId="5419E2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14:paraId="00AF51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14:paraId="7E1E36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14:paraId="67B9AB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14:paraId="30AA48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14:paraId="5A95DB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（14）名称：西部证券股份有限公司</w:t>
      </w:r>
    </w:p>
    <w:p w14:paraId="2F1A76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14:paraId="2F0AE2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14:paraId="244254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14:paraId="08A849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14:paraId="706993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14:paraId="04D81A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14:paraId="0E809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14:paraId="5C7F1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（15）名称：五矿证券有限公司</w:t>
      </w:r>
    </w:p>
    <w:p w14:paraId="69DADD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住所：深圳市福田区金田路4028号荣超经贸中心47层</w:t>
      </w:r>
    </w:p>
    <w:p w14:paraId="2F955E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法定代表人：赵立功</w:t>
      </w:r>
    </w:p>
    <w:p w14:paraId="0F05CB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公司客服电话：400180028</w:t>
      </w:r>
    </w:p>
    <w:p w14:paraId="315CB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传真号：075582545500</w:t>
      </w:r>
    </w:p>
    <w:p w14:paraId="4E730B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网址：www.wkzq.com.cn</w:t>
      </w:r>
    </w:p>
    <w:p w14:paraId="37EA6F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（16）名称：中国银河证券股份有限公司</w:t>
      </w:r>
    </w:p>
    <w:p w14:paraId="4CD792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7380A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0A6BB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1E8EB3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2D673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450934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4D66B4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581E94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（17）名称：广发证券股份有限公司</w:t>
      </w:r>
    </w:p>
    <w:p w14:paraId="12B22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14:paraId="6B668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14:paraId="78F71E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14:paraId="026EDB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14:paraId="40756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14:paraId="18A5F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14:paraId="6A3D30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14:paraId="0CBC22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14:paraId="4A75F0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（18）名称：国信证券股份有限公司</w:t>
      </w:r>
    </w:p>
    <w:p w14:paraId="4C3C6B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14:paraId="4CA3E6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14:paraId="60AFE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14:paraId="3F8D7D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14:paraId="10609E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14:paraId="7B55E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14:paraId="193D80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14:paraId="609AC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14:paraId="5D0A70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（19）名称：中国中金财富证券有限公司</w:t>
      </w:r>
    </w:p>
    <w:p w14:paraId="25C253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14:paraId="5C6C8E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14:paraId="1AB079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14:paraId="2E34D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14:paraId="420E2A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14:paraId="029D0C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14:paraId="0386F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14:paraId="4294B5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（20）名称：兴业证券股份有限公司</w:t>
      </w:r>
    </w:p>
    <w:p w14:paraId="624B4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4AB298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06527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1CEEA7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14:paraId="70C74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6EBA4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14:paraId="584A3A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63DA3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（21）名称：海通证券股份有限公司</w:t>
      </w:r>
    </w:p>
    <w:p w14:paraId="550412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6A877F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6115E2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69DED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0D967B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78E97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7DCAFD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7DA3C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68F49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（22）名称：国金证券股份有限公司</w:t>
      </w:r>
    </w:p>
    <w:p w14:paraId="5FDA88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5BF2C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0D128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44C14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296705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2DB819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3994A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3D19BF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78E12D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（23）名称：招商证券股份有限公司</w:t>
      </w:r>
    </w:p>
    <w:p w14:paraId="3C47C6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14:paraId="1092F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14:paraId="28E101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14:paraId="49388A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14:paraId="541D91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14:paraId="1AF8AD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14:paraId="3B459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14:paraId="1AE015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14:paraId="006B86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（24）名称：中信建投证券股份有限公司</w:t>
      </w:r>
    </w:p>
    <w:p w14:paraId="4BD9B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60758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1D645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14:paraId="623687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14:paraId="4660F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14:paraId="2CA7BB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40119E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7E8FB0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（25）名称：国泰海通证券股份有限公司</w:t>
      </w:r>
    </w:p>
    <w:p w14:paraId="2DECEB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22C82D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39E05B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445900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76B1B9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0797B2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14:paraId="386E2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14:paraId="1C6CB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25797C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（26）名称：东方财富证券股份有限公司</w:t>
      </w:r>
    </w:p>
    <w:p w14:paraId="1928C2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14:paraId="06D42B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14:paraId="406C99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14:paraId="3FC145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14:paraId="24818D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14:paraId="77E99F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14:paraId="11976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14:paraId="05CD02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14:paraId="79CF42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（27）名称：华福证券有限责任公司</w:t>
      </w:r>
    </w:p>
    <w:p w14:paraId="113FF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住所：福州市五四路157号新天地大厦7、8层</w:t>
      </w:r>
    </w:p>
    <w:p w14:paraId="23D35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办公地址：福州市五四路新天地大厦7至10层</w:t>
      </w:r>
    </w:p>
    <w:p w14:paraId="5259D5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法定代表人：黄金琳</w:t>
      </w:r>
    </w:p>
    <w:p w14:paraId="180A92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14:paraId="2F44B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14:paraId="31535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14:paraId="507858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14:paraId="660C89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（28）名称：中信证券（山东）有限责任公司</w:t>
      </w:r>
    </w:p>
    <w:p w14:paraId="354DC5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2A1558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074D6A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14:paraId="2B6B64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3E5C96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36BC33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14:paraId="296074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5A5C1C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39222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（29）名称：中信证券股份有限公司</w:t>
      </w:r>
    </w:p>
    <w:p w14:paraId="54857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346923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2CA54E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6C4C5F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38BD11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40BEA3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5F4913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（30）名称：中信证券华南股份有限公司</w:t>
      </w:r>
    </w:p>
    <w:p w14:paraId="54B989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7EFBCE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4BDCD2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14:paraId="6E22F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4270CD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17F2D5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14:paraId="0C0D2B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5B2628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1AAF8A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（31）名称：开源证券股份有限公司</w:t>
      </w:r>
    </w:p>
    <w:p w14:paraId="4D84AC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14:paraId="2D47F9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14:paraId="1C27C6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14:paraId="1A497F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14:paraId="40E0F3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14:paraId="16E494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14:paraId="6B5505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74DB5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（32）名称：申万宏源证券有限公司</w:t>
      </w:r>
    </w:p>
    <w:p w14:paraId="228CE3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1F150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42B3CF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755256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60C21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259311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40853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4F3FF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（33）名称：申万宏源西部证券有限公司</w:t>
      </w:r>
    </w:p>
    <w:p w14:paraId="609C48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0EEE72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792FD6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463515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398A12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7A432B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3107FE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264D6E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41C0D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（34）名称：华泰证券股份有限公司</w:t>
      </w:r>
    </w:p>
    <w:p w14:paraId="239557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14:paraId="154B73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14:paraId="52315A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14:paraId="4F1FAA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14:paraId="69644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14:paraId="347922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14:paraId="008F89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14:paraId="11D631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14:paraId="7966A6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（35）名称：平安证券股份有限公司</w:t>
      </w:r>
    </w:p>
    <w:p w14:paraId="19B8EB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14:paraId="75C09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14:paraId="4F0597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14:paraId="21DAE2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14:paraId="08503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14:paraId="7A8DA8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14:paraId="19D8F7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14:paraId="54190E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14:paraId="5F5667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（36）名称：东莞证券股份有限公司</w:t>
      </w:r>
    </w:p>
    <w:p w14:paraId="1A9373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14:paraId="2302EC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14:paraId="62703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14:paraId="4C0F4A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14:paraId="0B6D67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14:paraId="4DC808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14:paraId="0E4D3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14:paraId="5ED3D5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（37）名称：山西证券股份有限公司</w:t>
      </w:r>
    </w:p>
    <w:p w14:paraId="012D44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14:paraId="5F426A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14:paraId="192096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14:paraId="0C36A8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14:paraId="5EAE9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14:paraId="2A51ED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14:paraId="320D89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14:paraId="15DBC2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（38）名称：华西证券股份有限公司</w:t>
      </w:r>
    </w:p>
    <w:p w14:paraId="09F68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583E24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2C54BD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03B50B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5DF7CB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514758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71C184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4CB8F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3AED04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（39）名称：华宝证券股份有限公司</w:t>
      </w:r>
    </w:p>
    <w:p w14:paraId="463F32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14:paraId="142023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14:paraId="0E9E1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14:paraId="6F5F95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14:paraId="286628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14:paraId="6A4CC9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14:paraId="0FD26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14:paraId="38CDF9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14:paraId="37AE9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（40）名称：中国人寿保险股份有限公司</w:t>
      </w:r>
    </w:p>
    <w:p w14:paraId="6863C8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14:paraId="0482C4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14:paraId="4A0AE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14:paraId="3ACE6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14:paraId="480D1D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14:paraId="40BA4F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（41）名称：大连网金基金销售有限公司</w:t>
      </w:r>
    </w:p>
    <w:p w14:paraId="2D0DD7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14:paraId="62031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14:paraId="4FEC95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14:paraId="6B2A97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7C93E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78B1F1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14:paraId="3116F0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14:paraId="4696F2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76F229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（42）名称：京东肯特瑞基金销售有限公司</w:t>
      </w:r>
    </w:p>
    <w:p w14:paraId="1F3439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14:paraId="70020D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72F99A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196F0B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4580F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0EE52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39A2B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2A796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3BE3A9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（43）名称：珠海盈米基金销售有限公司</w:t>
      </w:r>
    </w:p>
    <w:p w14:paraId="7F025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7B6CD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30AAA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5A68A5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35F154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1B8763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60FDDB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0D3701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57681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（44）名称：北京汇成基金销售有限公司</w:t>
      </w:r>
    </w:p>
    <w:p w14:paraId="446854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46F6DD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7D7823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5C5D0F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553880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05245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5159EB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14:paraId="481DBD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4F4226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（45）名称：奕丰基金销售有限公司</w:t>
      </w:r>
    </w:p>
    <w:p w14:paraId="59D464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17C16F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70CEBB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0C8326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514C4D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145835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6BB90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429A2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091CAC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（46）名称：上海天天基金销售有限公司</w:t>
      </w:r>
    </w:p>
    <w:p w14:paraId="0E8D7D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7C349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6276CA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31EA4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7DDA02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7CFD7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0FF732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0D87B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1B7378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（47）名称：蚂蚁（杭州）基金销售有限公司</w:t>
      </w:r>
    </w:p>
    <w:p w14:paraId="1E58E0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680ACD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4708E5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7B453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3A15EF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762D5A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721F72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684F12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36D39E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（48）名称：上海基煜基金销售有限公司</w:t>
      </w:r>
    </w:p>
    <w:p w14:paraId="2E7078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2AB66A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4C4A3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463664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291AE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6D32E0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38427C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5C74B6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319232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（49）名称：泛华普益基金销售有限公司</w:t>
      </w:r>
    </w:p>
    <w:p w14:paraId="7B6B74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1F3C30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26263A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0DF626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251105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17699E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079490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5ADCF9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2BA2ED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（50）名称：北京雪球基金销售有限公司</w:t>
      </w:r>
    </w:p>
    <w:p w14:paraId="531372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14:paraId="2602BE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14:paraId="4B875D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700C98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228D18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3A7D50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6657C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5DD927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40C2A4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（51）名称：上海联泰基金销售有限公司</w:t>
      </w:r>
    </w:p>
    <w:p w14:paraId="40A51C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195D28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1CCF7F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229401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0545D1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721E7B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1E5712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4DE6D4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4301EA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（52）名称：和耕传承基金销售有限公司</w:t>
      </w:r>
    </w:p>
    <w:p w14:paraId="5680E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7707A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235221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778B4C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7F5CB7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617DC1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04DF74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0502E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784F30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（53）名称：北京度小满基金销售有限公司</w:t>
      </w:r>
    </w:p>
    <w:p w14:paraId="66211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542BF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113A2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20D40D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0DE22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5F3AE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49C91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470DC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5FBC48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（54）名称：北京创金启富基金销售有限公司</w:t>
      </w:r>
    </w:p>
    <w:p w14:paraId="25FECA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14:paraId="5C4C40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14:paraId="15B85D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14:paraId="3A171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54A25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3993E7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14:paraId="30CDDC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5DE464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14:paraId="60980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（55）名称：阳光人寿保险股份有限公司</w:t>
      </w:r>
    </w:p>
    <w:p w14:paraId="61F9AE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639EF2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53086D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129465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6F68C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568B9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3220D1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7451C9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34E368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（56）名称：上海长量基金销售有限公司</w:t>
      </w:r>
    </w:p>
    <w:p w14:paraId="728F3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64EE8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625C9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36CA15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2589C4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14EA2F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55CF8E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76A835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46B98A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（57）名称：上海好买基金销售有限公司</w:t>
      </w:r>
    </w:p>
    <w:p w14:paraId="07413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4D753C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387B1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296139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2D0DE2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4925F2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4E953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0E504B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（58）名称：上海利得基金销售有限公司</w:t>
      </w:r>
    </w:p>
    <w:p w14:paraId="052A5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14:paraId="1A998B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06531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30F44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09BB96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3B8B2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14:paraId="65D32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580B00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3B1A34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（59）名称：上海证达通基金销售有限公司</w:t>
      </w:r>
    </w:p>
    <w:p w14:paraId="45B9E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14:paraId="67048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14:paraId="222D12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14:paraId="2E197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5C9906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2964E5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14:paraId="1528EA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14:paraId="07009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14:paraId="5916D5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（60）名称：上海万得基金销售有限公司</w:t>
      </w:r>
    </w:p>
    <w:p w14:paraId="52DCDB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215F5A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3B347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14:paraId="49C5A2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32A440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31E65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14:paraId="116A0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7F06E1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14:paraId="53BC1C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（61）名称：嘉实财富管理有限公司</w:t>
      </w:r>
    </w:p>
    <w:p w14:paraId="74F8A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69B702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6CA7EB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14:paraId="56ACEA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14:paraId="0BF211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34F5DA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3685B0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558872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（62）名称：济安财富（北京）基金销售有限公司</w:t>
      </w:r>
    </w:p>
    <w:p w14:paraId="653DA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191D30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5BE036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5DF61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26BEA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5E0095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7D467D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31F8B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4E3080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（63）名称：博时财富基金销售有限公司</w:t>
      </w:r>
    </w:p>
    <w:p w14:paraId="7178D5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1B521A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69D26F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644B1B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5F4C18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5C205E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7665D9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1F0A5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3629F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（64）名称：诺亚正行基金销售有限公司</w:t>
      </w:r>
    </w:p>
    <w:p w14:paraId="24F0F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14A68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5B268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11B71C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096449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216446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597AE6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5B1693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437962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（65）名称：深圳众禄基金销售股份有限公司</w:t>
      </w:r>
    </w:p>
    <w:p w14:paraId="402B74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5F16B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7970E2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207457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7DF80E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02EAC6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3B12E5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4FC2A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3DE796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（66）名称：玄元保险代理有限公司</w:t>
      </w:r>
    </w:p>
    <w:p w14:paraId="442FE1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14:paraId="1A284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14:paraId="50EDC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14:paraId="032025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14:paraId="5A73A6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14:paraId="68B3E6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14:paraId="2EB802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14:paraId="7E08C5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（67）名称：中信期货有限公司</w:t>
      </w:r>
    </w:p>
    <w:p w14:paraId="355F72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73286A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6132D6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63646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22F580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588C89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0D7FBB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7C4D3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458699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（68）名称：上海挖财基金销售有限公司</w:t>
      </w:r>
    </w:p>
    <w:p w14:paraId="4E3667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4AC05E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5C6ED8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7986C3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30FFD8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11F9B6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792CB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1680D7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01C86F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206D62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（69）名称：上海华夏财富投资管理有限公司</w:t>
      </w:r>
    </w:p>
    <w:p w14:paraId="0803E4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14:paraId="7E4DB8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14:paraId="20C84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14:paraId="5085DB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14:paraId="761CA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14:paraId="534FC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14:paraId="6E048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14:paraId="0E0B40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14:paraId="13BAF2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（70）名称：中证金牛（北京）基金销售有限公司</w:t>
      </w:r>
    </w:p>
    <w:p w14:paraId="3DD5E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14:paraId="58A5B7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14:paraId="6BA1E4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14:paraId="2F3FDF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5FA32B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1B98E8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14:paraId="607856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3020D7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14:paraId="2BAB9F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（71）名称：上海攀赢基金销售有限公司</w:t>
      </w:r>
    </w:p>
    <w:p w14:paraId="5F3B51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客户服务电话：021-68889082</w:t>
      </w:r>
    </w:p>
    <w:p w14:paraId="1D79E3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网址：www.weonefunds.com</w:t>
      </w:r>
    </w:p>
    <w:p w14:paraId="5DAE3D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基金管理人可根据有关法律法规的要求，选择其它符合要求的机构销售本基金，并及时公告。</w:t>
      </w:r>
    </w:p>
    <w:p w14:paraId="0ABF4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44368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017D93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59D52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14:paraId="66F0FFC4">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3CAC34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电话：（021）61055461</w:t>
      </w:r>
    </w:p>
    <w:p w14:paraId="63B59F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传真：（021）61055064</w:t>
      </w:r>
    </w:p>
    <w:p w14:paraId="44983D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联系人：陈方强</w:t>
      </w:r>
    </w:p>
    <w:p w14:paraId="647BDD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5ABF3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2D49FE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0A91F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14:paraId="13A89C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7F993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21E9BA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27A649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14:paraId="474CC5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14:paraId="7710A1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082D22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14:paraId="2F431E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14:paraId="21083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14:paraId="0A542A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14:paraId="29856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14:paraId="456E34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14:paraId="55D47F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14:paraId="79CECC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14:paraId="793F3FA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6C5D632">
      <w:pPr>
        <w:pStyle w:val="2"/>
        <w:snapToGrid w:val="0"/>
        <w:spacing w:before="240" w:beforeLines="0" w:after="240"/>
        <w:rPr>
          <w:rFonts w:ascii="宋体" w:hAnsi="宋体"/>
          <w:szCs w:val="30"/>
        </w:rPr>
      </w:pPr>
      <w:bookmarkStart w:id="8" w:name="_Toc214028662"/>
      <w:r>
        <w:rPr>
          <w:rFonts w:ascii="Times New Roman" w:hAnsi="Times New Roman"/>
          <w:sz w:val="30"/>
        </w:rPr>
        <w:t>六、基金的募集</w:t>
      </w:r>
      <w:bookmarkEnd w:id="8"/>
    </w:p>
    <w:p w14:paraId="0588F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本基金由基金管理人依照《基金法》、《运作办法》、《销售办法》、基金合同及其他有关规定，并经中国证监会2016年5月24日证监许可[2016] 1106号文准予募集注册。</w:t>
      </w:r>
    </w:p>
    <w:p w14:paraId="0C687B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本基金为契约性开放式货币市场基金。基金存续期间为不定期。</w:t>
      </w:r>
    </w:p>
    <w:p w14:paraId="493AA8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3281B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本基金自2016年9月20日至2016年10月13日进行发售，本基金设立募集期共募集500,103,275.90份基金份额，有效认购户数为295户。</w:t>
      </w:r>
    </w:p>
    <w:p w14:paraId="1256BFA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513AD93">
      <w:pPr>
        <w:pStyle w:val="2"/>
        <w:snapToGrid w:val="0"/>
        <w:spacing w:before="240" w:beforeLines="0" w:after="240"/>
        <w:rPr>
          <w:rFonts w:ascii="宋体" w:hAnsi="宋体"/>
          <w:szCs w:val="30"/>
        </w:rPr>
      </w:pPr>
      <w:bookmarkStart w:id="9" w:name="_Toc214028663"/>
      <w:r>
        <w:rPr>
          <w:rFonts w:ascii="Times New Roman" w:hAnsi="Times New Roman"/>
          <w:sz w:val="30"/>
        </w:rPr>
        <w:t>七、基金合同的生效</w:t>
      </w:r>
      <w:bookmarkEnd w:id="9"/>
    </w:p>
    <w:p w14:paraId="410F55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根据有关规定，本基金满足基金合同生效条件，基金合同已于2016年10月19日正式生效。自基金合同生效之日起，本基金管理人正式开始管理本基金。</w:t>
      </w:r>
    </w:p>
    <w:p w14:paraId="4976C7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14:paraId="33C40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14:paraId="58933D0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E1A1C8B">
      <w:pPr>
        <w:pStyle w:val="2"/>
        <w:snapToGrid w:val="0"/>
        <w:spacing w:before="240" w:beforeLines="0" w:after="240"/>
        <w:rPr>
          <w:rFonts w:ascii="宋体" w:hAnsi="宋体"/>
          <w:szCs w:val="30"/>
        </w:rPr>
      </w:pPr>
      <w:bookmarkStart w:id="10" w:name="_Toc214028664"/>
      <w:r>
        <w:rPr>
          <w:rFonts w:ascii="Times New Roman" w:hAnsi="Times New Roman"/>
          <w:sz w:val="30"/>
        </w:rPr>
        <w:t>八、基金份额的申购与赎回</w:t>
      </w:r>
      <w:bookmarkEnd w:id="10"/>
    </w:p>
    <w:p w14:paraId="2D4B289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14:paraId="1578C4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03778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568A71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本基金直销机构仅包括基金管理人直销柜台。</w:t>
      </w:r>
    </w:p>
    <w:p w14:paraId="39EEF4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766DC8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7160D4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616D5E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2FE6F8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37E84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4F907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7E8D6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3AF31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投资者可以通过本基金管理人直销柜台办理开户、本基金A类及E类基金份额的申购、赎回、转换、定期定额投资等业务。</w:t>
      </w:r>
    </w:p>
    <w:p w14:paraId="43B3F5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2、除基金管理人之外其他销售机构</w:t>
      </w:r>
    </w:p>
    <w:p w14:paraId="273572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14:paraId="76C508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投资人可通过上述销售机构办理基金申购、赎回、转换业务的营业场所或按上述销售机构提供的其他方式进行申购、赎回或转换。本基金管理人可根据情况变更或增减基金销售机构，并在管理人网站公示。</w:t>
      </w:r>
    </w:p>
    <w:p w14:paraId="7E3050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若销售机构开通电话、传真或网上等交易方式，投资人可以通过上述方式进行申购与赎回。</w:t>
      </w:r>
    </w:p>
    <w:p w14:paraId="4A9B261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14:paraId="1A5B4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75E36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50782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新的业务发展或其他特殊情况，基金管理人将视情况对前述开放日及开放时间进行相应的调整，但应在实施日前依照《信息披露办法》的有关规定在指定媒介上公告。</w:t>
      </w:r>
    </w:p>
    <w:p w14:paraId="3C787E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14:paraId="26E813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本基金A类基金份额和E类基金份额已于2016年11月17日起开放申购、赎回业务。</w:t>
      </w:r>
    </w:p>
    <w:p w14:paraId="0D336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本基金C类基金份额已于2023年5月25日起开放申购、赎回业务。</w:t>
      </w:r>
    </w:p>
    <w:p w14:paraId="05D09E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视为下一开放日的申购、赎回或转换申请。</w:t>
      </w:r>
    </w:p>
    <w:p w14:paraId="2A2CB01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14:paraId="7C2FD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1、“确定价”原则，即申购、赎回价格以每份基金份额净值为1.00元的基准进行计算；</w:t>
      </w:r>
    </w:p>
    <w:p w14:paraId="6D54C5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0640A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14:paraId="491CA7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4、基金管理人有权决定基金份额持有人持有本基金的最高限额和本基金的总规模限额，但应最迟在新的限额实施前依照《信息披露办法》的有关规定在指定媒介上公告。</w:t>
      </w:r>
    </w:p>
    <w:p w14:paraId="328FAA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14:paraId="287DFA8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（四）申购和赎回的程序</w:t>
      </w:r>
    </w:p>
    <w:p w14:paraId="36F809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7D99E0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605BB1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14:paraId="61BBE0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14:paraId="62AA8D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14:paraId="0F22CA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14:paraId="6809A3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14:paraId="3271DC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14:paraId="69F29B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7F10E10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（五）申购和赎回的数额限定</w:t>
      </w:r>
    </w:p>
    <w:p w14:paraId="424B6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158B4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本基金直销机构单笔申购最低金额可由基金管理人酌情调整。其他销售机构单笔申购的最低金额为单笔0.01元，如果其他销售机构业务规则规定的最低单笔申购金额高于0.01元，以该销售机构的规定为准。</w:t>
      </w:r>
    </w:p>
    <w:p w14:paraId="4D38BF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39952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赎回的最低份额为0.01份基金份额，如果销售机构业务规则规定的最低单笔赎回份额高于0.01份，以该销售机构的规定为准。</w:t>
      </w:r>
    </w:p>
    <w:p w14:paraId="53C31C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14:paraId="218B44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14:paraId="701D93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根据基金实际运作情况规定单个投资人累计持有的基金份额上限、本基金的总规模上限、当日申购金额上限、或单个投资人当日申购金额上限，并在相关限制实施日前依照《信息披露办法》的有关规定在指定媒介上公告。</w:t>
      </w:r>
    </w:p>
    <w:p w14:paraId="73FD3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5、为保护基金份额持有人的合法权益，基金管理人可以依照相关法律法规以及基金合同的约定，在特定市场条件下暂停或者拒绝接受一定金额以上的资金申购，具体以基金管理人的公告为准。</w:t>
      </w:r>
    </w:p>
    <w:p w14:paraId="5109FB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4F851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可在法律法规允许的情况下，调整上述规定申购金额、赎回份额、最低基金份额保留余额和基金总规模等数量限制。基金管理人必须在调整实施前依照《信息披露办法》的有关规定在指定媒介上公告并报中国证监会备案。</w:t>
      </w:r>
    </w:p>
    <w:p w14:paraId="68F7DFB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（六）申购和赎回的价格、费用及其用途</w:t>
      </w:r>
    </w:p>
    <w:p w14:paraId="7B293B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另有规定或基金合同另有约定外，本基金不收取申购费用和赎回费用；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w:t>
      </w:r>
    </w:p>
    <w:p w14:paraId="1418A2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w:t>
      </w:r>
    </w:p>
    <w:p w14:paraId="20543D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2、本基金通过每日计算收益并分配的方式，使基金份额净值保持在1.00元。本基金的申购、赎回价格为每份基金份额1.00元。</w:t>
      </w:r>
    </w:p>
    <w:p w14:paraId="45247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3、申购份额的计算</w:t>
      </w:r>
    </w:p>
    <w:p w14:paraId="22C18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申购份额=申购金额/1.00元</w:t>
      </w:r>
    </w:p>
    <w:p w14:paraId="76423C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申购份额的计算结果保留到小数点后2位，小数点2位以后的部分四舍五入，由此误差产生的收益或损失由基金财产承担。</w:t>
      </w:r>
    </w:p>
    <w:p w14:paraId="4EAF64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例一：假定某投资者投资10,000元申购本基金A类基金份额，则其可得到的基金份额计算如下：</w:t>
      </w:r>
    </w:p>
    <w:p w14:paraId="33578E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申购份额=10,000/1.00=10,000份</w:t>
      </w:r>
    </w:p>
    <w:p w14:paraId="720512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即投资者投资10,000元申购本基金A类基金份额，可以得到10,000份A类基金份额。</w:t>
      </w:r>
    </w:p>
    <w:p w14:paraId="16BEDE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4、赎回金额的计算</w:t>
      </w:r>
    </w:p>
    <w:p w14:paraId="3E277E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赎回金额等于登记机构确认的赎回份额乘以1.00元。投资人提交全额赎回申请时，所有未支付累计净收益将随赎回款项一并结清。</w:t>
      </w:r>
    </w:p>
    <w:p w14:paraId="71C566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赎回金额的计算结果保留到小数点后2位，小数点2位以后的部分四舍五入，由此误差产生的收益或损失由基金财产承担。</w:t>
      </w:r>
    </w:p>
    <w:p w14:paraId="483712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例二：假定某投资者将所持有的10,000份A类基金份额赎回（非全额赎回），则其可得到的赎回金额计算如下：</w:t>
      </w:r>
    </w:p>
    <w:p w14:paraId="266B09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赎回金额=10,000×1.00=10,000元</w:t>
      </w:r>
    </w:p>
    <w:p w14:paraId="567FB1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5、基金管理人可以在基金合同约定的范围内调整费率或收费方式，并最迟应于新的费率或收费方式实施日前依照《信息披露办法》的有关规定在指定媒介上公告。</w:t>
      </w:r>
    </w:p>
    <w:p w14:paraId="32F72EB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（七）拒绝或暂停申购的情形</w:t>
      </w:r>
    </w:p>
    <w:p w14:paraId="46FC6E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2FF556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01557B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14:paraId="5F4E1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1ADF7B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4、本基金出现当日净收益或累计未分配净收益小于零的情形，为保护基金份额持有人的利益，基金管理人可视情况暂停本基金的申购。</w:t>
      </w:r>
    </w:p>
    <w:p w14:paraId="60AD42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5、接受某笔或某些申购申请可能会影响或损害现有基金份额持有人利益时。</w:t>
      </w:r>
    </w:p>
    <w:p w14:paraId="45D866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6、基金资产规模过大，使基金管理人无法找到合适的投资品种，或其他可能对基金业绩产生负面影响，或发生其他损害现有基金份额持有人利益的情形。</w:t>
      </w:r>
    </w:p>
    <w:p w14:paraId="772241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新的申购申请被确认成功，使本基金总规模超过基金管理人规定的本基金总规模上限时，或使本基金当日申购金额超过基金管理人规定的当日申购金额上限时，或使该投资人累计持有的份额超过基金管理人规定的单个投资人累计持有份额上限时，或使该投资人当日申购金额超过基金管理人规定的单个投资人当日申购金额上限时。</w:t>
      </w:r>
    </w:p>
    <w:p w14:paraId="1CA1CF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8、为保护基金份额持有人的合法权益，基金管理人可以依照相关法律法规，在特定市场条件下暂停或者拒绝接受一定金额以上的资金申购。</w:t>
      </w:r>
    </w:p>
    <w:p w14:paraId="55C539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9、基金管理人、基金托管人、基金销售机构、基金销售支付结算机构或登记机构的异常情况导致基金销售系统、基金销售支付结算系统、基金注册登记系统或基金会计系统无法正常运行。</w:t>
      </w:r>
    </w:p>
    <w:p w14:paraId="3FD286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10、当影子定价确定的基金资产净值与摊余成本法计算的基金资产净值的正偏离度绝对值达到0.5%时。</w:t>
      </w:r>
    </w:p>
    <w:p w14:paraId="63104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14:paraId="781C3B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12、基金管理人接受某笔或者某些申购申请有可能导致单一投资者持有基金份额的比例超过50%，或者变相规避50%集中度的情形时。出现上述情形时，基金管理人有权将上述申购申请全部或部分确认失败。</w:t>
      </w:r>
    </w:p>
    <w:p w14:paraId="41F224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13、法律法规规定或中国证监会认定的其他情形。</w:t>
      </w:r>
    </w:p>
    <w:p w14:paraId="374156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4、6、8、9、10、11、13项暂停申购情形之一且基金管理人决定暂停接受投资人的申购申请时，基金管理人应当根据有关规定在指定媒介上刊登暂停申购公告。对于上述第7项拒绝申购的情形，基金管理人将在基金管理人网站上公布相关申购上限设定。如果投资人的申购申请被拒绝，被拒绝的申购款项将退还给投资人。在暂停申购的情况消除时，基金管理人应及时恢复申购业务的办理。</w:t>
      </w:r>
    </w:p>
    <w:p w14:paraId="136FCC5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（八）暂停赎回或延缓支付赎回款项的情形</w:t>
      </w:r>
    </w:p>
    <w:p w14:paraId="2804F3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09699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18B2A1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09EF64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1D9A97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4、本基金出现当日净收益或累计未分配净收益小于零的情形，为保护基金份额持有人的利益，基金管理人可视情况暂停本基金的赎回。</w:t>
      </w:r>
    </w:p>
    <w:p w14:paraId="6D3FEF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5、连续两个或两个以上开放日发生巨额赎回。</w:t>
      </w:r>
    </w:p>
    <w:p w14:paraId="4A443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6、本基金的资产组合中的重要部分发生暂停交易或其他重大事件，继续接受赎回可能会影响或损害基金份额持有人利益时。</w:t>
      </w:r>
    </w:p>
    <w:p w14:paraId="78C0F1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7、当影子定价确定的基金资产净值与摊余成本法计算的基金资产净值的负偏离度绝对值连续两个交易日超过0.5%时，基金管理人可视情况暂停本基金的赎回。</w:t>
      </w:r>
    </w:p>
    <w:p w14:paraId="254AD4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14:paraId="1141AB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9、基金合同约定、法律法规规定或中国证监会认定的其他情形。</w:t>
      </w:r>
    </w:p>
    <w:p w14:paraId="512F1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5项所述情形，按基金合同的相关条款处理。基金份额持有人在申请赎回时可事先选择将当日可能未获受理部分予以撤销。在暂停赎回的情况消除时，基金管理人应及时恢复赎回业务的办理并公告。</w:t>
      </w:r>
    </w:p>
    <w:p w14:paraId="6D6AB8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公平对待不同类别基金份额持有人的合法权益，单个基金份额持有人在单个开放日申请赎回基金份额超过基金总份额10%的，基金管理人可以延期办理部分赎回申请或者延缓支付赎回款项，具体操作以基金管理人届时发布的相关公告为准。</w:t>
      </w:r>
    </w:p>
    <w:p w14:paraId="32363DC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（九）巨额赎回的情形及处理方式</w:t>
      </w:r>
    </w:p>
    <w:p w14:paraId="19186A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5F289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58834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3F1B83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2C821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4F0D92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136666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14:paraId="2C1D13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74C235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1C727B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14:paraId="6BD8BA5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（十）暂停申购或赎回的公告和重新开放申购或赎回的公告</w:t>
      </w:r>
    </w:p>
    <w:p w14:paraId="0AA589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14:paraId="110D7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各类基金份额的每万份基金已实现收益和7日年化收益率。</w:t>
      </w:r>
    </w:p>
    <w:p w14:paraId="2809EA1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（十一）基金的非交易过户</w:t>
      </w:r>
    </w:p>
    <w:p w14:paraId="114754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2C2FE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7A4F875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（十二）基金的转托管</w:t>
      </w:r>
    </w:p>
    <w:p w14:paraId="30B1EB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22BD939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（十三）定期定额投资计划</w:t>
      </w:r>
    </w:p>
    <w:p w14:paraId="285A3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本基金2019年6月5日刊登公告自2019年6月5日起开通A类基金份额和E类基金份额的定期定额投资计划业务，本基金2023年5月24日刊登公告自2023年5月25日起增设C类基金份额并开通C类基金份额的定期定额投资计划业务，具体开通销售机构名单和业务规则参见相关公告。</w:t>
      </w:r>
    </w:p>
    <w:p w14:paraId="230740D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（十四）基金份额的冻结和解冻</w:t>
      </w:r>
    </w:p>
    <w:p w14:paraId="7C7747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14:paraId="755AA59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（十五）基金份额的转让</w:t>
      </w:r>
    </w:p>
    <w:p w14:paraId="3C958A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111CA2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（十六）其他业务</w:t>
      </w:r>
    </w:p>
    <w:p w14:paraId="6C1789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3BF45D2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F42636C">
      <w:pPr>
        <w:pStyle w:val="2"/>
        <w:snapToGrid w:val="0"/>
        <w:spacing w:before="240" w:beforeLines="0" w:after="240"/>
        <w:rPr>
          <w:rFonts w:ascii="宋体" w:hAnsi="宋体"/>
          <w:szCs w:val="30"/>
        </w:rPr>
      </w:pPr>
      <w:bookmarkStart w:id="11" w:name="_Toc214028665"/>
      <w:r>
        <w:rPr>
          <w:rFonts w:ascii="Times New Roman" w:hAnsi="Times New Roman"/>
          <w:sz w:val="30"/>
        </w:rPr>
        <w:t>九、基金的转换</w:t>
      </w:r>
      <w:bookmarkEnd w:id="11"/>
    </w:p>
    <w:p w14:paraId="4FF6F28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14:paraId="166A4A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14:paraId="5B36373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14:paraId="3023C4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本基金2018年3月6日刊登公告自2018年3月7日起开放A类基金份额和E类基金份额的日常转换业务。本基金2023年5月24日刊登公告自2023年5月25日起增设C类基金份额并开通C类基金份额的日常转换业务。</w:t>
      </w:r>
    </w:p>
    <w:p w14:paraId="25D7C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14:paraId="5A398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24F91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14:paraId="14787F1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14:paraId="09C55C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申请方式：书面申请或销售机构公布的其他方式。</w:t>
      </w:r>
    </w:p>
    <w:p w14:paraId="7C25DF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基金转换申请的确认</w:t>
      </w:r>
    </w:p>
    <w:p w14:paraId="164C58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14:paraId="1E3479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基金转换的注册登记</w:t>
      </w:r>
    </w:p>
    <w:p w14:paraId="5F6E03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14:paraId="4C88E05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14:paraId="0F947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55CB1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基金遵循“份额转换”的原则，单笔转换份额不得低于10份。基金持有人可将其全部或部分基金份额转换成其它基金，单笔转换申请不受转入基金最低申购限额限制。</w:t>
      </w:r>
    </w:p>
    <w:p w14:paraId="02FF9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投资人在单个交易账户保留的货币基金(除交银货币外)的最低保留余额为0.01份，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14:paraId="696BD57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14:paraId="11E6A0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14:paraId="71192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14:paraId="17D3F0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14:paraId="5CFFD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3、转出与转入基金的申购补差费用</w:t>
      </w:r>
    </w:p>
    <w:p w14:paraId="19A2FF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14:paraId="2246D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4、网上直销的申购补差费率优惠</w:t>
      </w:r>
    </w:p>
    <w:p w14:paraId="6B2A5B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1B00BE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5、本基金管理人可以根据法律法规及基金合同的规定对上述转换费用收费方式和费率进行调整，并应于调整后的收费方式和费率实施前依照《信息披露办法》的有关规定在中国证监会指定媒介上公告。</w:t>
      </w:r>
    </w:p>
    <w:p w14:paraId="0ABB4DC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14:paraId="5FC980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727C6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684D5E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4F39B0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转出基金申购费用=转入确认金额×转出基金申购费率/（1+转出基金申购费率）</w:t>
      </w:r>
    </w:p>
    <w:p w14:paraId="5E8402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转入基金申购费用=转入确认金额×转入基金申购费率/（1+转入基金申购费率）</w:t>
      </w:r>
    </w:p>
    <w:p w14:paraId="74B93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转出与转入基金的申购补差费=MAX（0，转入基金申购费用-转出基金申购费用）</w:t>
      </w:r>
    </w:p>
    <w:p w14:paraId="6FD8A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3145BC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74A97D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5AB25E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6FE91A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14:paraId="1B44AD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14:paraId="33C72E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转出基金的赎回费=101,000×0%=0元</w:t>
      </w:r>
    </w:p>
    <w:p w14:paraId="3782D7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转入确认金额=101,000-0=101,000元</w:t>
      </w:r>
    </w:p>
    <w:p w14:paraId="02465D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转出基金申购费用=101,000×0.30%/（1+0.30%）=302.09元</w:t>
      </w:r>
    </w:p>
    <w:p w14:paraId="22F16B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转入基金申购费用=0</w:t>
      </w:r>
    </w:p>
    <w:p w14:paraId="165C7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转出与转入基金的申购补差费=0元</w:t>
      </w:r>
    </w:p>
    <w:p w14:paraId="5291F0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转入基金确认份额=（101,000-0）/1.00=101,000份</w:t>
      </w:r>
    </w:p>
    <w:p w14:paraId="04CA5C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14:paraId="6F4044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3A28CE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1937C1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37FC00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转出基金申购费用=0元</w:t>
      </w:r>
    </w:p>
    <w:p w14:paraId="0D69C5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转入基金申购费用=100,000×0.30%/（1+0.30%）=299.10元</w:t>
      </w:r>
    </w:p>
    <w:p w14:paraId="3144BC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转出与转入基金的申购补差费=299.10-0=299.10元</w:t>
      </w:r>
    </w:p>
    <w:p w14:paraId="2F9826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转入基金确认份额=（100,000-299.10+61.52）/1.0100=98,774.67份</w:t>
      </w:r>
    </w:p>
    <w:p w14:paraId="671BBA1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14:paraId="49BE76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14:paraId="7E0B42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14:paraId="66277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3EC32C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申请将其账户内货币基金的基金份额转换为其他基金份额时，注册登记机构将自动结转该转出份额对应的待支付收益，该收益将一并计入转出金额并折算为转入基金的基金份额，但收益部分不收取转换费用。</w:t>
      </w:r>
    </w:p>
    <w:p w14:paraId="520D3E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699933D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14:paraId="3FE01E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14:paraId="348D78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14:paraId="381AA73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ABBE008">
      <w:pPr>
        <w:pStyle w:val="2"/>
        <w:snapToGrid w:val="0"/>
        <w:spacing w:before="240" w:beforeLines="0" w:after="240"/>
        <w:rPr>
          <w:rFonts w:ascii="宋体" w:hAnsi="宋体"/>
          <w:szCs w:val="30"/>
        </w:rPr>
      </w:pPr>
      <w:bookmarkStart w:id="12" w:name="_Toc214028666"/>
      <w:r>
        <w:rPr>
          <w:rFonts w:ascii="Times New Roman" w:hAnsi="Times New Roman"/>
          <w:sz w:val="30"/>
        </w:rPr>
        <w:t>十、基金的投资</w:t>
      </w:r>
      <w:bookmarkEnd w:id="12"/>
    </w:p>
    <w:p w14:paraId="4B41CCE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14:paraId="3D4D34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在力求本金安全性和资产充分流动性的前提下，追求超过业绩比较基准的投资收益。</w:t>
      </w:r>
    </w:p>
    <w:p w14:paraId="7A38D88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14:paraId="5F30C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14:paraId="15E294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14:paraId="19A58A8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14:paraId="1F637E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14:paraId="7D96B3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1、短期利率水平预期策略</w:t>
      </w:r>
    </w:p>
    <w:p w14:paraId="6AB9C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深入分析国家货币政策、短期资金市场利率波动、资本市场资金面的情况和流动性的变化，对短期利率走势形成合理预期，并据此调整基金货币资产的配置策略。</w:t>
      </w:r>
    </w:p>
    <w:p w14:paraId="2C3EA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2、收益率曲线分析策略</w:t>
      </w:r>
    </w:p>
    <w:p w14:paraId="240E02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根据收益率曲线的变化趋势，采取相应的投资管理策略。货币市场收益率曲线的形状反映当时短期利率水平之间的关系，反映市场对较短期限经济状况的判断及对未来短期经济走势的预期。</w:t>
      </w:r>
    </w:p>
    <w:p w14:paraId="2C3E0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3、组合剩余期限策略、期限配置策略</w:t>
      </w:r>
    </w:p>
    <w:p w14:paraId="3B4CD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稳定收益，锁定风险，满足组合目标期限。</w:t>
      </w:r>
    </w:p>
    <w:p w14:paraId="6FF4F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4、类别品种配置策略</w:t>
      </w:r>
    </w:p>
    <w:p w14:paraId="413816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14:paraId="0983A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5、流动性管理策略</w:t>
      </w:r>
    </w:p>
    <w:p w14:paraId="279B16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在满足基金投资者申购、赎回的资金需求前提下，通过基金资产安排（包括现金库存、资产变现、剩余期限管理或以其他措施），在保持基金资产高流动性的前提下，确保基金的稳定收益。</w:t>
      </w:r>
    </w:p>
    <w:p w14:paraId="79CF8A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6、无风险套利策略</w:t>
      </w:r>
    </w:p>
    <w:p w14:paraId="79617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无风险套利策略包括：</w:t>
      </w:r>
    </w:p>
    <w:p w14:paraId="607DEB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14:paraId="51FFF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跨品种套利策略：根据各细分市场中不同品种的风险参数、流动性补偿和收益特征，动态调整不同期限结构品种的配置比例。</w:t>
      </w:r>
    </w:p>
    <w:p w14:paraId="3DA161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7、滚动配置策略</w:t>
      </w:r>
    </w:p>
    <w:p w14:paraId="317ABE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根据具体投资品种的市场特性，采用持续滚动投资的方法，以提高基金资产的整体持续的变现能力。</w:t>
      </w:r>
    </w:p>
    <w:p w14:paraId="1A174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8、其他金融工具投资策略</w:t>
      </w:r>
    </w:p>
    <w:p w14:paraId="3BF2E2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密切跟踪银行承兑汇票、商业承兑汇票等商业票据以及各种衍生产品的动向，一旦监管机构允许货币市场基金参与此类金融工具的投资，基金管理人在履行适当程序后将其纳入投资范围，本基金将在届时相应法律法规的框架内，根据对该金融工具的研究，制定符合本基金投资目标的投资策略，在充分考虑该投资品种风险和收益特征的前提下，谨慎投资。</w:t>
      </w:r>
    </w:p>
    <w:p w14:paraId="12D8FA0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14:paraId="5C7DA8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1、本基金不得投资于以下金融工具：</w:t>
      </w:r>
    </w:p>
    <w:p w14:paraId="2B78D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w:t>
      </w:r>
    </w:p>
    <w:p w14:paraId="32678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（2）可转换债券、可交换债券；</w:t>
      </w:r>
    </w:p>
    <w:p w14:paraId="13AC71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（3）以定期存款利率为基准利率的浮动利率债券，已进入最后一个利率调整期的除外；</w:t>
      </w:r>
    </w:p>
    <w:p w14:paraId="33CE55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（4）信用等级在AA+以下的债券与非金融企业债务融资工具；</w:t>
      </w:r>
    </w:p>
    <w:p w14:paraId="271691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（5）中国证监会、中国人民银行禁止投资的其他金融工具。</w:t>
      </w:r>
    </w:p>
    <w:p w14:paraId="1265EF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14:paraId="5E8D11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14:paraId="3414CD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2、组合限制</w:t>
      </w:r>
    </w:p>
    <w:p w14:paraId="700F46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78C64D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（1）本基金投资组合的平均剩余期限在每个交易日均不得超过120天，平均剩余存续期在每个交易日均不得超过240天；</w:t>
      </w:r>
    </w:p>
    <w:p w14:paraId="62A6A0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（2）本基金投资于现金、国债、中央银行票据、政策性金融债券占基金资产净值的比例合计不得低于5%，其中现金不包括结算备付金、存出保证金、应收申购款等；</w:t>
      </w:r>
    </w:p>
    <w:p w14:paraId="77EB30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（3）本基金投资于现金、国债、中央银行票据、政策性金融债券以及五个交易日内到期的其他金融工具占基金资产净值的比例合计不得低于10%；</w:t>
      </w:r>
    </w:p>
    <w:p w14:paraId="37CDE1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14:paraId="31D1CD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（5）除发生巨额赎回、连续3 个交易日累计赎回20%以上或者连续5 个交易日累计赎回30%以上的情形外，本基金债券正回购的资金余额占基金资产净值的比例不得超过20%；</w:t>
      </w:r>
    </w:p>
    <w:p w14:paraId="382918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（6）本基金投资于同一机构发行的债券、非金融企业债务融资工具及其作为原始权益人的资产支持证券占基金资产净值的比例合计不得超过10%，国债、中央银行票据、政策性金融债券除外；</w:t>
      </w:r>
    </w:p>
    <w:p w14:paraId="6F8BC9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（7）本基金管理人管理的全部基金持有一家公司发行的证券，不超过该证券的10%；</w:t>
      </w:r>
    </w:p>
    <w:p w14:paraId="7D5FE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06EC1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于同一原始权益人的各类资产支持证券的比例，不得超过基金资产净值的10%；本基金持有的全部资产支持证券，其市值不得超过基金资产净值的20%，中国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14:paraId="65BCA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14:paraId="1E895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（11）本基金管理人管理的全部货币市场基金投资于同一商业银行的银行存款及其发行的同业存单与债券，不得超过该商业银行最近一个季度末净资产的10%；</w:t>
      </w:r>
    </w:p>
    <w:p w14:paraId="1250C3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（12）当本基金前10 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14:paraId="3EC51B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14:paraId="6AC20E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14:paraId="0336CD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（15）本基金与私募类证券资管产品及中国证监会认定的其他主体为交易对手开展逆回购交易的，可接受质押品的资质要求应当与本基金合同约定的投资范围保持一致；</w:t>
      </w:r>
    </w:p>
    <w:p w14:paraId="41C83E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（16）本基金进入全国银行间同业市场进行债券回购的资金余额不得超过基金资产净值的40%，本基金在全国银行间同业市场的债券回购最长期限为1年，债券回购到期后不得展期；</w:t>
      </w:r>
    </w:p>
    <w:p w14:paraId="629DB9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（17）本基金的基金资产总值不得超过基金资产净值的140%；</w:t>
      </w:r>
    </w:p>
    <w:p w14:paraId="156685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（18）法律法规、中国证监会及中国人民银行规定的其他比例限制。</w:t>
      </w:r>
    </w:p>
    <w:p w14:paraId="782264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89B10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1）、（2）、（4）、（10）、（15）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14:paraId="72851A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债券与非金融企业债务融资工具的信用等级应主要参照最近一个会计年度的主体信用评级，如果对发行人同时有两家以上境内评级机构评级的，应采用孰低原则确定其评级，并结合基金管理人内部信用评级进行独立判断与认定。</w:t>
      </w:r>
    </w:p>
    <w:p w14:paraId="224CE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 个月内使基金的投资组合比例符合基金合同的有关约定。在上述期间内，本基金的投资范围、投资策略应当符合基金合同的约定。基金托管人对基金的投资的监督与检查自基金合同生效之日起开始。</w:t>
      </w:r>
    </w:p>
    <w:p w14:paraId="27890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14:paraId="79064A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3、禁止行为</w:t>
      </w:r>
    </w:p>
    <w:p w14:paraId="32011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5A9E6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0E0682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549A5D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251C55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14:paraId="013629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14:paraId="46418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14:paraId="3DBF0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14:paraId="18B72F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14:paraId="50059D0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14:paraId="7018E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本基金的业绩比较基准为：活期存款利率（税后）。</w:t>
      </w:r>
    </w:p>
    <w:p w14:paraId="3993F3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w:t>
      </w:r>
    </w:p>
    <w:p w14:paraId="60259D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今后法律法规发生变化，或者中国人民银行调整或停止该基准利率的发布，或者市场中出现其他代表性更强、更科学客观的业绩比较基准适用于本基金时，经基金管理人和基金托管人协商一致后，本基金可以变更业绩比较基准并及时公告，而无需召开基金份额持有人大会。</w:t>
      </w:r>
    </w:p>
    <w:p w14:paraId="501545D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14:paraId="7FA46A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14:paraId="3049FDC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（七）投资组合平均剩余期限和平均剩余存续期限的计算</w:t>
      </w:r>
    </w:p>
    <w:p w14:paraId="5458BE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1、平均剩余期限（天）的计算公式如下：</w:t>
      </w:r>
    </w:p>
    <w:p w14:paraId="128686A4">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9.25pt;width:405.75pt;" filled="f" o:preferrelative="t" stroked="f" coordsize="21600,21600">
            <v:path/>
            <v:fill on="f" focussize="0,0"/>
            <v:stroke on="f" joinstyle="miter"/>
            <v:imagedata r:id="rId11" o:title="1521256610242020828"/>
            <o:lock v:ext="edit" aspectratio="t"/>
            <w10:wrap type="none"/>
            <w10:anchorlock/>
          </v:shape>
        </w:pict>
      </w:r>
    </w:p>
    <w:p w14:paraId="15D035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2、平均剩余存续期限（天）的计算公式如下：</w:t>
      </w:r>
    </w:p>
    <w:p w14:paraId="0CA36965">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8.5pt;width:414.75pt;" filled="f" o:preferrelative="t" stroked="f" coordsize="21600,21600">
            <v:path/>
            <v:fill on="f" focussize="0,0"/>
            <v:stroke on="f" joinstyle="miter"/>
            <v:imagedata r:id="rId12" o:title="1521256610242020828"/>
            <o:lock v:ext="edit" aspectratio="t"/>
            <w10:wrap type="none"/>
            <w10:anchorlock/>
          </v:shape>
        </w:pict>
      </w:r>
    </w:p>
    <w:p w14:paraId="0E84C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57CD6C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于金融工具产生的资产包括银行活期存款、清算备付金、交易保证金、证券清算款、银行定期存款、同业存单、债券、非金融企业债务融资工具、资产支持证券、逆回购、中央银行票据、买断式回购产生的待回购债券、或中国证监会、中国人民银行认可的其他具有良好流动性的货币市场工具。</w:t>
      </w:r>
    </w:p>
    <w:p w14:paraId="69F998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投资于金融工具产生的负债包括正回购、买断式回购产生的待返售债券等。</w:t>
      </w:r>
    </w:p>
    <w:p w14:paraId="12DA27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2、各类资产和负债剩余期限、剩余存续期限的确定</w:t>
      </w:r>
    </w:p>
    <w:p w14:paraId="2CE316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（1）银行活期存款、清算备付金、交易保证金的剩余期限和剩余存续期限为0天；证券清算款的剩余期限和剩余存续期限以计算日至交收日的剩余交易日天数计算；</w:t>
      </w:r>
    </w:p>
    <w:p w14:paraId="5C027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回购（包括正回购和逆回购）的剩余期限和剩余存续期限以计算日至回购协议到期日的实际剩余天数计算；买断式回购产生的待回购债券的剩余期限和剩余存续期限为该基础债券的剩余期限，待返售债券的剩余期限和剩余存续期限以计算日至回购协议到期日的实际剩余天数计算；</w:t>
      </w:r>
    </w:p>
    <w:p w14:paraId="45458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定期存款、同业存单的剩余期限和剩余存续期限以计算日至协议到期日的实际剩余天数计算；有存款期限，根据协议可提前支取且没有利息损失的银行存款，剩余期限和剩余存续期限以计算日至协议到期日的实际剩余天数计算；银行通知存款的剩余期限和剩余存续期限以存款协议中约定的通知期计算；</w:t>
      </w:r>
    </w:p>
    <w:p w14:paraId="3EFF54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（4）中央银行票据的剩余期限和剩余存续期限以计算日至中央银行票据到期日的实际剩余天数计算；</w:t>
      </w:r>
    </w:p>
    <w:p w14:paraId="1BA7F5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（5）组合中债券的剩余期限和剩余存续期限是指计算日至债券到期日为止所剩余的天数，以下情况除外：</w:t>
      </w:r>
    </w:p>
    <w:p w14:paraId="3D10F4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允许投资的可变利率或浮动利率债券的剩余期限以计算日至下一个利率调整日的实际剩余天数计算。</w:t>
      </w:r>
    </w:p>
    <w:p w14:paraId="5AEE59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允许投资的可变利率或浮动利率债券的剩余存续期限以计算日至债券到期日的实际剩余天数计算。</w:t>
      </w:r>
    </w:p>
    <w:p w14:paraId="44274EC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（八）基金管理人代表基金行使债权人权利的处理原则及方法</w:t>
      </w:r>
    </w:p>
    <w:p w14:paraId="33105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1、基金管理人按照国家有关规定代表基金独立行使债权人权利，保护基金份额持有人的利益；</w:t>
      </w:r>
    </w:p>
    <w:p w14:paraId="288CB1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2、有利于基金财产的安全与增值；</w:t>
      </w:r>
    </w:p>
    <w:p w14:paraId="32A7E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3、不通过关联交易为自身、雇员、授权代理人或任何存在利害关系的第三人牟取任何不当利益。</w:t>
      </w:r>
    </w:p>
    <w:p w14:paraId="3DBF3EC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14:paraId="03ED6F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6366E5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本基金托管人中信银行股份有限公司根据本基金合同规定，于2025年10月27日复核了本报告中的财务指标、净值表现和投资组合报告等内容，保证复核内容不存在虚假记载、误导性陈述或者重大遗漏。</w:t>
      </w:r>
    </w:p>
    <w:p w14:paraId="79EE0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本报告期为2025年07月01日起至09月30日止。本报告财务资料未经审计师审计。</w:t>
      </w:r>
    </w:p>
    <w:p w14:paraId="12B1E1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3AE71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15655D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57DC16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913244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5C89E66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3F420DF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A60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4D6902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283BFBA9">
            <w:pPr>
              <w:widowControl/>
              <w:snapToGrid w:val="0"/>
              <w:jc w:val="right"/>
              <w:rPr>
                <w:rFonts w:ascii="宋体" w:hAnsi="宋体"/>
                <w:color w:val="000000"/>
                <w:kern w:val="0"/>
                <w:sz w:val="25"/>
                <w:szCs w:val="24"/>
              </w:rPr>
            </w:pPr>
            <w:r>
              <w:rPr>
                <w:rFonts w:ascii="Times New Roman" w:hAnsi="Times New Roman"/>
                <w:color w:val="000000"/>
                <w:kern w:val="0"/>
                <w:sz w:val="25"/>
                <w:szCs w:val="24"/>
              </w:rPr>
              <w:t>7,582,096,078.82</w:t>
            </w:r>
          </w:p>
        </w:tc>
        <w:tc>
          <w:tcPr>
            <w:tcW w:w="400" w:type="pct"/>
            <w:tcBorders>
              <w:top w:val="single" w:color="auto" w:sz="4" w:space="0"/>
              <w:left w:val="single" w:color="auto" w:sz="4" w:space="0"/>
              <w:bottom w:val="single" w:color="auto" w:sz="4" w:space="0"/>
              <w:right w:val="single" w:color="auto" w:sz="4" w:space="0"/>
            </w:tcBorders>
            <w:vAlign w:val="center"/>
          </w:tcPr>
          <w:p w14:paraId="48C99DC7">
            <w:pPr>
              <w:widowControl/>
              <w:snapToGrid w:val="0"/>
              <w:jc w:val="right"/>
              <w:rPr>
                <w:rFonts w:ascii="宋体" w:hAnsi="宋体"/>
                <w:color w:val="000000"/>
                <w:kern w:val="0"/>
                <w:sz w:val="25"/>
                <w:szCs w:val="24"/>
              </w:rPr>
            </w:pPr>
            <w:r>
              <w:rPr>
                <w:rFonts w:ascii="Times New Roman" w:hAnsi="Times New Roman"/>
                <w:color w:val="000000"/>
                <w:kern w:val="0"/>
                <w:sz w:val="25"/>
                <w:szCs w:val="24"/>
              </w:rPr>
              <w:t>57.41</w:t>
            </w:r>
          </w:p>
        </w:tc>
      </w:tr>
      <w:tr w14:paraId="44DF94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A932CA">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FAC295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6F08FBAA">
            <w:pPr>
              <w:widowControl/>
              <w:snapToGrid w:val="0"/>
              <w:jc w:val="right"/>
              <w:rPr>
                <w:rFonts w:ascii="宋体" w:hAnsi="宋体"/>
                <w:color w:val="000000"/>
                <w:kern w:val="0"/>
                <w:sz w:val="25"/>
                <w:szCs w:val="24"/>
              </w:rPr>
            </w:pPr>
            <w:r>
              <w:rPr>
                <w:rFonts w:ascii="Times New Roman" w:hAnsi="Times New Roman"/>
                <w:color w:val="000000"/>
                <w:kern w:val="0"/>
                <w:sz w:val="25"/>
                <w:szCs w:val="24"/>
              </w:rPr>
              <w:t>7,472,052,997.17</w:t>
            </w:r>
          </w:p>
        </w:tc>
        <w:tc>
          <w:tcPr>
            <w:tcW w:w="400" w:type="pct"/>
            <w:tcBorders>
              <w:top w:val="single" w:color="auto" w:sz="4" w:space="0"/>
              <w:left w:val="single" w:color="auto" w:sz="4" w:space="0"/>
              <w:bottom w:val="single" w:color="auto" w:sz="4" w:space="0"/>
              <w:right w:val="single" w:color="auto" w:sz="4" w:space="0"/>
            </w:tcBorders>
            <w:vAlign w:val="center"/>
          </w:tcPr>
          <w:p w14:paraId="18AD3810">
            <w:pPr>
              <w:widowControl/>
              <w:snapToGrid w:val="0"/>
              <w:jc w:val="right"/>
              <w:rPr>
                <w:rFonts w:ascii="宋体" w:hAnsi="宋体"/>
                <w:color w:val="000000"/>
                <w:kern w:val="0"/>
                <w:sz w:val="25"/>
                <w:szCs w:val="24"/>
              </w:rPr>
            </w:pPr>
            <w:r>
              <w:rPr>
                <w:rFonts w:ascii="Times New Roman" w:hAnsi="Times New Roman"/>
                <w:color w:val="000000"/>
                <w:kern w:val="0"/>
                <w:sz w:val="25"/>
                <w:szCs w:val="24"/>
              </w:rPr>
              <w:t>56.57</w:t>
            </w:r>
          </w:p>
        </w:tc>
      </w:tr>
      <w:tr w14:paraId="78CA88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7A853F">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44E87DF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593C4414">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110,043,081.65</w:t>
            </w:r>
          </w:p>
        </w:tc>
        <w:tc>
          <w:tcPr>
            <w:tcW w:w="400" w:type="pct"/>
            <w:tcBorders>
              <w:top w:val="single" w:color="auto" w:sz="4" w:space="0"/>
              <w:left w:val="single" w:color="auto" w:sz="4" w:space="0"/>
              <w:bottom w:val="single" w:color="auto" w:sz="4" w:space="0"/>
              <w:right w:val="single" w:color="auto" w:sz="4" w:space="0"/>
            </w:tcBorders>
            <w:vAlign w:val="center"/>
          </w:tcPr>
          <w:p w14:paraId="20CEF3CE">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14:paraId="68F0F9A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DAD66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CA0690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2B741684">
            <w:pPr>
              <w:widowControl/>
              <w:snapToGrid w:val="0"/>
              <w:jc w:val="right"/>
              <w:rPr>
                <w:rFonts w:ascii="宋体" w:hAnsi="宋体"/>
                <w:color w:val="000000"/>
                <w:kern w:val="0"/>
                <w:sz w:val="25"/>
                <w:szCs w:val="24"/>
              </w:rPr>
            </w:pPr>
            <w:r>
              <w:rPr>
                <w:rFonts w:ascii="Times New Roman" w:hAnsi="Times New Roman"/>
                <w:color w:val="000000"/>
                <w:kern w:val="0"/>
                <w:sz w:val="25"/>
                <w:szCs w:val="24"/>
              </w:rPr>
              <w:t>1,114,380,159.69</w:t>
            </w:r>
          </w:p>
        </w:tc>
        <w:tc>
          <w:tcPr>
            <w:tcW w:w="400" w:type="pct"/>
            <w:tcBorders>
              <w:top w:val="single" w:color="auto" w:sz="4" w:space="0"/>
              <w:left w:val="single" w:color="auto" w:sz="4" w:space="0"/>
              <w:bottom w:val="single" w:color="auto" w:sz="4" w:space="0"/>
              <w:right w:val="single" w:color="auto" w:sz="4" w:space="0"/>
            </w:tcBorders>
            <w:vAlign w:val="center"/>
          </w:tcPr>
          <w:p w14:paraId="446AF718">
            <w:pPr>
              <w:widowControl/>
              <w:snapToGrid w:val="0"/>
              <w:jc w:val="right"/>
              <w:rPr>
                <w:rFonts w:ascii="宋体" w:hAnsi="宋体"/>
                <w:color w:val="000000"/>
                <w:kern w:val="0"/>
                <w:sz w:val="25"/>
                <w:szCs w:val="24"/>
              </w:rPr>
            </w:pPr>
            <w:r>
              <w:rPr>
                <w:rFonts w:ascii="Times New Roman" w:hAnsi="Times New Roman"/>
                <w:color w:val="000000"/>
                <w:kern w:val="0"/>
                <w:sz w:val="25"/>
                <w:szCs w:val="24"/>
              </w:rPr>
              <w:t>8.44</w:t>
            </w:r>
          </w:p>
        </w:tc>
      </w:tr>
      <w:tr w14:paraId="6EC4B9D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F669F2">
            <w:pPr>
              <w:widowControl/>
              <w:snapToGrid w:val="0"/>
              <w:jc w:val="left"/>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14:paraId="1525093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445B81F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18AD45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600D4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5C1C4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6B9065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193269D3">
            <w:pPr>
              <w:widowControl/>
              <w:snapToGrid w:val="0"/>
              <w:jc w:val="right"/>
              <w:rPr>
                <w:rFonts w:ascii="宋体" w:hAnsi="宋体"/>
                <w:color w:val="000000"/>
                <w:kern w:val="0"/>
                <w:sz w:val="25"/>
                <w:szCs w:val="24"/>
              </w:rPr>
            </w:pPr>
            <w:r>
              <w:rPr>
                <w:rFonts w:ascii="Times New Roman" w:hAnsi="Times New Roman"/>
                <w:color w:val="000000"/>
                <w:kern w:val="0"/>
                <w:sz w:val="25"/>
                <w:szCs w:val="24"/>
              </w:rPr>
              <w:t>4,496,979,328.46</w:t>
            </w:r>
          </w:p>
        </w:tc>
        <w:tc>
          <w:tcPr>
            <w:tcW w:w="400" w:type="pct"/>
            <w:tcBorders>
              <w:top w:val="single" w:color="auto" w:sz="4" w:space="0"/>
              <w:left w:val="single" w:color="auto" w:sz="4" w:space="0"/>
              <w:bottom w:val="single" w:color="auto" w:sz="4" w:space="0"/>
              <w:right w:val="single" w:color="auto" w:sz="4" w:space="0"/>
            </w:tcBorders>
            <w:vAlign w:val="center"/>
          </w:tcPr>
          <w:p w14:paraId="07F0B1EC">
            <w:pPr>
              <w:widowControl/>
              <w:snapToGrid w:val="0"/>
              <w:jc w:val="right"/>
              <w:rPr>
                <w:rFonts w:ascii="宋体" w:hAnsi="宋体"/>
                <w:color w:val="000000"/>
                <w:kern w:val="0"/>
                <w:sz w:val="25"/>
                <w:szCs w:val="24"/>
              </w:rPr>
            </w:pPr>
            <w:r>
              <w:rPr>
                <w:rFonts w:ascii="Times New Roman" w:hAnsi="Times New Roman"/>
                <w:color w:val="000000"/>
                <w:kern w:val="0"/>
                <w:sz w:val="25"/>
                <w:szCs w:val="24"/>
              </w:rPr>
              <w:t>34.05</w:t>
            </w:r>
          </w:p>
        </w:tc>
      </w:tr>
      <w:tr w14:paraId="229559C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7D236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247A4B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3C5A981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13,974,923.90</w:t>
            </w:r>
          </w:p>
        </w:tc>
        <w:tc>
          <w:tcPr>
            <w:tcW w:w="400" w:type="pct"/>
            <w:tcBorders>
              <w:top w:val="single" w:color="auto" w:sz="4" w:space="0"/>
              <w:left w:val="single" w:color="auto" w:sz="4" w:space="0"/>
              <w:bottom w:val="single" w:color="auto" w:sz="4" w:space="0"/>
              <w:right w:val="single" w:color="auto" w:sz="4" w:space="0"/>
            </w:tcBorders>
            <w:vAlign w:val="center"/>
          </w:tcPr>
          <w:p w14:paraId="340FE160">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6FC33A1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DDB6E6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3AFA2E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4F3F482D">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13,207,430,490.87</w:t>
            </w:r>
          </w:p>
        </w:tc>
        <w:tc>
          <w:tcPr>
            <w:tcW w:w="400" w:type="pct"/>
            <w:tcBorders>
              <w:top w:val="single" w:color="auto" w:sz="4" w:space="0"/>
              <w:left w:val="single" w:color="auto" w:sz="4" w:space="0"/>
              <w:bottom w:val="single" w:color="auto" w:sz="4" w:space="0"/>
              <w:right w:val="single" w:color="auto" w:sz="4" w:space="0"/>
            </w:tcBorders>
            <w:vAlign w:val="center"/>
          </w:tcPr>
          <w:p w14:paraId="14CCF4A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2C585E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2、报告期债券回购融资情况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6856F9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6D29B11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06CBD5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400" w:type="pct"/>
            <w:gridSpan w:val="2"/>
            <w:tcBorders>
              <w:top w:val="single" w:color="auto" w:sz="4" w:space="0"/>
              <w:left w:val="single" w:color="auto" w:sz="4" w:space="0"/>
              <w:bottom w:val="single" w:color="auto" w:sz="4" w:space="0"/>
              <w:right w:val="single" w:color="auto" w:sz="4" w:space="0"/>
            </w:tcBorders>
            <w:shd w:val="clear" w:color="auto" w:fill="D9D9D9"/>
            <w:vAlign w:val="center"/>
          </w:tcPr>
          <w:p w14:paraId="43217A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p>
        </w:tc>
      </w:tr>
      <w:tr w14:paraId="7EB31B3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8CAF56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69FA2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报告期内债券回购融资余额</w:t>
            </w:r>
          </w:p>
        </w:tc>
        <w:tc>
          <w:tcPr>
            <w:tcW w:w="400" w:type="pct"/>
            <w:gridSpan w:val="2"/>
            <w:tcBorders>
              <w:top w:val="single" w:color="auto" w:sz="4" w:space="0"/>
              <w:left w:val="single" w:color="auto" w:sz="4" w:space="0"/>
              <w:bottom w:val="single" w:color="auto" w:sz="4" w:space="0"/>
              <w:right w:val="single" w:color="auto" w:sz="4" w:space="0"/>
            </w:tcBorders>
            <w:vAlign w:val="center"/>
          </w:tcPr>
          <w:p w14:paraId="60FCA07E">
            <w:pPr>
              <w:widowControl/>
              <w:snapToGrid w:val="0"/>
              <w:jc w:val="right"/>
              <w:rPr>
                <w:rFonts w:ascii="宋体" w:hAnsi="宋体"/>
                <w:color w:val="000000"/>
                <w:kern w:val="0"/>
                <w:sz w:val="25"/>
                <w:szCs w:val="24"/>
              </w:rPr>
            </w:pPr>
            <w:r>
              <w:rPr>
                <w:rFonts w:ascii="Times New Roman" w:hAnsi="Times New Roman"/>
                <w:color w:val="000000"/>
                <w:kern w:val="0"/>
                <w:sz w:val="25"/>
                <w:szCs w:val="24"/>
              </w:rPr>
              <w:t>1.20</w:t>
            </w:r>
          </w:p>
        </w:tc>
      </w:tr>
      <w:tr w14:paraId="38DCE95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09BAB2">
            <w:pPr>
              <w:widowControl/>
              <w:snapToGrid w:val="0"/>
              <w:jc w:val="left"/>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14:paraId="0D27B31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400" w:type="pct"/>
            <w:gridSpan w:val="2"/>
            <w:tcBorders>
              <w:top w:val="single" w:color="auto" w:sz="4" w:space="0"/>
              <w:left w:val="single" w:color="auto" w:sz="4" w:space="0"/>
              <w:bottom w:val="single" w:color="auto" w:sz="4" w:space="0"/>
              <w:right w:val="single" w:color="auto" w:sz="4" w:space="0"/>
            </w:tcBorders>
            <w:vAlign w:val="center"/>
          </w:tcPr>
          <w:p w14:paraId="1A25923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3725C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1E85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07D565C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vAlign w:val="center"/>
          </w:tcPr>
          <w:p w14:paraId="79F8A53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vAlign w:val="center"/>
          </w:tcPr>
          <w:p w14:paraId="4500E2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p>
        </w:tc>
      </w:tr>
      <w:tr w14:paraId="44CF667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48D2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8AC6706">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报告期末债券回购融资余额</w:t>
            </w:r>
          </w:p>
        </w:tc>
        <w:tc>
          <w:tcPr>
            <w:tcW w:w="750" w:type="pct"/>
            <w:tcBorders>
              <w:top w:val="single" w:color="auto" w:sz="4" w:space="0"/>
              <w:left w:val="single" w:color="auto" w:sz="4" w:space="0"/>
              <w:bottom w:val="single" w:color="auto" w:sz="4" w:space="0"/>
              <w:right w:val="single" w:color="auto" w:sz="4" w:space="0"/>
            </w:tcBorders>
            <w:vAlign w:val="center"/>
          </w:tcPr>
          <w:p w14:paraId="01699FD2">
            <w:pPr>
              <w:widowControl/>
              <w:snapToGrid w:val="0"/>
              <w:jc w:val="right"/>
              <w:rPr>
                <w:rFonts w:ascii="宋体" w:hAnsi="宋体"/>
                <w:color w:val="000000"/>
                <w:kern w:val="0"/>
                <w:sz w:val="25"/>
                <w:szCs w:val="24"/>
              </w:rPr>
            </w:pPr>
            <w:r>
              <w:rPr>
                <w:rFonts w:ascii="Times New Roman" w:hAnsi="Times New Roman"/>
                <w:color w:val="000000"/>
                <w:kern w:val="0"/>
                <w:sz w:val="25"/>
                <w:szCs w:val="24"/>
              </w:rPr>
              <w:t>18,050,709.95</w:t>
            </w:r>
          </w:p>
        </w:tc>
        <w:tc>
          <w:tcPr>
            <w:tcW w:w="400" w:type="pct"/>
            <w:tcBorders>
              <w:top w:val="single" w:color="auto" w:sz="4" w:space="0"/>
              <w:left w:val="single" w:color="auto" w:sz="4" w:space="0"/>
              <w:bottom w:val="single" w:color="auto" w:sz="4" w:space="0"/>
              <w:right w:val="single" w:color="auto" w:sz="4" w:space="0"/>
            </w:tcBorders>
            <w:vAlign w:val="center"/>
          </w:tcPr>
          <w:p w14:paraId="00D61FB7">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6B4A11B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1026FA0">
            <w:pPr>
              <w:widowControl/>
              <w:snapToGrid w:val="0"/>
              <w:jc w:val="left"/>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14:paraId="48AE747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750" w:type="pct"/>
            <w:tcBorders>
              <w:top w:val="single" w:color="auto" w:sz="4" w:space="0"/>
              <w:left w:val="single" w:color="auto" w:sz="4" w:space="0"/>
              <w:bottom w:val="single" w:color="auto" w:sz="4" w:space="0"/>
              <w:right w:val="single" w:color="auto" w:sz="4" w:space="0"/>
            </w:tcBorders>
            <w:vAlign w:val="center"/>
          </w:tcPr>
          <w:p w14:paraId="4071380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3476C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14:paraId="50425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注：报告期内债券回购融资余额占基金资产净值的比例为报告期内每个银行间市场交易日融资余额占资产净值比例的简单平均值。</w:t>
      </w:r>
    </w:p>
    <w:p w14:paraId="0CCB54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债券正回购的资金余额超过基金资产净值的20%的说明</w:t>
      </w:r>
    </w:p>
    <w:p w14:paraId="11A7B4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94EB6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3、基金投资组合平均剩余期限</w:t>
      </w:r>
    </w:p>
    <w:p w14:paraId="24E89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投资组合平均剩余期限基本情况</w:t>
      </w:r>
    </w:p>
    <w:tbl>
      <w:tblPr>
        <w:tblStyle w:val="14"/>
        <w:tblW w:w="5000" w:type="pct"/>
        <w:tblInd w:w="0" w:type="dxa"/>
        <w:tblLayout w:type="autofit"/>
        <w:tblCellMar>
          <w:top w:w="0" w:type="dxa"/>
          <w:left w:w="0" w:type="dxa"/>
          <w:bottom w:w="0" w:type="dxa"/>
          <w:right w:w="0" w:type="dxa"/>
        </w:tblCellMar>
      </w:tblPr>
      <w:tblGrid>
        <w:gridCol w:w="2167"/>
        <w:gridCol w:w="6503"/>
      </w:tblGrid>
      <w:tr w14:paraId="6DFB14D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7B631B25">
            <w:pPr>
              <w:widowControl/>
              <w:snapToGrid w:val="0"/>
              <w:jc w:val="left"/>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19FF168">
            <w:pPr>
              <w:widowControl/>
              <w:snapToGrid w:val="0"/>
              <w:jc w:val="left"/>
              <w:rPr>
                <w:rFonts w:ascii="宋体" w:hAnsi="宋体"/>
                <w:color w:val="000000"/>
                <w:kern w:val="0"/>
                <w:sz w:val="25"/>
                <w:szCs w:val="24"/>
              </w:rPr>
            </w:pPr>
            <w:r>
              <w:rPr>
                <w:rFonts w:ascii="Times New Roman" w:hAnsi="Times New Roman"/>
                <w:color w:val="000000"/>
                <w:kern w:val="0"/>
                <w:sz w:val="25"/>
                <w:szCs w:val="24"/>
              </w:rPr>
              <w:t>天数</w:t>
            </w:r>
          </w:p>
        </w:tc>
      </w:tr>
      <w:tr w14:paraId="49E646E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A8B93C">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报告期末投资组合平均剩余期限</w:t>
            </w:r>
          </w:p>
        </w:tc>
        <w:tc>
          <w:tcPr>
            <w:tcW w:w="750" w:type="pct"/>
            <w:tcBorders>
              <w:top w:val="single" w:color="auto" w:sz="4" w:space="0"/>
              <w:left w:val="single" w:color="auto" w:sz="4" w:space="0"/>
              <w:bottom w:val="single" w:color="auto" w:sz="4" w:space="0"/>
              <w:right w:val="single" w:color="auto" w:sz="4" w:space="0"/>
            </w:tcBorders>
            <w:vAlign w:val="center"/>
          </w:tcPr>
          <w:p w14:paraId="3D2E98CB">
            <w:pPr>
              <w:widowControl/>
              <w:snapToGrid w:val="0"/>
              <w:jc w:val="right"/>
              <w:rPr>
                <w:rFonts w:ascii="宋体" w:hAnsi="宋体"/>
                <w:color w:val="000000"/>
                <w:kern w:val="0"/>
                <w:sz w:val="25"/>
                <w:szCs w:val="24"/>
              </w:rPr>
            </w:pPr>
            <w:r>
              <w:rPr>
                <w:rFonts w:ascii="Times New Roman" w:hAnsi="Times New Roman"/>
                <w:color w:val="000000"/>
                <w:kern w:val="0"/>
                <w:sz w:val="25"/>
                <w:szCs w:val="24"/>
              </w:rPr>
              <w:t>96</w:t>
            </w:r>
          </w:p>
        </w:tc>
      </w:tr>
      <w:tr w14:paraId="0FB7D00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F34444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报告期内投资组合平均剩余期限最高值</w:t>
            </w:r>
          </w:p>
        </w:tc>
        <w:tc>
          <w:tcPr>
            <w:tcW w:w="750" w:type="pct"/>
            <w:tcBorders>
              <w:top w:val="single" w:color="auto" w:sz="4" w:space="0"/>
              <w:left w:val="single" w:color="auto" w:sz="4" w:space="0"/>
              <w:bottom w:val="single" w:color="auto" w:sz="4" w:space="0"/>
              <w:right w:val="single" w:color="auto" w:sz="4" w:space="0"/>
            </w:tcBorders>
            <w:vAlign w:val="center"/>
          </w:tcPr>
          <w:p w14:paraId="25D31FE9">
            <w:pPr>
              <w:widowControl/>
              <w:snapToGrid w:val="0"/>
              <w:jc w:val="right"/>
              <w:rPr>
                <w:rFonts w:ascii="宋体" w:hAnsi="宋体"/>
                <w:color w:val="000000"/>
                <w:kern w:val="0"/>
                <w:sz w:val="25"/>
                <w:szCs w:val="24"/>
              </w:rPr>
            </w:pPr>
            <w:r>
              <w:rPr>
                <w:rFonts w:ascii="Times New Roman" w:hAnsi="Times New Roman"/>
                <w:color w:val="000000"/>
                <w:kern w:val="0"/>
                <w:sz w:val="25"/>
                <w:szCs w:val="24"/>
              </w:rPr>
              <w:t>97</w:t>
            </w:r>
          </w:p>
        </w:tc>
      </w:tr>
      <w:tr w14:paraId="7B64419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E7DE68">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报告期内投资组合平均剩余期限最低值</w:t>
            </w:r>
          </w:p>
        </w:tc>
        <w:tc>
          <w:tcPr>
            <w:tcW w:w="750" w:type="pct"/>
            <w:tcBorders>
              <w:top w:val="single" w:color="auto" w:sz="4" w:space="0"/>
              <w:left w:val="single" w:color="auto" w:sz="4" w:space="0"/>
              <w:bottom w:val="single" w:color="auto" w:sz="4" w:space="0"/>
              <w:right w:val="single" w:color="auto" w:sz="4" w:space="0"/>
            </w:tcBorders>
            <w:vAlign w:val="center"/>
          </w:tcPr>
          <w:p w14:paraId="4AF281E4">
            <w:pPr>
              <w:widowControl/>
              <w:snapToGrid w:val="0"/>
              <w:jc w:val="right"/>
              <w:rPr>
                <w:rFonts w:ascii="宋体" w:hAnsi="宋体"/>
                <w:color w:val="000000"/>
                <w:kern w:val="0"/>
                <w:sz w:val="25"/>
                <w:szCs w:val="24"/>
              </w:rPr>
            </w:pPr>
            <w:r>
              <w:rPr>
                <w:rFonts w:ascii="Times New Roman" w:hAnsi="Times New Roman"/>
                <w:color w:val="000000"/>
                <w:kern w:val="0"/>
                <w:sz w:val="25"/>
                <w:szCs w:val="24"/>
              </w:rPr>
              <w:t>50</w:t>
            </w:r>
          </w:p>
        </w:tc>
      </w:tr>
    </w:tbl>
    <w:p w14:paraId="3A0F49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报告期内投资组合平均剩余期限超过120天情况说明</w:t>
      </w:r>
    </w:p>
    <w:p w14:paraId="49BFEE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本基金本报告期内投资组合平均剩余期限未超过120天。</w:t>
      </w:r>
    </w:p>
    <w:p w14:paraId="02CE9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 报告期末投资组合平均剩余期限分布比例</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17D23D4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258A3FB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8932F18">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平均剩余期限</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3A7EE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各期限资产占基金资产净值的比例（%）</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4E3C501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各期限负债占基金资产净值的比例（%）</w:t>
            </w:r>
          </w:p>
        </w:tc>
      </w:tr>
      <w:tr w14:paraId="01ECF54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15C6E7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BDD69F0">
            <w:pPr>
              <w:widowControl/>
              <w:snapToGrid w:val="0"/>
              <w:jc w:val="left"/>
              <w:rPr>
                <w:rFonts w:ascii="宋体" w:hAnsi="宋体"/>
                <w:color w:val="000000"/>
                <w:kern w:val="0"/>
                <w:sz w:val="25"/>
                <w:szCs w:val="24"/>
              </w:rPr>
            </w:pPr>
            <w:r>
              <w:rPr>
                <w:rFonts w:ascii="Times New Roman" w:hAnsi="Times New Roman"/>
                <w:color w:val="000000"/>
                <w:kern w:val="0"/>
                <w:sz w:val="25"/>
                <w:szCs w:val="24"/>
              </w:rPr>
              <w:t>30天以内</w:t>
            </w:r>
          </w:p>
        </w:tc>
        <w:tc>
          <w:tcPr>
            <w:tcW w:w="750" w:type="pct"/>
            <w:tcBorders>
              <w:top w:val="single" w:color="auto" w:sz="4" w:space="0"/>
              <w:left w:val="single" w:color="auto" w:sz="4" w:space="0"/>
              <w:bottom w:val="single" w:color="auto" w:sz="4" w:space="0"/>
              <w:right w:val="single" w:color="auto" w:sz="4" w:space="0"/>
            </w:tcBorders>
            <w:vAlign w:val="center"/>
          </w:tcPr>
          <w:p w14:paraId="5DA761E8">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w:t>
            </w:r>
          </w:p>
        </w:tc>
        <w:tc>
          <w:tcPr>
            <w:tcW w:w="400" w:type="pct"/>
            <w:tcBorders>
              <w:top w:val="single" w:color="auto" w:sz="4" w:space="0"/>
              <w:left w:val="single" w:color="auto" w:sz="4" w:space="0"/>
              <w:bottom w:val="single" w:color="auto" w:sz="4" w:space="0"/>
              <w:right w:val="single" w:color="auto" w:sz="4" w:space="0"/>
            </w:tcBorders>
            <w:vAlign w:val="center"/>
          </w:tcPr>
          <w:p w14:paraId="7AA80A9F">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4E40652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D3ED76">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B6F14A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其中：剩余存续期超过397天的浮动利率债</w:t>
            </w:r>
          </w:p>
        </w:tc>
        <w:tc>
          <w:tcPr>
            <w:tcW w:w="750" w:type="pct"/>
            <w:tcBorders>
              <w:top w:val="single" w:color="auto" w:sz="4" w:space="0"/>
              <w:left w:val="single" w:color="auto" w:sz="4" w:space="0"/>
              <w:bottom w:val="single" w:color="auto" w:sz="4" w:space="0"/>
              <w:right w:val="single" w:color="auto" w:sz="4" w:space="0"/>
            </w:tcBorders>
            <w:vAlign w:val="center"/>
          </w:tcPr>
          <w:p w14:paraId="6B1708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618657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B5276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DB2D2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BC6BF06">
            <w:pPr>
              <w:widowControl/>
              <w:snapToGrid w:val="0"/>
              <w:jc w:val="left"/>
              <w:rPr>
                <w:rFonts w:ascii="宋体" w:hAnsi="宋体"/>
                <w:color w:val="000000"/>
                <w:kern w:val="0"/>
                <w:sz w:val="25"/>
                <w:szCs w:val="24"/>
              </w:rPr>
            </w:pPr>
            <w:r>
              <w:rPr>
                <w:rFonts w:ascii="Times New Roman" w:hAnsi="Times New Roman"/>
                <w:color w:val="000000"/>
                <w:kern w:val="0"/>
                <w:sz w:val="25"/>
                <w:szCs w:val="24"/>
              </w:rPr>
              <w:t>30天（含）—60天</w:t>
            </w:r>
          </w:p>
        </w:tc>
        <w:tc>
          <w:tcPr>
            <w:tcW w:w="750" w:type="pct"/>
            <w:tcBorders>
              <w:top w:val="single" w:color="auto" w:sz="4" w:space="0"/>
              <w:left w:val="single" w:color="auto" w:sz="4" w:space="0"/>
              <w:bottom w:val="single" w:color="auto" w:sz="4" w:space="0"/>
              <w:right w:val="single" w:color="auto" w:sz="4" w:space="0"/>
            </w:tcBorders>
            <w:vAlign w:val="center"/>
          </w:tcPr>
          <w:p w14:paraId="46E22C10">
            <w:pPr>
              <w:widowControl/>
              <w:snapToGrid w:val="0"/>
              <w:jc w:val="right"/>
              <w:rPr>
                <w:rFonts w:ascii="宋体" w:hAnsi="宋体"/>
                <w:color w:val="000000"/>
                <w:kern w:val="0"/>
                <w:sz w:val="25"/>
                <w:szCs w:val="24"/>
              </w:rPr>
            </w:pPr>
            <w:r>
              <w:rPr>
                <w:rFonts w:ascii="Times New Roman" w:hAnsi="Times New Roman"/>
                <w:color w:val="000000"/>
                <w:kern w:val="0"/>
                <w:sz w:val="25"/>
                <w:szCs w:val="24"/>
              </w:rPr>
              <w:t>25.71</w:t>
            </w:r>
          </w:p>
        </w:tc>
        <w:tc>
          <w:tcPr>
            <w:tcW w:w="400" w:type="pct"/>
            <w:tcBorders>
              <w:top w:val="single" w:color="auto" w:sz="4" w:space="0"/>
              <w:left w:val="single" w:color="auto" w:sz="4" w:space="0"/>
              <w:bottom w:val="single" w:color="auto" w:sz="4" w:space="0"/>
              <w:right w:val="single" w:color="auto" w:sz="4" w:space="0"/>
            </w:tcBorders>
            <w:vAlign w:val="center"/>
          </w:tcPr>
          <w:p w14:paraId="4BBDAD8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1BE838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779A1C">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BCFF6D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其中：剩余存续期超过397天的浮动利率债</w:t>
            </w:r>
          </w:p>
        </w:tc>
        <w:tc>
          <w:tcPr>
            <w:tcW w:w="750" w:type="pct"/>
            <w:tcBorders>
              <w:top w:val="single" w:color="auto" w:sz="4" w:space="0"/>
              <w:left w:val="single" w:color="auto" w:sz="4" w:space="0"/>
              <w:bottom w:val="single" w:color="auto" w:sz="4" w:space="0"/>
              <w:right w:val="single" w:color="auto" w:sz="4" w:space="0"/>
            </w:tcBorders>
            <w:vAlign w:val="center"/>
          </w:tcPr>
          <w:p w14:paraId="4763B40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42337E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2F4520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06368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0039511">
            <w:pPr>
              <w:widowControl/>
              <w:snapToGrid w:val="0"/>
              <w:jc w:val="left"/>
              <w:rPr>
                <w:rFonts w:ascii="宋体" w:hAnsi="宋体"/>
                <w:color w:val="000000"/>
                <w:kern w:val="0"/>
                <w:sz w:val="25"/>
                <w:szCs w:val="24"/>
              </w:rPr>
            </w:pPr>
            <w:r>
              <w:rPr>
                <w:rFonts w:ascii="Times New Roman" w:hAnsi="Times New Roman"/>
                <w:color w:val="000000"/>
                <w:kern w:val="0"/>
                <w:sz w:val="25"/>
                <w:szCs w:val="24"/>
              </w:rPr>
              <w:t>60天（含）—90天</w:t>
            </w:r>
          </w:p>
        </w:tc>
        <w:tc>
          <w:tcPr>
            <w:tcW w:w="750" w:type="pct"/>
            <w:tcBorders>
              <w:top w:val="single" w:color="auto" w:sz="4" w:space="0"/>
              <w:left w:val="single" w:color="auto" w:sz="4" w:space="0"/>
              <w:bottom w:val="single" w:color="auto" w:sz="4" w:space="0"/>
              <w:right w:val="single" w:color="auto" w:sz="4" w:space="0"/>
            </w:tcBorders>
            <w:vAlign w:val="center"/>
          </w:tcPr>
          <w:p w14:paraId="09A8D092">
            <w:pPr>
              <w:widowControl/>
              <w:snapToGrid w:val="0"/>
              <w:jc w:val="right"/>
              <w:rPr>
                <w:rFonts w:ascii="宋体" w:hAnsi="宋体"/>
                <w:color w:val="000000"/>
                <w:kern w:val="0"/>
                <w:sz w:val="25"/>
                <w:szCs w:val="24"/>
              </w:rPr>
            </w:pPr>
            <w:r>
              <w:rPr>
                <w:rFonts w:ascii="Times New Roman" w:hAnsi="Times New Roman"/>
                <w:color w:val="000000"/>
                <w:kern w:val="0"/>
                <w:sz w:val="25"/>
                <w:szCs w:val="24"/>
              </w:rPr>
              <w:t>39.32</w:t>
            </w:r>
          </w:p>
        </w:tc>
        <w:tc>
          <w:tcPr>
            <w:tcW w:w="400" w:type="pct"/>
            <w:tcBorders>
              <w:top w:val="single" w:color="auto" w:sz="4" w:space="0"/>
              <w:left w:val="single" w:color="auto" w:sz="4" w:space="0"/>
              <w:bottom w:val="single" w:color="auto" w:sz="4" w:space="0"/>
              <w:right w:val="single" w:color="auto" w:sz="4" w:space="0"/>
            </w:tcBorders>
            <w:vAlign w:val="center"/>
          </w:tcPr>
          <w:p w14:paraId="3076C87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01E76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63575F6">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D92774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其中：剩余存续期超过397天的浮动利率债</w:t>
            </w:r>
          </w:p>
        </w:tc>
        <w:tc>
          <w:tcPr>
            <w:tcW w:w="750" w:type="pct"/>
            <w:tcBorders>
              <w:top w:val="single" w:color="auto" w:sz="4" w:space="0"/>
              <w:left w:val="single" w:color="auto" w:sz="4" w:space="0"/>
              <w:bottom w:val="single" w:color="auto" w:sz="4" w:space="0"/>
              <w:right w:val="single" w:color="auto" w:sz="4" w:space="0"/>
            </w:tcBorders>
            <w:vAlign w:val="center"/>
          </w:tcPr>
          <w:p w14:paraId="15B6D69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7A04CC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7A9FD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8C3C13">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12FBEF6E">
            <w:pPr>
              <w:widowControl/>
              <w:snapToGrid w:val="0"/>
              <w:jc w:val="left"/>
              <w:rPr>
                <w:rFonts w:ascii="宋体" w:hAnsi="宋体"/>
                <w:color w:val="000000"/>
                <w:kern w:val="0"/>
                <w:sz w:val="25"/>
                <w:szCs w:val="24"/>
              </w:rPr>
            </w:pPr>
            <w:r>
              <w:rPr>
                <w:rFonts w:ascii="Times New Roman" w:hAnsi="Times New Roman"/>
                <w:color w:val="000000"/>
                <w:kern w:val="0"/>
                <w:sz w:val="25"/>
                <w:szCs w:val="24"/>
              </w:rPr>
              <w:t>90天（含）—120天</w:t>
            </w:r>
          </w:p>
        </w:tc>
        <w:tc>
          <w:tcPr>
            <w:tcW w:w="750" w:type="pct"/>
            <w:tcBorders>
              <w:top w:val="single" w:color="auto" w:sz="4" w:space="0"/>
              <w:left w:val="single" w:color="auto" w:sz="4" w:space="0"/>
              <w:bottom w:val="single" w:color="auto" w:sz="4" w:space="0"/>
              <w:right w:val="single" w:color="auto" w:sz="4" w:space="0"/>
            </w:tcBorders>
            <w:vAlign w:val="center"/>
          </w:tcPr>
          <w:p w14:paraId="4CFF3157">
            <w:pPr>
              <w:widowControl/>
              <w:snapToGrid w:val="0"/>
              <w:jc w:val="right"/>
              <w:rPr>
                <w:rFonts w:ascii="宋体" w:hAnsi="宋体"/>
                <w:color w:val="000000"/>
                <w:kern w:val="0"/>
                <w:sz w:val="25"/>
                <w:szCs w:val="24"/>
              </w:rPr>
            </w:pPr>
            <w:r>
              <w:rPr>
                <w:rFonts w:ascii="Times New Roman" w:hAnsi="Times New Roman"/>
                <w:color w:val="000000"/>
                <w:kern w:val="0"/>
                <w:sz w:val="25"/>
                <w:szCs w:val="24"/>
              </w:rPr>
              <w:t>1.44</w:t>
            </w:r>
          </w:p>
        </w:tc>
        <w:tc>
          <w:tcPr>
            <w:tcW w:w="400" w:type="pct"/>
            <w:tcBorders>
              <w:top w:val="single" w:color="auto" w:sz="4" w:space="0"/>
              <w:left w:val="single" w:color="auto" w:sz="4" w:space="0"/>
              <w:bottom w:val="single" w:color="auto" w:sz="4" w:space="0"/>
              <w:right w:val="single" w:color="auto" w:sz="4" w:space="0"/>
            </w:tcBorders>
            <w:vAlign w:val="center"/>
          </w:tcPr>
          <w:p w14:paraId="598DDD0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7027F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61E133">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766A6FB3">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其中：剩余存续期超过397天的浮动利率债</w:t>
            </w:r>
          </w:p>
        </w:tc>
        <w:tc>
          <w:tcPr>
            <w:tcW w:w="750" w:type="pct"/>
            <w:tcBorders>
              <w:top w:val="single" w:color="auto" w:sz="4" w:space="0"/>
              <w:left w:val="single" w:color="auto" w:sz="4" w:space="0"/>
              <w:bottom w:val="single" w:color="auto" w:sz="4" w:space="0"/>
              <w:right w:val="single" w:color="auto" w:sz="4" w:space="0"/>
            </w:tcBorders>
            <w:vAlign w:val="center"/>
          </w:tcPr>
          <w:p w14:paraId="0A68913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B6788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C3608E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89B79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38B792A5">
            <w:pPr>
              <w:widowControl/>
              <w:snapToGrid w:val="0"/>
              <w:jc w:val="left"/>
              <w:rPr>
                <w:rFonts w:ascii="宋体" w:hAnsi="宋体"/>
                <w:color w:val="000000"/>
                <w:kern w:val="0"/>
                <w:sz w:val="25"/>
                <w:szCs w:val="24"/>
              </w:rPr>
            </w:pPr>
            <w:r>
              <w:rPr>
                <w:rFonts w:ascii="Times New Roman" w:hAnsi="Times New Roman"/>
                <w:color w:val="000000"/>
                <w:kern w:val="0"/>
                <w:sz w:val="25"/>
                <w:szCs w:val="24"/>
              </w:rPr>
              <w:t>120天（含）—397天（含）</w:t>
            </w:r>
          </w:p>
        </w:tc>
        <w:tc>
          <w:tcPr>
            <w:tcW w:w="750" w:type="pct"/>
            <w:tcBorders>
              <w:top w:val="single" w:color="auto" w:sz="4" w:space="0"/>
              <w:left w:val="single" w:color="auto" w:sz="4" w:space="0"/>
              <w:bottom w:val="single" w:color="auto" w:sz="4" w:space="0"/>
              <w:right w:val="single" w:color="auto" w:sz="4" w:space="0"/>
            </w:tcBorders>
            <w:vAlign w:val="center"/>
          </w:tcPr>
          <w:p w14:paraId="60E0926F">
            <w:pPr>
              <w:widowControl/>
              <w:snapToGrid w:val="0"/>
              <w:jc w:val="right"/>
              <w:rPr>
                <w:rFonts w:ascii="宋体" w:hAnsi="宋体"/>
                <w:color w:val="000000"/>
                <w:kern w:val="0"/>
                <w:sz w:val="25"/>
                <w:szCs w:val="24"/>
              </w:rPr>
            </w:pPr>
            <w:r>
              <w:rPr>
                <w:rFonts w:ascii="Times New Roman" w:hAnsi="Times New Roman"/>
                <w:color w:val="000000"/>
                <w:kern w:val="0"/>
                <w:sz w:val="25"/>
                <w:szCs w:val="24"/>
              </w:rPr>
              <w:t>22.10</w:t>
            </w:r>
          </w:p>
        </w:tc>
        <w:tc>
          <w:tcPr>
            <w:tcW w:w="400" w:type="pct"/>
            <w:tcBorders>
              <w:top w:val="single" w:color="auto" w:sz="4" w:space="0"/>
              <w:left w:val="single" w:color="auto" w:sz="4" w:space="0"/>
              <w:bottom w:val="single" w:color="auto" w:sz="4" w:space="0"/>
              <w:right w:val="single" w:color="auto" w:sz="4" w:space="0"/>
            </w:tcBorders>
            <w:vAlign w:val="center"/>
          </w:tcPr>
          <w:p w14:paraId="6E216E8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92B5B2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E7BA40">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E81F5D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其中：剩余存续期超过397天的浮动利率债</w:t>
            </w:r>
          </w:p>
        </w:tc>
        <w:tc>
          <w:tcPr>
            <w:tcW w:w="750" w:type="pct"/>
            <w:tcBorders>
              <w:top w:val="single" w:color="auto" w:sz="4" w:space="0"/>
              <w:left w:val="single" w:color="auto" w:sz="4" w:space="0"/>
              <w:bottom w:val="single" w:color="auto" w:sz="4" w:space="0"/>
              <w:right w:val="single" w:color="auto" w:sz="4" w:space="0"/>
            </w:tcBorders>
            <w:vAlign w:val="center"/>
          </w:tcPr>
          <w:p w14:paraId="23BB12C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00984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C8D67FF">
        <w:tblPrEx>
          <w:tblCellMar>
            <w:top w:w="0" w:type="dxa"/>
            <w:left w:w="0" w:type="dxa"/>
            <w:bottom w:w="0" w:type="dxa"/>
            <w:right w:w="0" w:type="dxa"/>
          </w:tblCellMar>
        </w:tblPrEx>
        <w:trPr>
          <w:cantSplit/>
          <w:trHeight w:val="375" w:hRule="atLeast"/>
        </w:trPr>
        <w:tc>
          <w:tcPr>
            <w:tcW w:w="250" w:type="pct"/>
            <w:gridSpan w:val="2"/>
            <w:tcBorders>
              <w:top w:val="single" w:color="auto" w:sz="4" w:space="0"/>
              <w:left w:val="single" w:color="auto" w:sz="4" w:space="0"/>
              <w:bottom w:val="single" w:color="auto" w:sz="4" w:space="0"/>
              <w:right w:val="single" w:color="auto" w:sz="4" w:space="0"/>
            </w:tcBorders>
            <w:vAlign w:val="center"/>
          </w:tcPr>
          <w:p w14:paraId="05FA7473">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440C8C17">
            <w:pPr>
              <w:widowControl/>
              <w:snapToGrid w:val="0"/>
              <w:jc w:val="right"/>
              <w:rPr>
                <w:rFonts w:ascii="宋体" w:hAnsi="宋体"/>
                <w:color w:val="000000"/>
                <w:kern w:val="0"/>
                <w:sz w:val="25"/>
                <w:szCs w:val="24"/>
              </w:rPr>
            </w:pPr>
            <w:r>
              <w:rPr>
                <w:rFonts w:ascii="Times New Roman" w:hAnsi="Times New Roman"/>
                <w:color w:val="000000"/>
                <w:kern w:val="0"/>
                <w:sz w:val="25"/>
                <w:szCs w:val="24"/>
              </w:rPr>
              <w:t>99.68</w:t>
            </w:r>
          </w:p>
        </w:tc>
        <w:tc>
          <w:tcPr>
            <w:tcW w:w="400" w:type="pct"/>
            <w:tcBorders>
              <w:top w:val="single" w:color="auto" w:sz="4" w:space="0"/>
              <w:left w:val="single" w:color="auto" w:sz="4" w:space="0"/>
              <w:bottom w:val="single" w:color="auto" w:sz="4" w:space="0"/>
              <w:right w:val="single" w:color="auto" w:sz="4" w:space="0"/>
            </w:tcBorders>
            <w:vAlign w:val="center"/>
          </w:tcPr>
          <w:p w14:paraId="1DD6A00F">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bl>
    <w:p w14:paraId="7F146C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报告期内投资组合平均剩余存续期超过240天情况说明</w:t>
      </w:r>
    </w:p>
    <w:p w14:paraId="23AC3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本基金本报告期内投资组合平均剩余存续期限未超过240天。</w:t>
      </w:r>
    </w:p>
    <w:p w14:paraId="4EBDC0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62F12D4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2066D8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52DDB6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21EB8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5B8D4B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234B9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9F77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CFA5FE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6CB415E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49033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6AE7B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9EC27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4783C08">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488EAAB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737B1B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BA95B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70CB9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A6DBC5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1C7899C6">
            <w:pPr>
              <w:widowControl/>
              <w:snapToGrid w:val="0"/>
              <w:jc w:val="right"/>
              <w:rPr>
                <w:rFonts w:ascii="宋体" w:hAnsi="宋体"/>
                <w:color w:val="000000"/>
                <w:kern w:val="0"/>
                <w:sz w:val="25"/>
                <w:szCs w:val="24"/>
              </w:rPr>
            </w:pPr>
            <w:r>
              <w:rPr>
                <w:rFonts w:ascii="Times New Roman" w:hAnsi="Times New Roman"/>
                <w:color w:val="000000"/>
                <w:kern w:val="0"/>
                <w:sz w:val="25"/>
                <w:szCs w:val="24"/>
              </w:rPr>
              <w:t>827,047,427.11</w:t>
            </w:r>
          </w:p>
        </w:tc>
        <w:tc>
          <w:tcPr>
            <w:tcW w:w="400" w:type="pct"/>
            <w:tcBorders>
              <w:top w:val="single" w:color="auto" w:sz="4" w:space="0"/>
              <w:left w:val="single" w:color="auto" w:sz="4" w:space="0"/>
              <w:bottom w:val="single" w:color="auto" w:sz="4" w:space="0"/>
              <w:right w:val="single" w:color="auto" w:sz="4" w:space="0"/>
            </w:tcBorders>
            <w:vAlign w:val="center"/>
          </w:tcPr>
          <w:p w14:paraId="4587F7A7">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14:paraId="440A2E4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4857A0">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48B2F8B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46A60F72">
            <w:pPr>
              <w:widowControl/>
              <w:snapToGrid w:val="0"/>
              <w:jc w:val="right"/>
              <w:rPr>
                <w:rFonts w:ascii="宋体" w:hAnsi="宋体"/>
                <w:color w:val="000000"/>
                <w:kern w:val="0"/>
                <w:sz w:val="25"/>
                <w:szCs w:val="24"/>
              </w:rPr>
            </w:pPr>
            <w:r>
              <w:rPr>
                <w:rFonts w:ascii="Times New Roman" w:hAnsi="Times New Roman"/>
                <w:color w:val="000000"/>
                <w:kern w:val="0"/>
                <w:sz w:val="25"/>
                <w:szCs w:val="24"/>
              </w:rPr>
              <w:t>693,740,214.37</w:t>
            </w:r>
          </w:p>
        </w:tc>
        <w:tc>
          <w:tcPr>
            <w:tcW w:w="400" w:type="pct"/>
            <w:tcBorders>
              <w:top w:val="single" w:color="auto" w:sz="4" w:space="0"/>
              <w:left w:val="single" w:color="auto" w:sz="4" w:space="0"/>
              <w:bottom w:val="single" w:color="auto" w:sz="4" w:space="0"/>
              <w:right w:val="single" w:color="auto" w:sz="4" w:space="0"/>
            </w:tcBorders>
            <w:vAlign w:val="center"/>
          </w:tcPr>
          <w:p w14:paraId="137981DA">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14:paraId="74F0AE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24788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BE108E3">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3220A475">
            <w:pPr>
              <w:widowControl/>
              <w:snapToGrid w:val="0"/>
              <w:jc w:val="right"/>
              <w:rPr>
                <w:rFonts w:ascii="宋体" w:hAnsi="宋体"/>
                <w:color w:val="000000"/>
                <w:kern w:val="0"/>
                <w:sz w:val="25"/>
                <w:szCs w:val="24"/>
              </w:rPr>
            </w:pPr>
            <w:r>
              <w:rPr>
                <w:rFonts w:ascii="Times New Roman" w:hAnsi="Times New Roman"/>
                <w:color w:val="000000"/>
                <w:kern w:val="0"/>
                <w:sz w:val="25"/>
                <w:szCs w:val="24"/>
              </w:rPr>
              <w:t>30,032,805.04</w:t>
            </w:r>
          </w:p>
        </w:tc>
        <w:tc>
          <w:tcPr>
            <w:tcW w:w="400" w:type="pct"/>
            <w:tcBorders>
              <w:top w:val="single" w:color="auto" w:sz="4" w:space="0"/>
              <w:left w:val="single" w:color="auto" w:sz="4" w:space="0"/>
              <w:bottom w:val="single" w:color="auto" w:sz="4" w:space="0"/>
              <w:right w:val="single" w:color="auto" w:sz="4" w:space="0"/>
            </w:tcBorders>
            <w:vAlign w:val="center"/>
          </w:tcPr>
          <w:p w14:paraId="35938B2D">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14:paraId="0166CC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5D8F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1EE2CF7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55F99A10">
            <w:pPr>
              <w:widowControl/>
              <w:snapToGrid w:val="0"/>
              <w:jc w:val="right"/>
              <w:rPr>
                <w:rFonts w:ascii="宋体" w:hAnsi="宋体"/>
                <w:color w:val="000000"/>
                <w:kern w:val="0"/>
                <w:sz w:val="25"/>
                <w:szCs w:val="24"/>
              </w:rPr>
            </w:pPr>
            <w:r>
              <w:rPr>
                <w:rFonts w:ascii="Times New Roman" w:hAnsi="Times New Roman"/>
                <w:color w:val="000000"/>
                <w:kern w:val="0"/>
                <w:sz w:val="25"/>
                <w:szCs w:val="24"/>
              </w:rPr>
              <w:t>1,620,299,247.04</w:t>
            </w:r>
          </w:p>
        </w:tc>
        <w:tc>
          <w:tcPr>
            <w:tcW w:w="400" w:type="pct"/>
            <w:tcBorders>
              <w:top w:val="single" w:color="auto" w:sz="4" w:space="0"/>
              <w:left w:val="single" w:color="auto" w:sz="4" w:space="0"/>
              <w:bottom w:val="single" w:color="auto" w:sz="4" w:space="0"/>
              <w:right w:val="single" w:color="auto" w:sz="4" w:space="0"/>
            </w:tcBorders>
            <w:vAlign w:val="center"/>
          </w:tcPr>
          <w:p w14:paraId="56E8E575">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w:t>
            </w:r>
          </w:p>
        </w:tc>
      </w:tr>
      <w:tr w14:paraId="5AF413A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16A58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156E3D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289967F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403,756,983.11</w:t>
            </w:r>
          </w:p>
        </w:tc>
        <w:tc>
          <w:tcPr>
            <w:tcW w:w="400" w:type="pct"/>
            <w:tcBorders>
              <w:top w:val="single" w:color="auto" w:sz="4" w:space="0"/>
              <w:left w:val="single" w:color="auto" w:sz="4" w:space="0"/>
              <w:bottom w:val="single" w:color="auto" w:sz="4" w:space="0"/>
              <w:right w:val="single" w:color="auto" w:sz="4" w:space="0"/>
            </w:tcBorders>
            <w:vAlign w:val="center"/>
          </w:tcPr>
          <w:p w14:paraId="42603F41">
            <w:pPr>
              <w:widowControl/>
              <w:snapToGrid w:val="0"/>
              <w:jc w:val="right"/>
              <w:rPr>
                <w:rFonts w:ascii="宋体" w:hAnsi="宋体"/>
                <w:color w:val="000000"/>
                <w:kern w:val="0"/>
                <w:sz w:val="25"/>
                <w:szCs w:val="24"/>
              </w:rPr>
            </w:pPr>
            <w:r>
              <w:rPr>
                <w:rFonts w:ascii="Times New Roman" w:hAnsi="Times New Roman"/>
                <w:color w:val="000000"/>
                <w:kern w:val="0"/>
                <w:sz w:val="25"/>
                <w:szCs w:val="24"/>
              </w:rPr>
              <w:t>3.06</w:t>
            </w:r>
          </w:p>
        </w:tc>
      </w:tr>
      <w:tr w14:paraId="268252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6ED503">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0E36842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58F78116">
            <w:pPr>
              <w:widowControl/>
              <w:snapToGrid w:val="0"/>
              <w:jc w:val="right"/>
              <w:rPr>
                <w:rFonts w:ascii="宋体" w:hAnsi="宋体"/>
                <w:color w:val="000000"/>
                <w:kern w:val="0"/>
                <w:sz w:val="25"/>
                <w:szCs w:val="24"/>
              </w:rPr>
            </w:pPr>
            <w:r>
              <w:rPr>
                <w:rFonts w:ascii="Times New Roman" w:hAnsi="Times New Roman"/>
                <w:color w:val="000000"/>
                <w:kern w:val="0"/>
                <w:sz w:val="25"/>
                <w:szCs w:val="24"/>
              </w:rPr>
              <w:t>4,590,916,534.87</w:t>
            </w:r>
          </w:p>
        </w:tc>
        <w:tc>
          <w:tcPr>
            <w:tcW w:w="400" w:type="pct"/>
            <w:tcBorders>
              <w:top w:val="single" w:color="auto" w:sz="4" w:space="0"/>
              <w:left w:val="single" w:color="auto" w:sz="4" w:space="0"/>
              <w:bottom w:val="single" w:color="auto" w:sz="4" w:space="0"/>
              <w:right w:val="single" w:color="auto" w:sz="4" w:space="0"/>
            </w:tcBorders>
            <w:vAlign w:val="center"/>
          </w:tcPr>
          <w:p w14:paraId="00B88699">
            <w:pPr>
              <w:widowControl/>
              <w:snapToGrid w:val="0"/>
              <w:jc w:val="right"/>
              <w:rPr>
                <w:rFonts w:ascii="宋体" w:hAnsi="宋体"/>
                <w:color w:val="000000"/>
                <w:kern w:val="0"/>
                <w:sz w:val="25"/>
                <w:szCs w:val="24"/>
              </w:rPr>
            </w:pPr>
            <w:r>
              <w:rPr>
                <w:rFonts w:ascii="Times New Roman" w:hAnsi="Times New Roman"/>
                <w:color w:val="000000"/>
                <w:kern w:val="0"/>
                <w:sz w:val="25"/>
                <w:szCs w:val="24"/>
              </w:rPr>
              <w:t>34.82</w:t>
            </w:r>
          </w:p>
        </w:tc>
      </w:tr>
      <w:tr w14:paraId="3530059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12264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67C56E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44C5A98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89E2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A2A789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9629D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6B74315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37B8FC17">
            <w:pPr>
              <w:widowControl/>
              <w:snapToGrid w:val="0"/>
              <w:jc w:val="right"/>
              <w:rPr>
                <w:rFonts w:ascii="宋体" w:hAnsi="宋体"/>
                <w:color w:val="000000"/>
                <w:kern w:val="0"/>
                <w:sz w:val="25"/>
                <w:szCs w:val="24"/>
              </w:rPr>
            </w:pPr>
            <w:r>
              <w:rPr>
                <w:rFonts w:ascii="Times New Roman" w:hAnsi="Times New Roman"/>
                <w:color w:val="000000"/>
                <w:kern w:val="0"/>
                <w:sz w:val="25"/>
                <w:szCs w:val="24"/>
              </w:rPr>
              <w:t>7,472,052,997.17</w:t>
            </w:r>
          </w:p>
        </w:tc>
        <w:tc>
          <w:tcPr>
            <w:tcW w:w="400" w:type="pct"/>
            <w:tcBorders>
              <w:top w:val="single" w:color="auto" w:sz="4" w:space="0"/>
              <w:left w:val="single" w:color="auto" w:sz="4" w:space="0"/>
              <w:bottom w:val="single" w:color="auto" w:sz="4" w:space="0"/>
              <w:right w:val="single" w:color="auto" w:sz="4" w:space="0"/>
            </w:tcBorders>
            <w:vAlign w:val="center"/>
          </w:tcPr>
          <w:p w14:paraId="6690E21A">
            <w:pPr>
              <w:widowControl/>
              <w:snapToGrid w:val="0"/>
              <w:jc w:val="right"/>
              <w:rPr>
                <w:rFonts w:ascii="宋体" w:hAnsi="宋体"/>
                <w:color w:val="000000"/>
                <w:kern w:val="0"/>
                <w:sz w:val="25"/>
                <w:szCs w:val="24"/>
              </w:rPr>
            </w:pPr>
            <w:r>
              <w:rPr>
                <w:rFonts w:ascii="Times New Roman" w:hAnsi="Times New Roman"/>
                <w:color w:val="000000"/>
                <w:kern w:val="0"/>
                <w:sz w:val="25"/>
                <w:szCs w:val="24"/>
              </w:rPr>
              <w:t>56.67</w:t>
            </w:r>
          </w:p>
        </w:tc>
      </w:tr>
      <w:tr w14:paraId="0BAA04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E450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36C5EEBE">
            <w:pPr>
              <w:widowControl/>
              <w:snapToGrid w:val="0"/>
              <w:jc w:val="left"/>
              <w:rPr>
                <w:rFonts w:ascii="宋体" w:hAnsi="宋体"/>
                <w:color w:val="000000"/>
                <w:kern w:val="0"/>
                <w:sz w:val="25"/>
                <w:szCs w:val="24"/>
              </w:rPr>
            </w:pPr>
            <w:r>
              <w:rPr>
                <w:rFonts w:ascii="Times New Roman" w:hAnsi="Times New Roman"/>
                <w:color w:val="000000"/>
                <w:kern w:val="0"/>
                <w:sz w:val="25"/>
                <w:szCs w:val="24"/>
              </w:rPr>
              <w:t>剩余存续期超过397天的浮动利率债券</w:t>
            </w:r>
          </w:p>
        </w:tc>
        <w:tc>
          <w:tcPr>
            <w:tcW w:w="750" w:type="pct"/>
            <w:tcBorders>
              <w:top w:val="single" w:color="auto" w:sz="4" w:space="0"/>
              <w:left w:val="single" w:color="auto" w:sz="4" w:space="0"/>
              <w:bottom w:val="single" w:color="auto" w:sz="4" w:space="0"/>
              <w:right w:val="single" w:color="auto" w:sz="4" w:space="0"/>
            </w:tcBorders>
            <w:vAlign w:val="center"/>
          </w:tcPr>
          <w:p w14:paraId="0D4CF8D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5BFC26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14:paraId="3A063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6、报告期末按摊余成本占基金资产净值比例大小排名的前十名债券投资明细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7404133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38FE4C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D94F49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C5FCF5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B351D1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E9AD76D">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1972D2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944C9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4F7F5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75782E5">
            <w:pPr>
              <w:widowControl/>
              <w:snapToGrid w:val="0"/>
              <w:jc w:val="center"/>
              <w:rPr>
                <w:rFonts w:ascii="宋体" w:hAnsi="宋体"/>
                <w:color w:val="000000"/>
                <w:kern w:val="0"/>
                <w:sz w:val="25"/>
                <w:szCs w:val="24"/>
              </w:rPr>
            </w:pPr>
            <w:r>
              <w:rPr>
                <w:rFonts w:ascii="Times New Roman" w:hAnsi="Times New Roman"/>
                <w:color w:val="000000"/>
                <w:kern w:val="0"/>
                <w:sz w:val="25"/>
                <w:szCs w:val="24"/>
              </w:rPr>
              <w:t>220313</w:t>
            </w:r>
          </w:p>
        </w:tc>
        <w:tc>
          <w:tcPr>
            <w:tcW w:w="750" w:type="pct"/>
            <w:tcBorders>
              <w:top w:val="single" w:color="auto" w:sz="4" w:space="0"/>
              <w:left w:val="single" w:color="auto" w:sz="4" w:space="0"/>
              <w:bottom w:val="single" w:color="auto" w:sz="4" w:space="0"/>
              <w:right w:val="single" w:color="auto" w:sz="4" w:space="0"/>
            </w:tcBorders>
            <w:vAlign w:val="center"/>
          </w:tcPr>
          <w:p w14:paraId="3CB1FF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22进出13</w:t>
            </w:r>
          </w:p>
        </w:tc>
        <w:tc>
          <w:tcPr>
            <w:tcW w:w="750" w:type="pct"/>
            <w:tcBorders>
              <w:top w:val="single" w:color="auto" w:sz="4" w:space="0"/>
              <w:left w:val="single" w:color="auto" w:sz="4" w:space="0"/>
              <w:bottom w:val="single" w:color="auto" w:sz="4" w:space="0"/>
              <w:right w:val="single" w:color="auto" w:sz="4" w:space="0"/>
            </w:tcBorders>
            <w:vAlign w:val="center"/>
          </w:tcPr>
          <w:p w14:paraId="4D9167A8">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2,900,000</w:t>
            </w:r>
          </w:p>
        </w:tc>
        <w:tc>
          <w:tcPr>
            <w:tcW w:w="750" w:type="pct"/>
            <w:tcBorders>
              <w:top w:val="single" w:color="auto" w:sz="4" w:space="0"/>
              <w:left w:val="single" w:color="auto" w:sz="4" w:space="0"/>
              <w:bottom w:val="single" w:color="auto" w:sz="4" w:space="0"/>
              <w:right w:val="single" w:color="auto" w:sz="4" w:space="0"/>
            </w:tcBorders>
            <w:vAlign w:val="center"/>
          </w:tcPr>
          <w:p w14:paraId="5CF3DA0C">
            <w:pPr>
              <w:widowControl/>
              <w:snapToGrid w:val="0"/>
              <w:jc w:val="right"/>
              <w:rPr>
                <w:rFonts w:ascii="宋体" w:hAnsi="宋体"/>
                <w:color w:val="000000"/>
                <w:kern w:val="0"/>
                <w:sz w:val="25"/>
                <w:szCs w:val="24"/>
              </w:rPr>
            </w:pPr>
            <w:r>
              <w:rPr>
                <w:rFonts w:ascii="Times New Roman" w:hAnsi="Times New Roman"/>
                <w:color w:val="000000"/>
                <w:kern w:val="0"/>
                <w:sz w:val="25"/>
                <w:szCs w:val="24"/>
              </w:rPr>
              <w:t>296,906,834.79</w:t>
            </w:r>
          </w:p>
        </w:tc>
        <w:tc>
          <w:tcPr>
            <w:tcW w:w="750" w:type="pct"/>
            <w:tcBorders>
              <w:top w:val="single" w:color="auto" w:sz="4" w:space="0"/>
              <w:left w:val="single" w:color="auto" w:sz="4" w:space="0"/>
              <w:bottom w:val="single" w:color="auto" w:sz="4" w:space="0"/>
              <w:right w:val="single" w:color="auto" w:sz="4" w:space="0"/>
            </w:tcBorders>
            <w:vAlign w:val="center"/>
          </w:tcPr>
          <w:p w14:paraId="327A7AB3">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r w14:paraId="290780E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0EAA6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186C9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112504063</w:t>
            </w:r>
          </w:p>
        </w:tc>
        <w:tc>
          <w:tcPr>
            <w:tcW w:w="750" w:type="pct"/>
            <w:tcBorders>
              <w:top w:val="single" w:color="auto" w:sz="4" w:space="0"/>
              <w:left w:val="single" w:color="auto" w:sz="4" w:space="0"/>
              <w:bottom w:val="single" w:color="auto" w:sz="4" w:space="0"/>
              <w:right w:val="single" w:color="auto" w:sz="4" w:space="0"/>
            </w:tcBorders>
            <w:vAlign w:val="center"/>
          </w:tcPr>
          <w:p w14:paraId="6D3DD4E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25中国银行CD063</w:t>
            </w:r>
          </w:p>
        </w:tc>
        <w:tc>
          <w:tcPr>
            <w:tcW w:w="750" w:type="pct"/>
            <w:tcBorders>
              <w:top w:val="single" w:color="auto" w:sz="4" w:space="0"/>
              <w:left w:val="single" w:color="auto" w:sz="4" w:space="0"/>
              <w:bottom w:val="single" w:color="auto" w:sz="4" w:space="0"/>
              <w:right w:val="single" w:color="auto" w:sz="4" w:space="0"/>
            </w:tcBorders>
            <w:vAlign w:val="center"/>
          </w:tcPr>
          <w:p w14:paraId="7E128A8A">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3,000,000</w:t>
            </w:r>
          </w:p>
        </w:tc>
        <w:tc>
          <w:tcPr>
            <w:tcW w:w="750" w:type="pct"/>
            <w:tcBorders>
              <w:top w:val="single" w:color="auto" w:sz="4" w:space="0"/>
              <w:left w:val="single" w:color="auto" w:sz="4" w:space="0"/>
              <w:bottom w:val="single" w:color="auto" w:sz="4" w:space="0"/>
              <w:right w:val="single" w:color="auto" w:sz="4" w:space="0"/>
            </w:tcBorders>
            <w:vAlign w:val="center"/>
          </w:tcPr>
          <w:p w14:paraId="7B4D6948">
            <w:pPr>
              <w:widowControl/>
              <w:snapToGrid w:val="0"/>
              <w:jc w:val="right"/>
              <w:rPr>
                <w:rFonts w:ascii="宋体" w:hAnsi="宋体"/>
                <w:color w:val="000000"/>
                <w:kern w:val="0"/>
                <w:sz w:val="25"/>
                <w:szCs w:val="24"/>
              </w:rPr>
            </w:pPr>
            <w:r>
              <w:rPr>
                <w:rFonts w:ascii="Times New Roman" w:hAnsi="Times New Roman"/>
                <w:color w:val="000000"/>
                <w:kern w:val="0"/>
                <w:sz w:val="25"/>
                <w:szCs w:val="24"/>
              </w:rPr>
              <w:t>295,218,521.93</w:t>
            </w:r>
          </w:p>
        </w:tc>
        <w:tc>
          <w:tcPr>
            <w:tcW w:w="750" w:type="pct"/>
            <w:tcBorders>
              <w:top w:val="single" w:color="auto" w:sz="4" w:space="0"/>
              <w:left w:val="single" w:color="auto" w:sz="4" w:space="0"/>
              <w:bottom w:val="single" w:color="auto" w:sz="4" w:space="0"/>
              <w:right w:val="single" w:color="auto" w:sz="4" w:space="0"/>
            </w:tcBorders>
            <w:vAlign w:val="center"/>
          </w:tcPr>
          <w:p w14:paraId="1509E3F1">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r w14:paraId="4A0466B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45FDA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6A658D1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012582268</w:t>
            </w:r>
          </w:p>
        </w:tc>
        <w:tc>
          <w:tcPr>
            <w:tcW w:w="750" w:type="pct"/>
            <w:tcBorders>
              <w:top w:val="single" w:color="auto" w:sz="4" w:space="0"/>
              <w:left w:val="single" w:color="auto" w:sz="4" w:space="0"/>
              <w:bottom w:val="single" w:color="auto" w:sz="4" w:space="0"/>
              <w:right w:val="single" w:color="auto" w:sz="4" w:space="0"/>
            </w:tcBorders>
            <w:vAlign w:val="center"/>
          </w:tcPr>
          <w:p w14:paraId="3B8AE8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25中建投资SCP006</w:t>
            </w:r>
          </w:p>
        </w:tc>
        <w:tc>
          <w:tcPr>
            <w:tcW w:w="750" w:type="pct"/>
            <w:tcBorders>
              <w:top w:val="single" w:color="auto" w:sz="4" w:space="0"/>
              <w:left w:val="single" w:color="auto" w:sz="4" w:space="0"/>
              <w:bottom w:val="single" w:color="auto" w:sz="4" w:space="0"/>
              <w:right w:val="single" w:color="auto" w:sz="4" w:space="0"/>
            </w:tcBorders>
            <w:vAlign w:val="center"/>
          </w:tcPr>
          <w:p w14:paraId="5D43ECD9">
            <w:pPr>
              <w:widowControl/>
              <w:snapToGrid w:val="0"/>
              <w:jc w:val="right"/>
              <w:rPr>
                <w:rFonts w:ascii="宋体" w:hAnsi="宋体"/>
                <w:color w:val="000000"/>
                <w:kern w:val="0"/>
                <w:sz w:val="25"/>
                <w:szCs w:val="24"/>
              </w:rPr>
            </w:pPr>
            <w:r>
              <w:rPr>
                <w:rFonts w:ascii="Times New Roman" w:hAnsi="Times New Roman"/>
                <w:color w:val="000000"/>
                <w:kern w:val="0"/>
                <w:sz w:val="25"/>
                <w:szCs w:val="24"/>
              </w:rPr>
              <w:t>1,400,000</w:t>
            </w:r>
          </w:p>
        </w:tc>
        <w:tc>
          <w:tcPr>
            <w:tcW w:w="750" w:type="pct"/>
            <w:tcBorders>
              <w:top w:val="single" w:color="auto" w:sz="4" w:space="0"/>
              <w:left w:val="single" w:color="auto" w:sz="4" w:space="0"/>
              <w:bottom w:val="single" w:color="auto" w:sz="4" w:space="0"/>
              <w:right w:val="single" w:color="auto" w:sz="4" w:space="0"/>
            </w:tcBorders>
            <w:vAlign w:val="center"/>
          </w:tcPr>
          <w:p w14:paraId="6B4D5DC7">
            <w:pPr>
              <w:widowControl/>
              <w:snapToGrid w:val="0"/>
              <w:jc w:val="right"/>
              <w:rPr>
                <w:rFonts w:ascii="宋体" w:hAnsi="宋体"/>
                <w:color w:val="000000"/>
                <w:kern w:val="0"/>
                <w:sz w:val="25"/>
                <w:szCs w:val="24"/>
              </w:rPr>
            </w:pPr>
            <w:r>
              <w:rPr>
                <w:rFonts w:ascii="Times New Roman" w:hAnsi="Times New Roman"/>
                <w:color w:val="000000"/>
                <w:kern w:val="0"/>
                <w:sz w:val="25"/>
                <w:szCs w:val="24"/>
              </w:rPr>
              <w:t>140,027,557.18</w:t>
            </w:r>
          </w:p>
        </w:tc>
        <w:tc>
          <w:tcPr>
            <w:tcW w:w="750" w:type="pct"/>
            <w:tcBorders>
              <w:top w:val="single" w:color="auto" w:sz="4" w:space="0"/>
              <w:left w:val="single" w:color="auto" w:sz="4" w:space="0"/>
              <w:bottom w:val="single" w:color="auto" w:sz="4" w:space="0"/>
              <w:right w:val="single" w:color="auto" w:sz="4" w:space="0"/>
            </w:tcBorders>
            <w:vAlign w:val="center"/>
          </w:tcPr>
          <w:p w14:paraId="1A714B72">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14:paraId="7FAA91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FEAB1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F8D7B29">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210403</w:t>
            </w:r>
          </w:p>
        </w:tc>
        <w:tc>
          <w:tcPr>
            <w:tcW w:w="750" w:type="pct"/>
            <w:tcBorders>
              <w:top w:val="single" w:color="auto" w:sz="4" w:space="0"/>
              <w:left w:val="single" w:color="auto" w:sz="4" w:space="0"/>
              <w:bottom w:val="single" w:color="auto" w:sz="4" w:space="0"/>
              <w:right w:val="single" w:color="auto" w:sz="4" w:space="0"/>
            </w:tcBorders>
            <w:vAlign w:val="center"/>
          </w:tcPr>
          <w:p w14:paraId="447425AB">
            <w:pPr>
              <w:widowControl/>
              <w:snapToGrid w:val="0"/>
              <w:jc w:val="center"/>
              <w:rPr>
                <w:rFonts w:ascii="宋体" w:hAnsi="宋体"/>
                <w:color w:val="000000"/>
                <w:kern w:val="0"/>
                <w:sz w:val="25"/>
                <w:szCs w:val="24"/>
              </w:rPr>
            </w:pPr>
            <w:r>
              <w:rPr>
                <w:rFonts w:ascii="Times New Roman" w:hAnsi="Times New Roman"/>
                <w:color w:val="000000"/>
                <w:kern w:val="0"/>
                <w:sz w:val="25"/>
                <w:szCs w:val="24"/>
              </w:rPr>
              <w:t>21农发03</w:t>
            </w:r>
          </w:p>
        </w:tc>
        <w:tc>
          <w:tcPr>
            <w:tcW w:w="750" w:type="pct"/>
            <w:tcBorders>
              <w:top w:val="single" w:color="auto" w:sz="4" w:space="0"/>
              <w:left w:val="single" w:color="auto" w:sz="4" w:space="0"/>
              <w:bottom w:val="single" w:color="auto" w:sz="4" w:space="0"/>
              <w:right w:val="single" w:color="auto" w:sz="4" w:space="0"/>
            </w:tcBorders>
            <w:vAlign w:val="center"/>
          </w:tcPr>
          <w:p w14:paraId="67B74F0C">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color="auto" w:sz="4" w:space="0"/>
              <w:left w:val="single" w:color="auto" w:sz="4" w:space="0"/>
              <w:bottom w:val="single" w:color="auto" w:sz="4" w:space="0"/>
              <w:right w:val="single" w:color="auto" w:sz="4" w:space="0"/>
            </w:tcBorders>
            <w:vAlign w:val="center"/>
          </w:tcPr>
          <w:p w14:paraId="34847D12">
            <w:pPr>
              <w:widowControl/>
              <w:snapToGrid w:val="0"/>
              <w:jc w:val="right"/>
              <w:rPr>
                <w:rFonts w:ascii="宋体" w:hAnsi="宋体"/>
                <w:color w:val="000000"/>
                <w:kern w:val="0"/>
                <w:sz w:val="25"/>
                <w:szCs w:val="24"/>
              </w:rPr>
            </w:pPr>
            <w:r>
              <w:rPr>
                <w:rFonts w:ascii="Times New Roman" w:hAnsi="Times New Roman"/>
                <w:color w:val="000000"/>
                <w:kern w:val="0"/>
                <w:sz w:val="25"/>
                <w:szCs w:val="24"/>
              </w:rPr>
              <w:t>133,379,693.97</w:t>
            </w:r>
          </w:p>
        </w:tc>
        <w:tc>
          <w:tcPr>
            <w:tcW w:w="750" w:type="pct"/>
            <w:tcBorders>
              <w:top w:val="single" w:color="auto" w:sz="4" w:space="0"/>
              <w:left w:val="single" w:color="auto" w:sz="4" w:space="0"/>
              <w:bottom w:val="single" w:color="auto" w:sz="4" w:space="0"/>
              <w:right w:val="single" w:color="auto" w:sz="4" w:space="0"/>
            </w:tcBorders>
            <w:vAlign w:val="center"/>
          </w:tcPr>
          <w:p w14:paraId="1E5F828B">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14:paraId="263CD94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453EC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685971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250304</w:t>
            </w:r>
          </w:p>
        </w:tc>
        <w:tc>
          <w:tcPr>
            <w:tcW w:w="750" w:type="pct"/>
            <w:tcBorders>
              <w:top w:val="single" w:color="auto" w:sz="4" w:space="0"/>
              <w:left w:val="single" w:color="auto" w:sz="4" w:space="0"/>
              <w:bottom w:val="single" w:color="auto" w:sz="4" w:space="0"/>
              <w:right w:val="single" w:color="auto" w:sz="4" w:space="0"/>
            </w:tcBorders>
            <w:vAlign w:val="center"/>
          </w:tcPr>
          <w:p w14:paraId="309B84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25进出04</w:t>
            </w:r>
          </w:p>
        </w:tc>
        <w:tc>
          <w:tcPr>
            <w:tcW w:w="750" w:type="pct"/>
            <w:tcBorders>
              <w:top w:val="single" w:color="auto" w:sz="4" w:space="0"/>
              <w:left w:val="single" w:color="auto" w:sz="4" w:space="0"/>
              <w:bottom w:val="single" w:color="auto" w:sz="4" w:space="0"/>
              <w:right w:val="single" w:color="auto" w:sz="4" w:space="0"/>
            </w:tcBorders>
            <w:vAlign w:val="center"/>
          </w:tcPr>
          <w:p w14:paraId="02E9BDFD">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color="auto" w:sz="4" w:space="0"/>
              <w:left w:val="single" w:color="auto" w:sz="4" w:space="0"/>
              <w:bottom w:val="single" w:color="auto" w:sz="4" w:space="0"/>
              <w:right w:val="single" w:color="auto" w:sz="4" w:space="0"/>
            </w:tcBorders>
            <w:vAlign w:val="center"/>
          </w:tcPr>
          <w:p w14:paraId="47E92C43">
            <w:pPr>
              <w:widowControl/>
              <w:snapToGrid w:val="0"/>
              <w:jc w:val="right"/>
              <w:rPr>
                <w:rFonts w:ascii="宋体" w:hAnsi="宋体"/>
                <w:color w:val="000000"/>
                <w:kern w:val="0"/>
                <w:sz w:val="25"/>
                <w:szCs w:val="24"/>
              </w:rPr>
            </w:pPr>
            <w:r>
              <w:rPr>
                <w:rFonts w:ascii="Times New Roman" w:hAnsi="Times New Roman"/>
                <w:color w:val="000000"/>
                <w:kern w:val="0"/>
                <w:sz w:val="25"/>
                <w:szCs w:val="24"/>
              </w:rPr>
              <w:t>131,055,941.75</w:t>
            </w:r>
          </w:p>
        </w:tc>
        <w:tc>
          <w:tcPr>
            <w:tcW w:w="750" w:type="pct"/>
            <w:tcBorders>
              <w:top w:val="single" w:color="auto" w:sz="4" w:space="0"/>
              <w:left w:val="single" w:color="auto" w:sz="4" w:space="0"/>
              <w:bottom w:val="single" w:color="auto" w:sz="4" w:space="0"/>
              <w:right w:val="single" w:color="auto" w:sz="4" w:space="0"/>
            </w:tcBorders>
            <w:vAlign w:val="center"/>
          </w:tcPr>
          <w:p w14:paraId="1DC83C76">
            <w:pPr>
              <w:widowControl/>
              <w:snapToGrid w:val="0"/>
              <w:jc w:val="right"/>
              <w:rPr>
                <w:rFonts w:ascii="宋体" w:hAnsi="宋体"/>
                <w:color w:val="000000"/>
                <w:kern w:val="0"/>
                <w:sz w:val="25"/>
                <w:szCs w:val="24"/>
              </w:rPr>
            </w:pPr>
            <w:r>
              <w:rPr>
                <w:rFonts w:ascii="Times New Roman" w:hAnsi="Times New Roman"/>
                <w:color w:val="000000"/>
                <w:kern w:val="0"/>
                <w:sz w:val="25"/>
                <w:szCs w:val="24"/>
              </w:rPr>
              <w:t>0.99</w:t>
            </w:r>
          </w:p>
        </w:tc>
      </w:tr>
      <w:tr w14:paraId="3E90816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CE5C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5D7617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102380141</w:t>
            </w:r>
          </w:p>
        </w:tc>
        <w:tc>
          <w:tcPr>
            <w:tcW w:w="750" w:type="pct"/>
            <w:tcBorders>
              <w:top w:val="single" w:color="auto" w:sz="4" w:space="0"/>
              <w:left w:val="single" w:color="auto" w:sz="4" w:space="0"/>
              <w:bottom w:val="single" w:color="auto" w:sz="4" w:space="0"/>
              <w:right w:val="single" w:color="auto" w:sz="4" w:space="0"/>
            </w:tcBorders>
            <w:vAlign w:val="center"/>
          </w:tcPr>
          <w:p w14:paraId="001AA40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23首开MTN001</w:t>
            </w:r>
          </w:p>
        </w:tc>
        <w:tc>
          <w:tcPr>
            <w:tcW w:w="750" w:type="pct"/>
            <w:tcBorders>
              <w:top w:val="single" w:color="auto" w:sz="4" w:space="0"/>
              <w:left w:val="single" w:color="auto" w:sz="4" w:space="0"/>
              <w:bottom w:val="single" w:color="auto" w:sz="4" w:space="0"/>
              <w:right w:val="single" w:color="auto" w:sz="4" w:space="0"/>
            </w:tcBorders>
            <w:vAlign w:val="center"/>
          </w:tcPr>
          <w:p w14:paraId="3F43C1A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26DBB536">
            <w:pPr>
              <w:widowControl/>
              <w:snapToGrid w:val="0"/>
              <w:jc w:val="right"/>
              <w:rPr>
                <w:rFonts w:ascii="宋体" w:hAnsi="宋体"/>
                <w:color w:val="000000"/>
                <w:kern w:val="0"/>
                <w:sz w:val="25"/>
                <w:szCs w:val="24"/>
              </w:rPr>
            </w:pPr>
            <w:r>
              <w:rPr>
                <w:rFonts w:ascii="Times New Roman" w:hAnsi="Times New Roman"/>
                <w:color w:val="000000"/>
                <w:kern w:val="0"/>
                <w:sz w:val="25"/>
                <w:szCs w:val="24"/>
              </w:rPr>
              <w:t>104,402,634.82</w:t>
            </w:r>
          </w:p>
        </w:tc>
        <w:tc>
          <w:tcPr>
            <w:tcW w:w="750" w:type="pct"/>
            <w:tcBorders>
              <w:top w:val="single" w:color="auto" w:sz="4" w:space="0"/>
              <w:left w:val="single" w:color="auto" w:sz="4" w:space="0"/>
              <w:bottom w:val="single" w:color="auto" w:sz="4" w:space="0"/>
              <w:right w:val="single" w:color="auto" w:sz="4" w:space="0"/>
            </w:tcBorders>
            <w:vAlign w:val="center"/>
          </w:tcPr>
          <w:p w14:paraId="34B8B5BA">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14:paraId="6CE213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69DA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5EAA7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2220080</w:t>
            </w:r>
          </w:p>
        </w:tc>
        <w:tc>
          <w:tcPr>
            <w:tcW w:w="750" w:type="pct"/>
            <w:tcBorders>
              <w:top w:val="single" w:color="auto" w:sz="4" w:space="0"/>
              <w:left w:val="single" w:color="auto" w:sz="4" w:space="0"/>
              <w:bottom w:val="single" w:color="auto" w:sz="4" w:space="0"/>
              <w:right w:val="single" w:color="auto" w:sz="4" w:space="0"/>
            </w:tcBorders>
            <w:vAlign w:val="center"/>
          </w:tcPr>
          <w:p w14:paraId="35333C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22厦门国际银行</w:t>
            </w:r>
          </w:p>
        </w:tc>
        <w:tc>
          <w:tcPr>
            <w:tcW w:w="750" w:type="pct"/>
            <w:tcBorders>
              <w:top w:val="single" w:color="auto" w:sz="4" w:space="0"/>
              <w:left w:val="single" w:color="auto" w:sz="4" w:space="0"/>
              <w:bottom w:val="single" w:color="auto" w:sz="4" w:space="0"/>
              <w:right w:val="single" w:color="auto" w:sz="4" w:space="0"/>
            </w:tcBorders>
            <w:vAlign w:val="center"/>
          </w:tcPr>
          <w:p w14:paraId="740A7BD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639FB964">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102,499,264.41</w:t>
            </w:r>
          </w:p>
        </w:tc>
        <w:tc>
          <w:tcPr>
            <w:tcW w:w="750" w:type="pct"/>
            <w:tcBorders>
              <w:top w:val="single" w:color="auto" w:sz="4" w:space="0"/>
              <w:left w:val="single" w:color="auto" w:sz="4" w:space="0"/>
              <w:bottom w:val="single" w:color="auto" w:sz="4" w:space="0"/>
              <w:right w:val="single" w:color="auto" w:sz="4" w:space="0"/>
            </w:tcBorders>
            <w:vAlign w:val="center"/>
          </w:tcPr>
          <w:p w14:paraId="7DFCC0A3">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14:paraId="063080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6A4BDD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5508EE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012581615</w:t>
            </w:r>
          </w:p>
        </w:tc>
        <w:tc>
          <w:tcPr>
            <w:tcW w:w="750" w:type="pct"/>
            <w:tcBorders>
              <w:top w:val="single" w:color="auto" w:sz="4" w:space="0"/>
              <w:left w:val="single" w:color="auto" w:sz="4" w:space="0"/>
              <w:bottom w:val="single" w:color="auto" w:sz="4" w:space="0"/>
              <w:right w:val="single" w:color="auto" w:sz="4" w:space="0"/>
            </w:tcBorders>
            <w:vAlign w:val="center"/>
          </w:tcPr>
          <w:p w14:paraId="63D0D58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25中交建筑SCP003</w:t>
            </w:r>
          </w:p>
        </w:tc>
        <w:tc>
          <w:tcPr>
            <w:tcW w:w="750" w:type="pct"/>
            <w:tcBorders>
              <w:top w:val="single" w:color="auto" w:sz="4" w:space="0"/>
              <w:left w:val="single" w:color="auto" w:sz="4" w:space="0"/>
              <w:bottom w:val="single" w:color="auto" w:sz="4" w:space="0"/>
              <w:right w:val="single" w:color="auto" w:sz="4" w:space="0"/>
            </w:tcBorders>
            <w:vAlign w:val="center"/>
          </w:tcPr>
          <w:p w14:paraId="134B40B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677404F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100,267,623.42</w:t>
            </w:r>
          </w:p>
        </w:tc>
        <w:tc>
          <w:tcPr>
            <w:tcW w:w="750" w:type="pct"/>
            <w:tcBorders>
              <w:top w:val="single" w:color="auto" w:sz="4" w:space="0"/>
              <w:left w:val="single" w:color="auto" w:sz="4" w:space="0"/>
              <w:bottom w:val="single" w:color="auto" w:sz="4" w:space="0"/>
              <w:right w:val="single" w:color="auto" w:sz="4" w:space="0"/>
            </w:tcBorders>
            <w:vAlign w:val="center"/>
          </w:tcPr>
          <w:p w14:paraId="292A1EAF">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14:paraId="002E93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B31787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83F234B">
            <w:pPr>
              <w:widowControl/>
              <w:snapToGrid w:val="0"/>
              <w:jc w:val="center"/>
              <w:rPr>
                <w:rFonts w:ascii="宋体" w:hAnsi="宋体"/>
                <w:color w:val="000000"/>
                <w:kern w:val="0"/>
                <w:sz w:val="25"/>
                <w:szCs w:val="24"/>
              </w:rPr>
            </w:pPr>
            <w:r>
              <w:rPr>
                <w:rFonts w:ascii="Times New Roman" w:hAnsi="Times New Roman"/>
                <w:color w:val="000000"/>
                <w:kern w:val="0"/>
                <w:sz w:val="25"/>
                <w:szCs w:val="24"/>
              </w:rPr>
              <w:t>072510188</w:t>
            </w:r>
          </w:p>
        </w:tc>
        <w:tc>
          <w:tcPr>
            <w:tcW w:w="750" w:type="pct"/>
            <w:tcBorders>
              <w:top w:val="single" w:color="auto" w:sz="4" w:space="0"/>
              <w:left w:val="single" w:color="auto" w:sz="4" w:space="0"/>
              <w:bottom w:val="single" w:color="auto" w:sz="4" w:space="0"/>
              <w:right w:val="single" w:color="auto" w:sz="4" w:space="0"/>
            </w:tcBorders>
            <w:vAlign w:val="center"/>
          </w:tcPr>
          <w:p w14:paraId="23BE750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25方正证券CP004</w:t>
            </w:r>
          </w:p>
        </w:tc>
        <w:tc>
          <w:tcPr>
            <w:tcW w:w="750" w:type="pct"/>
            <w:tcBorders>
              <w:top w:val="single" w:color="auto" w:sz="4" w:space="0"/>
              <w:left w:val="single" w:color="auto" w:sz="4" w:space="0"/>
              <w:bottom w:val="single" w:color="auto" w:sz="4" w:space="0"/>
              <w:right w:val="single" w:color="auto" w:sz="4" w:space="0"/>
            </w:tcBorders>
            <w:vAlign w:val="center"/>
          </w:tcPr>
          <w:p w14:paraId="2EAB8D4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6830B2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100,144,350.68</w:t>
            </w:r>
          </w:p>
        </w:tc>
        <w:tc>
          <w:tcPr>
            <w:tcW w:w="750" w:type="pct"/>
            <w:tcBorders>
              <w:top w:val="single" w:color="auto" w:sz="4" w:space="0"/>
              <w:left w:val="single" w:color="auto" w:sz="4" w:space="0"/>
              <w:bottom w:val="single" w:color="auto" w:sz="4" w:space="0"/>
              <w:right w:val="single" w:color="auto" w:sz="4" w:space="0"/>
            </w:tcBorders>
            <w:vAlign w:val="center"/>
          </w:tcPr>
          <w:p w14:paraId="613F2288">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14:paraId="4653301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03F5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3B1672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112581373</w:t>
            </w:r>
          </w:p>
        </w:tc>
        <w:tc>
          <w:tcPr>
            <w:tcW w:w="750" w:type="pct"/>
            <w:tcBorders>
              <w:top w:val="single" w:color="auto" w:sz="4" w:space="0"/>
              <w:left w:val="single" w:color="auto" w:sz="4" w:space="0"/>
              <w:bottom w:val="single" w:color="auto" w:sz="4" w:space="0"/>
              <w:right w:val="single" w:color="auto" w:sz="4" w:space="0"/>
            </w:tcBorders>
            <w:vAlign w:val="center"/>
          </w:tcPr>
          <w:p w14:paraId="772936A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25温州银行CD125</w:t>
            </w:r>
          </w:p>
        </w:tc>
        <w:tc>
          <w:tcPr>
            <w:tcW w:w="750" w:type="pct"/>
            <w:tcBorders>
              <w:top w:val="single" w:color="auto" w:sz="4" w:space="0"/>
              <w:left w:val="single" w:color="auto" w:sz="4" w:space="0"/>
              <w:bottom w:val="single" w:color="auto" w:sz="4" w:space="0"/>
              <w:right w:val="single" w:color="auto" w:sz="4" w:space="0"/>
            </w:tcBorders>
            <w:vAlign w:val="center"/>
          </w:tcPr>
          <w:p w14:paraId="2437DB9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762E865C">
            <w:pPr>
              <w:widowControl/>
              <w:snapToGrid w:val="0"/>
              <w:jc w:val="right"/>
              <w:rPr>
                <w:rFonts w:ascii="宋体" w:hAnsi="宋体"/>
                <w:color w:val="000000"/>
                <w:kern w:val="0"/>
                <w:sz w:val="25"/>
                <w:szCs w:val="24"/>
              </w:rPr>
            </w:pPr>
            <w:r>
              <w:rPr>
                <w:rFonts w:ascii="Times New Roman" w:hAnsi="Times New Roman"/>
                <w:color w:val="000000"/>
                <w:kern w:val="0"/>
                <w:sz w:val="25"/>
                <w:szCs w:val="24"/>
              </w:rPr>
              <w:t>99,777,118.78</w:t>
            </w:r>
          </w:p>
        </w:tc>
        <w:tc>
          <w:tcPr>
            <w:tcW w:w="750" w:type="pct"/>
            <w:tcBorders>
              <w:top w:val="single" w:color="auto" w:sz="4" w:space="0"/>
              <w:left w:val="single" w:color="auto" w:sz="4" w:space="0"/>
              <w:bottom w:val="single" w:color="auto" w:sz="4" w:space="0"/>
              <w:right w:val="single" w:color="auto" w:sz="4" w:space="0"/>
            </w:tcBorders>
            <w:vAlign w:val="center"/>
          </w:tcPr>
          <w:p w14:paraId="756F13A1">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bl>
    <w:p w14:paraId="7300F7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“影子定价”与“摊余成本法”确定的基金资产净值的偏离</w:t>
      </w:r>
    </w:p>
    <w:tbl>
      <w:tblPr>
        <w:tblStyle w:val="14"/>
        <w:tblW w:w="5000" w:type="pct"/>
        <w:tblInd w:w="0" w:type="dxa"/>
        <w:tblLayout w:type="autofit"/>
        <w:tblCellMar>
          <w:top w:w="0" w:type="dxa"/>
          <w:left w:w="0" w:type="dxa"/>
          <w:bottom w:w="0" w:type="dxa"/>
          <w:right w:w="0" w:type="dxa"/>
        </w:tblCellMar>
      </w:tblPr>
      <w:tblGrid>
        <w:gridCol w:w="2167"/>
        <w:gridCol w:w="6503"/>
      </w:tblGrid>
      <w:tr w14:paraId="1E99457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A119A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4B76061">
            <w:pPr>
              <w:widowControl/>
              <w:snapToGrid w:val="0"/>
              <w:jc w:val="center"/>
              <w:rPr>
                <w:rFonts w:ascii="宋体" w:hAnsi="宋体"/>
                <w:color w:val="000000"/>
                <w:kern w:val="0"/>
                <w:sz w:val="25"/>
                <w:szCs w:val="24"/>
              </w:rPr>
            </w:pPr>
            <w:r>
              <w:rPr>
                <w:rFonts w:ascii="Times New Roman" w:hAnsi="Times New Roman"/>
                <w:color w:val="000000"/>
                <w:kern w:val="0"/>
                <w:sz w:val="25"/>
                <w:szCs w:val="24"/>
              </w:rPr>
              <w:t>偏离情况</w:t>
            </w:r>
          </w:p>
        </w:tc>
      </w:tr>
      <w:tr w14:paraId="580F08D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4D88EB">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报告期内偏离度的绝对值在0.25（含）-0.5%间的次数</w:t>
            </w:r>
          </w:p>
        </w:tc>
        <w:tc>
          <w:tcPr>
            <w:tcW w:w="750" w:type="pct"/>
            <w:tcBorders>
              <w:top w:val="single" w:color="auto" w:sz="4" w:space="0"/>
              <w:left w:val="single" w:color="auto" w:sz="4" w:space="0"/>
              <w:bottom w:val="single" w:color="auto" w:sz="4" w:space="0"/>
              <w:right w:val="single" w:color="auto" w:sz="4" w:space="0"/>
            </w:tcBorders>
            <w:vAlign w:val="center"/>
          </w:tcPr>
          <w:p w14:paraId="75D8D675">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r w14:paraId="10A8A1C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089F3E">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报告期内偏离度的最高值</w:t>
            </w:r>
          </w:p>
        </w:tc>
        <w:tc>
          <w:tcPr>
            <w:tcW w:w="750" w:type="pct"/>
            <w:tcBorders>
              <w:top w:val="single" w:color="auto" w:sz="4" w:space="0"/>
              <w:left w:val="single" w:color="auto" w:sz="4" w:space="0"/>
              <w:bottom w:val="single" w:color="auto" w:sz="4" w:space="0"/>
              <w:right w:val="single" w:color="auto" w:sz="4" w:space="0"/>
            </w:tcBorders>
            <w:vAlign w:val="center"/>
          </w:tcPr>
          <w:p w14:paraId="63CD4B0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0.0498%</w:t>
            </w:r>
          </w:p>
        </w:tc>
      </w:tr>
      <w:tr w14:paraId="21FCFD7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FCDBE8">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报告期内偏离度的最低值</w:t>
            </w:r>
          </w:p>
        </w:tc>
        <w:tc>
          <w:tcPr>
            <w:tcW w:w="750" w:type="pct"/>
            <w:tcBorders>
              <w:top w:val="single" w:color="auto" w:sz="4" w:space="0"/>
              <w:left w:val="single" w:color="auto" w:sz="4" w:space="0"/>
              <w:bottom w:val="single" w:color="auto" w:sz="4" w:space="0"/>
              <w:right w:val="single" w:color="auto" w:sz="4" w:space="0"/>
            </w:tcBorders>
            <w:vAlign w:val="center"/>
          </w:tcPr>
          <w:p w14:paraId="2405121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0.0170%</w:t>
            </w:r>
          </w:p>
        </w:tc>
      </w:tr>
      <w:tr w14:paraId="2409FDC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D147E2">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报告期内每个工作日偏离度的绝对值的简单平均值</w:t>
            </w:r>
          </w:p>
        </w:tc>
        <w:tc>
          <w:tcPr>
            <w:tcW w:w="750" w:type="pct"/>
            <w:tcBorders>
              <w:top w:val="single" w:color="auto" w:sz="4" w:space="0"/>
              <w:left w:val="single" w:color="auto" w:sz="4" w:space="0"/>
              <w:bottom w:val="single" w:color="auto" w:sz="4" w:space="0"/>
              <w:right w:val="single" w:color="auto" w:sz="4" w:space="0"/>
            </w:tcBorders>
            <w:vAlign w:val="center"/>
          </w:tcPr>
          <w:p w14:paraId="7A49E645">
            <w:pPr>
              <w:widowControl/>
              <w:snapToGrid w:val="0"/>
              <w:jc w:val="right"/>
              <w:rPr>
                <w:rFonts w:ascii="宋体" w:hAnsi="宋体"/>
                <w:color w:val="000000"/>
                <w:kern w:val="0"/>
                <w:sz w:val="25"/>
                <w:szCs w:val="24"/>
              </w:rPr>
            </w:pPr>
            <w:r>
              <w:rPr>
                <w:rFonts w:ascii="Times New Roman" w:hAnsi="Times New Roman"/>
                <w:color w:val="000000"/>
                <w:kern w:val="0"/>
                <w:sz w:val="25"/>
                <w:szCs w:val="24"/>
              </w:rPr>
              <w:t>0.0384%</w:t>
            </w:r>
          </w:p>
        </w:tc>
      </w:tr>
    </w:tbl>
    <w:p w14:paraId="18D9A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报告期内负偏离度的绝对值达到0.25%情况说明</w:t>
      </w:r>
    </w:p>
    <w:p w14:paraId="5A039F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8309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报告期内正偏离度的绝对值达到0.5%情况说明</w:t>
      </w:r>
    </w:p>
    <w:p w14:paraId="1FC43F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DC53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8、报告期末按摊余成本占基金资产净值比例大小排名的前十名资产支持证券投资明细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588125B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E473DE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B11BD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711FCCB">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F0C336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数量（份）</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8558E5E">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1AEA5A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5D74306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9D174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60FD3C2A">
            <w:pPr>
              <w:widowControl/>
              <w:snapToGrid w:val="0"/>
              <w:jc w:val="center"/>
              <w:rPr>
                <w:rFonts w:ascii="宋体" w:hAnsi="宋体"/>
                <w:color w:val="000000"/>
                <w:kern w:val="0"/>
                <w:sz w:val="25"/>
                <w:szCs w:val="24"/>
              </w:rPr>
            </w:pPr>
            <w:r>
              <w:rPr>
                <w:rFonts w:ascii="Times New Roman" w:hAnsi="Times New Roman"/>
                <w:color w:val="000000"/>
                <w:kern w:val="0"/>
                <w:sz w:val="25"/>
                <w:szCs w:val="24"/>
              </w:rPr>
              <w:t>264870</w:t>
            </w:r>
          </w:p>
        </w:tc>
        <w:tc>
          <w:tcPr>
            <w:tcW w:w="750" w:type="pct"/>
            <w:tcBorders>
              <w:top w:val="single" w:color="auto" w:sz="4" w:space="0"/>
              <w:left w:val="single" w:color="auto" w:sz="4" w:space="0"/>
              <w:bottom w:val="single" w:color="auto" w:sz="4" w:space="0"/>
              <w:right w:val="single" w:color="auto" w:sz="4" w:space="0"/>
            </w:tcBorders>
            <w:vAlign w:val="center"/>
          </w:tcPr>
          <w:p w14:paraId="6737A4CF">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美憬叁5A</w:t>
            </w:r>
          </w:p>
        </w:tc>
        <w:tc>
          <w:tcPr>
            <w:tcW w:w="750" w:type="pct"/>
            <w:tcBorders>
              <w:top w:val="single" w:color="auto" w:sz="4" w:space="0"/>
              <w:left w:val="single" w:color="auto" w:sz="4" w:space="0"/>
              <w:bottom w:val="single" w:color="auto" w:sz="4" w:space="0"/>
              <w:right w:val="single" w:color="auto" w:sz="4" w:space="0"/>
            </w:tcBorders>
            <w:vAlign w:val="center"/>
          </w:tcPr>
          <w:p w14:paraId="7E634866">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5360D75A">
            <w:pPr>
              <w:widowControl/>
              <w:snapToGrid w:val="0"/>
              <w:jc w:val="right"/>
              <w:rPr>
                <w:rFonts w:ascii="宋体" w:hAnsi="宋体"/>
                <w:color w:val="000000"/>
                <w:kern w:val="0"/>
                <w:sz w:val="25"/>
                <w:szCs w:val="24"/>
              </w:rPr>
            </w:pPr>
            <w:r>
              <w:rPr>
                <w:rFonts w:ascii="Times New Roman" w:hAnsi="Times New Roman"/>
                <w:color w:val="000000"/>
                <w:kern w:val="0"/>
                <w:sz w:val="25"/>
                <w:szCs w:val="24"/>
              </w:rPr>
              <w:t>40,014,518.36</w:t>
            </w:r>
          </w:p>
        </w:tc>
        <w:tc>
          <w:tcPr>
            <w:tcW w:w="750" w:type="pct"/>
            <w:tcBorders>
              <w:top w:val="single" w:color="auto" w:sz="4" w:space="0"/>
              <w:left w:val="single" w:color="auto" w:sz="4" w:space="0"/>
              <w:bottom w:val="single" w:color="auto" w:sz="4" w:space="0"/>
              <w:right w:val="single" w:color="auto" w:sz="4" w:space="0"/>
            </w:tcBorders>
            <w:vAlign w:val="center"/>
          </w:tcPr>
          <w:p w14:paraId="7A5A3E15">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14:paraId="605D86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BF885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106F80D">
            <w:pPr>
              <w:widowControl/>
              <w:snapToGrid w:val="0"/>
              <w:jc w:val="center"/>
              <w:rPr>
                <w:rFonts w:ascii="宋体" w:hAnsi="宋体"/>
                <w:color w:val="000000"/>
                <w:kern w:val="0"/>
                <w:sz w:val="25"/>
                <w:szCs w:val="24"/>
              </w:rPr>
            </w:pPr>
            <w:r>
              <w:rPr>
                <w:rFonts w:ascii="Times New Roman" w:hAnsi="Times New Roman"/>
                <w:color w:val="000000"/>
                <w:kern w:val="0"/>
                <w:sz w:val="25"/>
                <w:szCs w:val="24"/>
              </w:rPr>
              <w:t>265445</w:t>
            </w:r>
          </w:p>
        </w:tc>
        <w:tc>
          <w:tcPr>
            <w:tcW w:w="750" w:type="pct"/>
            <w:tcBorders>
              <w:top w:val="single" w:color="auto" w:sz="4" w:space="0"/>
              <w:left w:val="single" w:color="auto" w:sz="4" w:space="0"/>
              <w:bottom w:val="single" w:color="auto" w:sz="4" w:space="0"/>
              <w:right w:val="single" w:color="auto" w:sz="4" w:space="0"/>
            </w:tcBorders>
            <w:vAlign w:val="center"/>
          </w:tcPr>
          <w:p w14:paraId="6A197FBC">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美憬叁6A</w:t>
            </w:r>
          </w:p>
        </w:tc>
        <w:tc>
          <w:tcPr>
            <w:tcW w:w="750" w:type="pct"/>
            <w:tcBorders>
              <w:top w:val="single" w:color="auto" w:sz="4" w:space="0"/>
              <w:left w:val="single" w:color="auto" w:sz="4" w:space="0"/>
              <w:bottom w:val="single" w:color="auto" w:sz="4" w:space="0"/>
              <w:right w:val="single" w:color="auto" w:sz="4" w:space="0"/>
            </w:tcBorders>
            <w:vAlign w:val="center"/>
          </w:tcPr>
          <w:p w14:paraId="6A7B6EEE">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4A37C004">
            <w:pPr>
              <w:widowControl/>
              <w:snapToGrid w:val="0"/>
              <w:jc w:val="right"/>
              <w:rPr>
                <w:rFonts w:ascii="宋体" w:hAnsi="宋体"/>
                <w:color w:val="000000"/>
                <w:kern w:val="0"/>
                <w:sz w:val="25"/>
                <w:szCs w:val="24"/>
              </w:rPr>
            </w:pPr>
            <w:r>
              <w:rPr>
                <w:rFonts w:ascii="Times New Roman" w:hAnsi="Times New Roman"/>
                <w:color w:val="000000"/>
                <w:kern w:val="0"/>
                <w:sz w:val="25"/>
                <w:szCs w:val="24"/>
              </w:rPr>
              <w:t>40,014,518.36</w:t>
            </w:r>
          </w:p>
        </w:tc>
        <w:tc>
          <w:tcPr>
            <w:tcW w:w="750" w:type="pct"/>
            <w:tcBorders>
              <w:top w:val="single" w:color="auto" w:sz="4" w:space="0"/>
              <w:left w:val="single" w:color="auto" w:sz="4" w:space="0"/>
              <w:bottom w:val="single" w:color="auto" w:sz="4" w:space="0"/>
              <w:right w:val="single" w:color="auto" w:sz="4" w:space="0"/>
            </w:tcBorders>
            <w:vAlign w:val="center"/>
          </w:tcPr>
          <w:p w14:paraId="106E72E4">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14:paraId="66001AA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475B3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29E5AD8">
            <w:pPr>
              <w:widowControl/>
              <w:snapToGrid w:val="0"/>
              <w:jc w:val="center"/>
              <w:rPr>
                <w:rFonts w:ascii="宋体" w:hAnsi="宋体"/>
                <w:color w:val="000000"/>
                <w:kern w:val="0"/>
                <w:sz w:val="25"/>
                <w:szCs w:val="24"/>
              </w:rPr>
            </w:pPr>
            <w:r>
              <w:rPr>
                <w:rFonts w:ascii="Times New Roman" w:hAnsi="Times New Roman"/>
                <w:color w:val="000000"/>
                <w:kern w:val="0"/>
                <w:sz w:val="25"/>
                <w:szCs w:val="24"/>
              </w:rPr>
              <w:t>266329</w:t>
            </w:r>
          </w:p>
        </w:tc>
        <w:tc>
          <w:tcPr>
            <w:tcW w:w="750" w:type="pct"/>
            <w:tcBorders>
              <w:top w:val="single" w:color="auto" w:sz="4" w:space="0"/>
              <w:left w:val="single" w:color="auto" w:sz="4" w:space="0"/>
              <w:bottom w:val="single" w:color="auto" w:sz="4" w:space="0"/>
              <w:right w:val="single" w:color="auto" w:sz="4" w:space="0"/>
            </w:tcBorders>
            <w:vAlign w:val="center"/>
          </w:tcPr>
          <w:p w14:paraId="6BEE7A01">
            <w:pPr>
              <w:widowControl/>
              <w:snapToGrid w:val="0"/>
              <w:jc w:val="center"/>
              <w:rPr>
                <w:rFonts w:ascii="宋体" w:hAnsi="宋体"/>
                <w:color w:val="000000"/>
                <w:kern w:val="0"/>
                <w:sz w:val="25"/>
                <w:szCs w:val="24"/>
              </w:rPr>
            </w:pPr>
            <w:r>
              <w:rPr>
                <w:rFonts w:ascii="Times New Roman" w:hAnsi="Times New Roman"/>
                <w:color w:val="000000"/>
                <w:kern w:val="0"/>
                <w:sz w:val="25"/>
                <w:szCs w:val="24"/>
              </w:rPr>
              <w:t>诚新4A1</w:t>
            </w:r>
          </w:p>
        </w:tc>
        <w:tc>
          <w:tcPr>
            <w:tcW w:w="750" w:type="pct"/>
            <w:tcBorders>
              <w:top w:val="single" w:color="auto" w:sz="4" w:space="0"/>
              <w:left w:val="single" w:color="auto" w:sz="4" w:space="0"/>
              <w:bottom w:val="single" w:color="auto" w:sz="4" w:space="0"/>
              <w:right w:val="single" w:color="auto" w:sz="4" w:space="0"/>
            </w:tcBorders>
            <w:vAlign w:val="center"/>
          </w:tcPr>
          <w:p w14:paraId="07A2FE2F">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color="auto" w:sz="4" w:space="0"/>
              <w:left w:val="single" w:color="auto" w:sz="4" w:space="0"/>
              <w:bottom w:val="single" w:color="auto" w:sz="4" w:space="0"/>
              <w:right w:val="single" w:color="auto" w:sz="4" w:space="0"/>
            </w:tcBorders>
            <w:vAlign w:val="center"/>
          </w:tcPr>
          <w:p w14:paraId="2125590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30,014,044.93</w:t>
            </w:r>
          </w:p>
        </w:tc>
        <w:tc>
          <w:tcPr>
            <w:tcW w:w="750" w:type="pct"/>
            <w:tcBorders>
              <w:top w:val="single" w:color="auto" w:sz="4" w:space="0"/>
              <w:left w:val="single" w:color="auto" w:sz="4" w:space="0"/>
              <w:bottom w:val="single" w:color="auto" w:sz="4" w:space="0"/>
              <w:right w:val="single" w:color="auto" w:sz="4" w:space="0"/>
            </w:tcBorders>
            <w:vAlign w:val="center"/>
          </w:tcPr>
          <w:p w14:paraId="14796862">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bl>
    <w:p w14:paraId="1999C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9、投资组合报告附注</w:t>
      </w:r>
    </w:p>
    <w:p w14:paraId="71899A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基金计价方法说明</w:t>
      </w:r>
    </w:p>
    <w:p w14:paraId="4FA4A7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本基金采用摊余成本法计价，即计价对象以买入成本列示，按票面利率或商定利率并考虑其买入时的溢价与折价，在其剩余期限内按照实际利率和摊余成本逐日摊销计算损益。</w:t>
      </w:r>
    </w:p>
    <w:p w14:paraId="7D5586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本基金投资的前十名证券的发行主体本期是否出现被监管部门立案调查，或在报告编制日前一年内受到公开谴责、处罚的情形</w:t>
      </w:r>
    </w:p>
    <w:p w14:paraId="226DDD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7B7353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2025年04月25日,央行温州市分行公示温银罚决字[2025]2号行政处罚决定书,给予温州银行股份有限公司225万元人民币的行政处罚。</w:t>
      </w:r>
    </w:p>
    <w:p w14:paraId="786787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2025年07月14日,国家金融监督管理总局温州监管分局公示行政处罚,给予温州银行股份有限公司35万元人民币的行政处罚。</w:t>
      </w:r>
    </w:p>
    <w:p w14:paraId="7B326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2025年09月15日,国家金融监督管理总局温州监管分局公示行政处罚,给予温州银行股份有限公司100万元人民币的行政处罚。　</w:t>
      </w:r>
    </w:p>
    <w:p w14:paraId="0326D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2025年06月27日,国家金融监督管理总局公示行政处罚,给予中国进出口银行1810万元人民币的行政处罚。</w:t>
      </w:r>
    </w:p>
    <w:p w14:paraId="15FE42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2025年09月12日,国家金融监督管理总局公示行政处罚,给予中国进出口银行130万元人民币的行政处罚。　</w:t>
      </w:r>
    </w:p>
    <w:p w14:paraId="43F2C8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2025年08月01日,国家金融监督管理总局公示行政处罚,给予中国农业发展银行1020万元人民币的行政处罚。</w:t>
      </w:r>
    </w:p>
    <w:p w14:paraId="1F82F7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14:paraId="64AE81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14:paraId="0CA37A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12A1641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7A945FA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75992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06B7C0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41D2F12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B77BA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F29FB6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1534725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2A59B7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D8AA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374767A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2428EA2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0EFAF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63796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37FAE7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71A42B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48D03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D865F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1237E9E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5EF93965">
            <w:pPr>
              <w:widowControl/>
              <w:snapToGrid w:val="0"/>
              <w:jc w:val="right"/>
              <w:rPr>
                <w:rFonts w:ascii="宋体" w:hAnsi="宋体"/>
                <w:color w:val="000000"/>
                <w:kern w:val="0"/>
                <w:sz w:val="25"/>
                <w:szCs w:val="24"/>
              </w:rPr>
            </w:pPr>
            <w:r>
              <w:rPr>
                <w:rFonts w:ascii="Times New Roman" w:hAnsi="Times New Roman"/>
                <w:color w:val="000000"/>
                <w:kern w:val="0"/>
                <w:sz w:val="25"/>
                <w:szCs w:val="24"/>
              </w:rPr>
              <w:t>13,974,923.90</w:t>
            </w:r>
          </w:p>
        </w:tc>
      </w:tr>
      <w:tr w14:paraId="2A450EE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7CE44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ABD8E9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52277AB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7E3AA8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F1F1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3098777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7635526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D13CA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A07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BAD229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4932CA9D">
            <w:pPr>
              <w:widowControl/>
              <w:snapToGrid w:val="0"/>
              <w:jc w:val="right"/>
              <w:rPr>
                <w:rFonts w:ascii="宋体" w:hAnsi="宋体"/>
                <w:color w:val="000000"/>
                <w:kern w:val="0"/>
                <w:sz w:val="25"/>
                <w:szCs w:val="24"/>
              </w:rPr>
            </w:pPr>
            <w:r>
              <w:rPr>
                <w:rFonts w:ascii="Times New Roman" w:hAnsi="Times New Roman"/>
                <w:color w:val="000000"/>
                <w:kern w:val="0"/>
                <w:sz w:val="25"/>
                <w:szCs w:val="24"/>
              </w:rPr>
              <w:t>13,974,923.90</w:t>
            </w:r>
          </w:p>
        </w:tc>
      </w:tr>
    </w:tbl>
    <w:p w14:paraId="0426A9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 投资组合报告附注的其他文字描述部分</w:t>
      </w:r>
    </w:p>
    <w:p w14:paraId="098AFB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794C11A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4B7888C">
      <w:pPr>
        <w:pStyle w:val="2"/>
        <w:snapToGrid w:val="0"/>
        <w:spacing w:before="240" w:beforeLines="0" w:after="240"/>
        <w:rPr>
          <w:rFonts w:ascii="宋体" w:hAnsi="宋体"/>
          <w:szCs w:val="30"/>
        </w:rPr>
      </w:pPr>
      <w:bookmarkStart w:id="13" w:name="_Toc214028667"/>
      <w:r>
        <w:rPr>
          <w:rFonts w:ascii="Times New Roman" w:hAnsi="Times New Roman"/>
          <w:sz w:val="30"/>
        </w:rPr>
        <w:t>十一、基金的业绩</w:t>
      </w:r>
      <w:bookmarkEnd w:id="13"/>
    </w:p>
    <w:p w14:paraId="1D837C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基金业绩截止日为2025年09月30日，所载财务数据未经审计师审计。</w:t>
      </w:r>
    </w:p>
    <w:p w14:paraId="51844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1AAFB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1、本报告期基金份额净值收益率及其与同期业绩比较基准收益率的比较</w:t>
      </w:r>
    </w:p>
    <w:p w14:paraId="417EEDF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1）交银天利宝货币A：</w:t>
      </w:r>
    </w:p>
    <w:tbl>
      <w:tblPr>
        <w:tblStyle w:val="14"/>
        <w:tblW w:w="5000" w:type="pct"/>
        <w:tblInd w:w="0" w:type="dxa"/>
        <w:tblLayout w:type="autofit"/>
        <w:tblCellMar>
          <w:top w:w="0" w:type="dxa"/>
          <w:left w:w="0" w:type="dxa"/>
          <w:bottom w:w="0" w:type="dxa"/>
          <w:right w:w="0" w:type="dxa"/>
        </w:tblCellMar>
      </w:tblPr>
      <w:tblGrid>
        <w:gridCol w:w="1294"/>
        <w:gridCol w:w="1294"/>
        <w:gridCol w:w="1294"/>
        <w:gridCol w:w="1294"/>
        <w:gridCol w:w="1294"/>
        <w:gridCol w:w="1294"/>
        <w:gridCol w:w="906"/>
      </w:tblGrid>
      <w:tr w14:paraId="0EEBEAC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02EDBF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3533FDA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净值收益率①</w:t>
            </w:r>
          </w:p>
        </w:tc>
        <w:tc>
          <w:tcPr>
            <w:tcW w:w="750" w:type="pct"/>
            <w:tcBorders>
              <w:top w:val="single" w:color="auto" w:sz="4" w:space="0"/>
              <w:left w:val="single" w:color="auto" w:sz="4" w:space="0"/>
              <w:bottom w:val="single" w:color="auto" w:sz="4" w:space="0"/>
              <w:right w:val="single" w:color="auto" w:sz="4" w:space="0"/>
            </w:tcBorders>
            <w:vAlign w:val="center"/>
          </w:tcPr>
          <w:p w14:paraId="3F740E4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2D4E8E3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177253A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4FD673D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0536D71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409CC0E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806E44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0C9F832D">
            <w:pPr>
              <w:widowControl/>
              <w:snapToGrid w:val="0"/>
              <w:jc w:val="left"/>
              <w:rPr>
                <w:rFonts w:ascii="宋体" w:hAnsi="宋体"/>
                <w:color w:val="000000"/>
                <w:kern w:val="0"/>
                <w:sz w:val="25"/>
                <w:szCs w:val="24"/>
              </w:rPr>
            </w:pPr>
            <w:r>
              <w:rPr>
                <w:rFonts w:ascii="Times New Roman" w:hAnsi="Times New Roman"/>
                <w:color w:val="000000"/>
                <w:kern w:val="0"/>
                <w:sz w:val="25"/>
                <w:szCs w:val="24"/>
              </w:rPr>
              <w:t>0.3173%</w:t>
            </w:r>
          </w:p>
        </w:tc>
        <w:tc>
          <w:tcPr>
            <w:tcW w:w="750" w:type="pct"/>
            <w:tcBorders>
              <w:top w:val="single" w:color="auto" w:sz="4" w:space="0"/>
              <w:left w:val="single" w:color="auto" w:sz="4" w:space="0"/>
              <w:bottom w:val="single" w:color="auto" w:sz="4" w:space="0"/>
              <w:right w:val="single" w:color="auto" w:sz="4" w:space="0"/>
            </w:tcBorders>
            <w:vAlign w:val="center"/>
          </w:tcPr>
          <w:p w14:paraId="1793D84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color="auto" w:sz="4" w:space="0"/>
              <w:left w:val="single" w:color="auto" w:sz="4" w:space="0"/>
              <w:bottom w:val="single" w:color="auto" w:sz="4" w:space="0"/>
              <w:right w:val="single" w:color="auto" w:sz="4" w:space="0"/>
            </w:tcBorders>
            <w:vAlign w:val="center"/>
          </w:tcPr>
          <w:p w14:paraId="146460C6">
            <w:pPr>
              <w:widowControl/>
              <w:snapToGrid w:val="0"/>
              <w:jc w:val="left"/>
              <w:rPr>
                <w:rFonts w:ascii="宋体" w:hAnsi="宋体"/>
                <w:color w:val="000000"/>
                <w:kern w:val="0"/>
                <w:sz w:val="25"/>
                <w:szCs w:val="24"/>
              </w:rPr>
            </w:pPr>
            <w:r>
              <w:rPr>
                <w:rFonts w:ascii="Times New Roman" w:hAnsi="Times New Roman"/>
                <w:color w:val="000000"/>
                <w:kern w:val="0"/>
                <w:sz w:val="25"/>
                <w:szCs w:val="24"/>
              </w:rPr>
              <w:t>0.0882%</w:t>
            </w:r>
          </w:p>
        </w:tc>
        <w:tc>
          <w:tcPr>
            <w:tcW w:w="750" w:type="pct"/>
            <w:tcBorders>
              <w:top w:val="single" w:color="auto" w:sz="4" w:space="0"/>
              <w:left w:val="single" w:color="auto" w:sz="4" w:space="0"/>
              <w:bottom w:val="single" w:color="auto" w:sz="4" w:space="0"/>
              <w:right w:val="single" w:color="auto" w:sz="4" w:space="0"/>
            </w:tcBorders>
            <w:vAlign w:val="center"/>
          </w:tcPr>
          <w:p w14:paraId="7B3409B1">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33DDEEEB">
            <w:pPr>
              <w:widowControl/>
              <w:snapToGrid w:val="0"/>
              <w:jc w:val="left"/>
              <w:rPr>
                <w:rFonts w:ascii="宋体" w:hAnsi="宋体"/>
                <w:color w:val="000000"/>
                <w:kern w:val="0"/>
                <w:sz w:val="25"/>
                <w:szCs w:val="24"/>
              </w:rPr>
            </w:pPr>
            <w:r>
              <w:rPr>
                <w:rFonts w:ascii="Times New Roman" w:hAnsi="Times New Roman"/>
                <w:color w:val="000000"/>
                <w:kern w:val="0"/>
                <w:sz w:val="25"/>
                <w:szCs w:val="24"/>
              </w:rPr>
              <w:t>0.2291%</w:t>
            </w:r>
          </w:p>
        </w:tc>
        <w:tc>
          <w:tcPr>
            <w:tcW w:w="750" w:type="pct"/>
            <w:tcBorders>
              <w:top w:val="single" w:color="auto" w:sz="4" w:space="0"/>
              <w:left w:val="single" w:color="auto" w:sz="4" w:space="0"/>
              <w:bottom w:val="single" w:color="auto" w:sz="4" w:space="0"/>
              <w:right w:val="single" w:color="auto" w:sz="4" w:space="0"/>
            </w:tcBorders>
            <w:vAlign w:val="center"/>
          </w:tcPr>
          <w:p w14:paraId="0F686C96">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14:paraId="44C94D2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D060A9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488EEE1E">
            <w:pPr>
              <w:widowControl/>
              <w:snapToGrid w:val="0"/>
              <w:jc w:val="left"/>
              <w:rPr>
                <w:rFonts w:ascii="宋体" w:hAnsi="宋体"/>
                <w:color w:val="000000"/>
                <w:kern w:val="0"/>
                <w:sz w:val="25"/>
                <w:szCs w:val="24"/>
              </w:rPr>
            </w:pPr>
            <w:r>
              <w:rPr>
                <w:rFonts w:ascii="Times New Roman" w:hAnsi="Times New Roman"/>
                <w:color w:val="000000"/>
                <w:kern w:val="0"/>
                <w:sz w:val="25"/>
                <w:szCs w:val="24"/>
              </w:rPr>
              <w:t>0.6382%</w:t>
            </w:r>
          </w:p>
        </w:tc>
        <w:tc>
          <w:tcPr>
            <w:tcW w:w="750" w:type="pct"/>
            <w:tcBorders>
              <w:top w:val="single" w:color="auto" w:sz="4" w:space="0"/>
              <w:left w:val="single" w:color="auto" w:sz="4" w:space="0"/>
              <w:bottom w:val="single" w:color="auto" w:sz="4" w:space="0"/>
              <w:right w:val="single" w:color="auto" w:sz="4" w:space="0"/>
            </w:tcBorders>
            <w:vAlign w:val="center"/>
          </w:tcPr>
          <w:p w14:paraId="4E8337E8">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color="auto" w:sz="4" w:space="0"/>
              <w:left w:val="single" w:color="auto" w:sz="4" w:space="0"/>
              <w:bottom w:val="single" w:color="auto" w:sz="4" w:space="0"/>
              <w:right w:val="single" w:color="auto" w:sz="4" w:space="0"/>
            </w:tcBorders>
            <w:vAlign w:val="center"/>
          </w:tcPr>
          <w:p w14:paraId="4337ADF0">
            <w:pPr>
              <w:widowControl/>
              <w:snapToGrid w:val="0"/>
              <w:jc w:val="left"/>
              <w:rPr>
                <w:rFonts w:ascii="宋体" w:hAnsi="宋体"/>
                <w:color w:val="000000"/>
                <w:kern w:val="0"/>
                <w:sz w:val="25"/>
                <w:szCs w:val="24"/>
              </w:rPr>
            </w:pPr>
            <w:r>
              <w:rPr>
                <w:rFonts w:ascii="Times New Roman" w:hAnsi="Times New Roman"/>
                <w:color w:val="000000"/>
                <w:kern w:val="0"/>
                <w:sz w:val="25"/>
                <w:szCs w:val="24"/>
              </w:rPr>
              <w:t>0.1736%</w:t>
            </w:r>
          </w:p>
        </w:tc>
        <w:tc>
          <w:tcPr>
            <w:tcW w:w="750" w:type="pct"/>
            <w:tcBorders>
              <w:top w:val="single" w:color="auto" w:sz="4" w:space="0"/>
              <w:left w:val="single" w:color="auto" w:sz="4" w:space="0"/>
              <w:bottom w:val="single" w:color="auto" w:sz="4" w:space="0"/>
              <w:right w:val="single" w:color="auto" w:sz="4" w:space="0"/>
            </w:tcBorders>
            <w:vAlign w:val="center"/>
          </w:tcPr>
          <w:p w14:paraId="261BDB6C">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61616CE4">
            <w:pPr>
              <w:widowControl/>
              <w:snapToGrid w:val="0"/>
              <w:jc w:val="left"/>
              <w:rPr>
                <w:rFonts w:ascii="宋体" w:hAnsi="宋体"/>
                <w:color w:val="000000"/>
                <w:kern w:val="0"/>
                <w:sz w:val="25"/>
                <w:szCs w:val="24"/>
              </w:rPr>
            </w:pPr>
            <w:r>
              <w:rPr>
                <w:rFonts w:ascii="Times New Roman" w:hAnsi="Times New Roman"/>
                <w:color w:val="000000"/>
                <w:kern w:val="0"/>
                <w:sz w:val="25"/>
                <w:szCs w:val="24"/>
              </w:rPr>
              <w:t>0.4646%</w:t>
            </w:r>
          </w:p>
        </w:tc>
        <w:tc>
          <w:tcPr>
            <w:tcW w:w="750" w:type="pct"/>
            <w:tcBorders>
              <w:top w:val="single" w:color="auto" w:sz="4" w:space="0"/>
              <w:left w:val="single" w:color="auto" w:sz="4" w:space="0"/>
              <w:bottom w:val="single" w:color="auto" w:sz="4" w:space="0"/>
              <w:right w:val="single" w:color="auto" w:sz="4" w:space="0"/>
            </w:tcBorders>
            <w:vAlign w:val="center"/>
          </w:tcPr>
          <w:p w14:paraId="1CFAC1FF">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14:paraId="6D6831B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3EF1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043D7134">
            <w:pPr>
              <w:widowControl/>
              <w:snapToGrid w:val="0"/>
              <w:jc w:val="left"/>
              <w:rPr>
                <w:rFonts w:ascii="宋体" w:hAnsi="宋体"/>
                <w:color w:val="000000"/>
                <w:kern w:val="0"/>
                <w:sz w:val="25"/>
                <w:szCs w:val="24"/>
              </w:rPr>
            </w:pPr>
            <w:r>
              <w:rPr>
                <w:rFonts w:ascii="Times New Roman" w:hAnsi="Times New Roman"/>
                <w:color w:val="000000"/>
                <w:kern w:val="0"/>
                <w:sz w:val="25"/>
                <w:szCs w:val="24"/>
              </w:rPr>
              <w:t>1.7830%</w:t>
            </w:r>
          </w:p>
        </w:tc>
        <w:tc>
          <w:tcPr>
            <w:tcW w:w="750" w:type="pct"/>
            <w:tcBorders>
              <w:top w:val="single" w:color="auto" w:sz="4" w:space="0"/>
              <w:left w:val="single" w:color="auto" w:sz="4" w:space="0"/>
              <w:bottom w:val="single" w:color="auto" w:sz="4" w:space="0"/>
              <w:right w:val="single" w:color="auto" w:sz="4" w:space="0"/>
            </w:tcBorders>
            <w:vAlign w:val="center"/>
          </w:tcPr>
          <w:p w14:paraId="6B67937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c>
          <w:tcPr>
            <w:tcW w:w="750" w:type="pct"/>
            <w:tcBorders>
              <w:top w:val="single" w:color="auto" w:sz="4" w:space="0"/>
              <w:left w:val="single" w:color="auto" w:sz="4" w:space="0"/>
              <w:bottom w:val="single" w:color="auto" w:sz="4" w:space="0"/>
              <w:right w:val="single" w:color="auto" w:sz="4" w:space="0"/>
            </w:tcBorders>
            <w:vAlign w:val="center"/>
          </w:tcPr>
          <w:p w14:paraId="3BFFD1B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color="auto" w:sz="4" w:space="0"/>
              <w:left w:val="single" w:color="auto" w:sz="4" w:space="0"/>
              <w:bottom w:val="single" w:color="auto" w:sz="4" w:space="0"/>
              <w:right w:val="single" w:color="auto" w:sz="4" w:space="0"/>
            </w:tcBorders>
            <w:vAlign w:val="center"/>
          </w:tcPr>
          <w:p w14:paraId="243EF2CC">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62F9EEB6">
            <w:pPr>
              <w:widowControl/>
              <w:snapToGrid w:val="0"/>
              <w:jc w:val="left"/>
              <w:rPr>
                <w:rFonts w:ascii="宋体" w:hAnsi="宋体"/>
                <w:color w:val="000000"/>
                <w:kern w:val="0"/>
                <w:sz w:val="25"/>
                <w:szCs w:val="24"/>
              </w:rPr>
            </w:pPr>
            <w:r>
              <w:rPr>
                <w:rFonts w:ascii="Times New Roman" w:hAnsi="Times New Roman"/>
                <w:color w:val="000000"/>
                <w:kern w:val="0"/>
                <w:sz w:val="25"/>
                <w:szCs w:val="24"/>
              </w:rPr>
              <w:t>1.4320%</w:t>
            </w:r>
          </w:p>
        </w:tc>
        <w:tc>
          <w:tcPr>
            <w:tcW w:w="750" w:type="pct"/>
            <w:tcBorders>
              <w:top w:val="single" w:color="auto" w:sz="4" w:space="0"/>
              <w:left w:val="single" w:color="auto" w:sz="4" w:space="0"/>
              <w:bottom w:val="single" w:color="auto" w:sz="4" w:space="0"/>
              <w:right w:val="single" w:color="auto" w:sz="4" w:space="0"/>
            </w:tcBorders>
            <w:vAlign w:val="center"/>
          </w:tcPr>
          <w:p w14:paraId="6D4D12F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r>
      <w:tr w14:paraId="666ACA4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4CFFF83">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659DF95A">
            <w:pPr>
              <w:widowControl/>
              <w:snapToGrid w:val="0"/>
              <w:jc w:val="left"/>
              <w:rPr>
                <w:rFonts w:ascii="宋体" w:hAnsi="宋体"/>
                <w:color w:val="000000"/>
                <w:kern w:val="0"/>
                <w:sz w:val="25"/>
                <w:szCs w:val="24"/>
              </w:rPr>
            </w:pPr>
            <w:r>
              <w:rPr>
                <w:rFonts w:ascii="Times New Roman" w:hAnsi="Times New Roman"/>
                <w:color w:val="000000"/>
                <w:kern w:val="0"/>
                <w:sz w:val="25"/>
                <w:szCs w:val="24"/>
              </w:rPr>
              <w:t>2.0633%</w:t>
            </w:r>
          </w:p>
        </w:tc>
        <w:tc>
          <w:tcPr>
            <w:tcW w:w="750" w:type="pct"/>
            <w:tcBorders>
              <w:top w:val="single" w:color="auto" w:sz="4" w:space="0"/>
              <w:left w:val="single" w:color="auto" w:sz="4" w:space="0"/>
              <w:bottom w:val="single" w:color="auto" w:sz="4" w:space="0"/>
              <w:right w:val="single" w:color="auto" w:sz="4" w:space="0"/>
            </w:tcBorders>
            <w:vAlign w:val="center"/>
          </w:tcPr>
          <w:p w14:paraId="17888E96">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color="auto" w:sz="4" w:space="0"/>
              <w:left w:val="single" w:color="auto" w:sz="4" w:space="0"/>
              <w:bottom w:val="single" w:color="auto" w:sz="4" w:space="0"/>
              <w:right w:val="single" w:color="auto" w:sz="4" w:space="0"/>
            </w:tcBorders>
            <w:vAlign w:val="center"/>
          </w:tcPr>
          <w:p w14:paraId="474EC333">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19BA793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017E3F9A">
            <w:pPr>
              <w:widowControl/>
              <w:snapToGrid w:val="0"/>
              <w:jc w:val="left"/>
              <w:rPr>
                <w:rFonts w:ascii="宋体" w:hAnsi="宋体"/>
                <w:color w:val="000000"/>
                <w:kern w:val="0"/>
                <w:sz w:val="25"/>
                <w:szCs w:val="24"/>
              </w:rPr>
            </w:pPr>
            <w:r>
              <w:rPr>
                <w:rFonts w:ascii="Times New Roman" w:hAnsi="Times New Roman"/>
                <w:color w:val="000000"/>
                <w:kern w:val="0"/>
                <w:sz w:val="25"/>
                <w:szCs w:val="24"/>
              </w:rPr>
              <w:t>1.7133%</w:t>
            </w:r>
          </w:p>
        </w:tc>
        <w:tc>
          <w:tcPr>
            <w:tcW w:w="750" w:type="pct"/>
            <w:tcBorders>
              <w:top w:val="single" w:color="auto" w:sz="4" w:space="0"/>
              <w:left w:val="single" w:color="auto" w:sz="4" w:space="0"/>
              <w:bottom w:val="single" w:color="auto" w:sz="4" w:space="0"/>
              <w:right w:val="single" w:color="auto" w:sz="4" w:space="0"/>
            </w:tcBorders>
            <w:vAlign w:val="center"/>
          </w:tcPr>
          <w:p w14:paraId="250E81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14:paraId="2EA8842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45B7EF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156473B0">
            <w:pPr>
              <w:widowControl/>
              <w:snapToGrid w:val="0"/>
              <w:jc w:val="left"/>
              <w:rPr>
                <w:rFonts w:ascii="宋体" w:hAnsi="宋体"/>
                <w:color w:val="000000"/>
                <w:kern w:val="0"/>
                <w:sz w:val="25"/>
                <w:szCs w:val="24"/>
              </w:rPr>
            </w:pPr>
            <w:r>
              <w:rPr>
                <w:rFonts w:ascii="Times New Roman" w:hAnsi="Times New Roman"/>
                <w:color w:val="000000"/>
                <w:kern w:val="0"/>
                <w:sz w:val="25"/>
                <w:szCs w:val="24"/>
              </w:rPr>
              <w:t>1.9853%</w:t>
            </w:r>
          </w:p>
        </w:tc>
        <w:tc>
          <w:tcPr>
            <w:tcW w:w="750" w:type="pct"/>
            <w:tcBorders>
              <w:top w:val="single" w:color="auto" w:sz="4" w:space="0"/>
              <w:left w:val="single" w:color="auto" w:sz="4" w:space="0"/>
              <w:bottom w:val="single" w:color="auto" w:sz="4" w:space="0"/>
              <w:right w:val="single" w:color="auto" w:sz="4" w:space="0"/>
            </w:tcBorders>
            <w:vAlign w:val="center"/>
          </w:tcPr>
          <w:p w14:paraId="54C85F2E">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color="auto" w:sz="4" w:space="0"/>
              <w:left w:val="single" w:color="auto" w:sz="4" w:space="0"/>
              <w:bottom w:val="single" w:color="auto" w:sz="4" w:space="0"/>
              <w:right w:val="single" w:color="auto" w:sz="4" w:space="0"/>
            </w:tcBorders>
            <w:vAlign w:val="center"/>
          </w:tcPr>
          <w:p w14:paraId="48922881">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24B15F9A">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7FEFFBB">
            <w:pPr>
              <w:widowControl/>
              <w:snapToGrid w:val="0"/>
              <w:jc w:val="left"/>
              <w:rPr>
                <w:rFonts w:ascii="宋体" w:hAnsi="宋体"/>
                <w:color w:val="000000"/>
                <w:kern w:val="0"/>
                <w:sz w:val="25"/>
                <w:szCs w:val="24"/>
              </w:rPr>
            </w:pPr>
            <w:r>
              <w:rPr>
                <w:rFonts w:ascii="Times New Roman" w:hAnsi="Times New Roman"/>
                <w:color w:val="000000"/>
                <w:kern w:val="0"/>
                <w:sz w:val="25"/>
                <w:szCs w:val="24"/>
              </w:rPr>
              <w:t>1.6353%</w:t>
            </w:r>
          </w:p>
        </w:tc>
        <w:tc>
          <w:tcPr>
            <w:tcW w:w="750" w:type="pct"/>
            <w:tcBorders>
              <w:top w:val="single" w:color="auto" w:sz="4" w:space="0"/>
              <w:left w:val="single" w:color="auto" w:sz="4" w:space="0"/>
              <w:bottom w:val="single" w:color="auto" w:sz="4" w:space="0"/>
              <w:right w:val="single" w:color="auto" w:sz="4" w:space="0"/>
            </w:tcBorders>
            <w:vAlign w:val="center"/>
          </w:tcPr>
          <w:p w14:paraId="10468BE6">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14:paraId="0057AF5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668AF5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2B00C534">
            <w:pPr>
              <w:widowControl/>
              <w:snapToGrid w:val="0"/>
              <w:jc w:val="left"/>
              <w:rPr>
                <w:rFonts w:ascii="宋体" w:hAnsi="宋体"/>
                <w:color w:val="000000"/>
                <w:kern w:val="0"/>
                <w:sz w:val="25"/>
                <w:szCs w:val="24"/>
              </w:rPr>
            </w:pPr>
            <w:r>
              <w:rPr>
                <w:rFonts w:ascii="Times New Roman" w:hAnsi="Times New Roman"/>
                <w:color w:val="000000"/>
                <w:kern w:val="0"/>
                <w:sz w:val="25"/>
                <w:szCs w:val="24"/>
              </w:rPr>
              <w:t>2.5034%</w:t>
            </w:r>
          </w:p>
        </w:tc>
        <w:tc>
          <w:tcPr>
            <w:tcW w:w="750" w:type="pct"/>
            <w:tcBorders>
              <w:top w:val="single" w:color="auto" w:sz="4" w:space="0"/>
              <w:left w:val="single" w:color="auto" w:sz="4" w:space="0"/>
              <w:bottom w:val="single" w:color="auto" w:sz="4" w:space="0"/>
              <w:right w:val="single" w:color="auto" w:sz="4" w:space="0"/>
            </w:tcBorders>
            <w:vAlign w:val="center"/>
          </w:tcPr>
          <w:p w14:paraId="3F0A78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color="auto" w:sz="4" w:space="0"/>
              <w:left w:val="single" w:color="auto" w:sz="4" w:space="0"/>
              <w:bottom w:val="single" w:color="auto" w:sz="4" w:space="0"/>
              <w:right w:val="single" w:color="auto" w:sz="4" w:space="0"/>
            </w:tcBorders>
            <w:vAlign w:val="center"/>
          </w:tcPr>
          <w:p w14:paraId="06C8730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6B79185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1A934DFF">
            <w:pPr>
              <w:widowControl/>
              <w:snapToGrid w:val="0"/>
              <w:jc w:val="left"/>
              <w:rPr>
                <w:rFonts w:ascii="宋体" w:hAnsi="宋体"/>
                <w:color w:val="000000"/>
                <w:kern w:val="0"/>
                <w:sz w:val="25"/>
                <w:szCs w:val="24"/>
              </w:rPr>
            </w:pPr>
            <w:r>
              <w:rPr>
                <w:rFonts w:ascii="Times New Roman" w:hAnsi="Times New Roman"/>
                <w:color w:val="000000"/>
                <w:kern w:val="0"/>
                <w:sz w:val="25"/>
                <w:szCs w:val="24"/>
              </w:rPr>
              <w:t>2.1534%</w:t>
            </w:r>
          </w:p>
        </w:tc>
        <w:tc>
          <w:tcPr>
            <w:tcW w:w="750" w:type="pct"/>
            <w:tcBorders>
              <w:top w:val="single" w:color="auto" w:sz="4" w:space="0"/>
              <w:left w:val="single" w:color="auto" w:sz="4" w:space="0"/>
              <w:bottom w:val="single" w:color="auto" w:sz="4" w:space="0"/>
              <w:right w:val="single" w:color="auto" w:sz="4" w:space="0"/>
            </w:tcBorders>
            <w:vAlign w:val="center"/>
          </w:tcPr>
          <w:p w14:paraId="3EB46D4C">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14:paraId="46D3DA8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1AC4D01">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504AED5C">
            <w:pPr>
              <w:widowControl/>
              <w:snapToGrid w:val="0"/>
              <w:jc w:val="left"/>
              <w:rPr>
                <w:rFonts w:ascii="宋体" w:hAnsi="宋体"/>
                <w:color w:val="000000"/>
                <w:kern w:val="0"/>
                <w:sz w:val="25"/>
                <w:szCs w:val="24"/>
              </w:rPr>
            </w:pPr>
            <w:r>
              <w:rPr>
                <w:rFonts w:ascii="Times New Roman" w:hAnsi="Times New Roman"/>
                <w:color w:val="000000"/>
                <w:kern w:val="0"/>
                <w:sz w:val="25"/>
                <w:szCs w:val="24"/>
              </w:rPr>
              <w:t>2.2811%</w:t>
            </w:r>
          </w:p>
        </w:tc>
        <w:tc>
          <w:tcPr>
            <w:tcW w:w="750" w:type="pct"/>
            <w:tcBorders>
              <w:top w:val="single" w:color="auto" w:sz="4" w:space="0"/>
              <w:left w:val="single" w:color="auto" w:sz="4" w:space="0"/>
              <w:bottom w:val="single" w:color="auto" w:sz="4" w:space="0"/>
              <w:right w:val="single" w:color="auto" w:sz="4" w:space="0"/>
            </w:tcBorders>
            <w:vAlign w:val="center"/>
          </w:tcPr>
          <w:p w14:paraId="2ECBFE3B">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c>
          <w:tcPr>
            <w:tcW w:w="750" w:type="pct"/>
            <w:tcBorders>
              <w:top w:val="single" w:color="auto" w:sz="4" w:space="0"/>
              <w:left w:val="single" w:color="auto" w:sz="4" w:space="0"/>
              <w:bottom w:val="single" w:color="auto" w:sz="4" w:space="0"/>
              <w:right w:val="single" w:color="auto" w:sz="4" w:space="0"/>
            </w:tcBorders>
            <w:vAlign w:val="center"/>
          </w:tcPr>
          <w:p w14:paraId="6B83F75C">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color="auto" w:sz="4" w:space="0"/>
              <w:left w:val="single" w:color="auto" w:sz="4" w:space="0"/>
              <w:bottom w:val="single" w:color="auto" w:sz="4" w:space="0"/>
              <w:right w:val="single" w:color="auto" w:sz="4" w:space="0"/>
            </w:tcBorders>
            <w:vAlign w:val="center"/>
          </w:tcPr>
          <w:p w14:paraId="734C50D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4BB282C5">
            <w:pPr>
              <w:widowControl/>
              <w:snapToGrid w:val="0"/>
              <w:jc w:val="left"/>
              <w:rPr>
                <w:rFonts w:ascii="宋体" w:hAnsi="宋体"/>
                <w:color w:val="000000"/>
                <w:kern w:val="0"/>
                <w:sz w:val="25"/>
                <w:szCs w:val="24"/>
              </w:rPr>
            </w:pPr>
            <w:r>
              <w:rPr>
                <w:rFonts w:ascii="Times New Roman" w:hAnsi="Times New Roman"/>
                <w:color w:val="000000"/>
                <w:kern w:val="0"/>
                <w:sz w:val="25"/>
                <w:szCs w:val="24"/>
              </w:rPr>
              <w:t>1.9301%</w:t>
            </w:r>
          </w:p>
        </w:tc>
        <w:tc>
          <w:tcPr>
            <w:tcW w:w="750" w:type="pct"/>
            <w:tcBorders>
              <w:top w:val="single" w:color="auto" w:sz="4" w:space="0"/>
              <w:left w:val="single" w:color="auto" w:sz="4" w:space="0"/>
              <w:bottom w:val="single" w:color="auto" w:sz="4" w:space="0"/>
              <w:right w:val="single" w:color="auto" w:sz="4" w:space="0"/>
            </w:tcBorders>
            <w:vAlign w:val="center"/>
          </w:tcPr>
          <w:p w14:paraId="6261884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r>
      <w:tr w14:paraId="3C7F93A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A542F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72A9DD6A">
            <w:pPr>
              <w:widowControl/>
              <w:snapToGrid w:val="0"/>
              <w:jc w:val="left"/>
              <w:rPr>
                <w:rFonts w:ascii="宋体" w:hAnsi="宋体"/>
                <w:color w:val="000000"/>
                <w:kern w:val="0"/>
                <w:sz w:val="25"/>
                <w:szCs w:val="24"/>
              </w:rPr>
            </w:pPr>
            <w:r>
              <w:rPr>
                <w:rFonts w:ascii="Times New Roman" w:hAnsi="Times New Roman"/>
                <w:color w:val="000000"/>
                <w:kern w:val="0"/>
                <w:sz w:val="25"/>
                <w:szCs w:val="24"/>
              </w:rPr>
              <w:t>2.6498%</w:t>
            </w:r>
          </w:p>
        </w:tc>
        <w:tc>
          <w:tcPr>
            <w:tcW w:w="750" w:type="pct"/>
            <w:tcBorders>
              <w:top w:val="single" w:color="auto" w:sz="4" w:space="0"/>
              <w:left w:val="single" w:color="auto" w:sz="4" w:space="0"/>
              <w:bottom w:val="single" w:color="auto" w:sz="4" w:space="0"/>
              <w:right w:val="single" w:color="auto" w:sz="4" w:space="0"/>
            </w:tcBorders>
            <w:vAlign w:val="center"/>
          </w:tcPr>
          <w:p w14:paraId="1595774C">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c>
          <w:tcPr>
            <w:tcW w:w="750" w:type="pct"/>
            <w:tcBorders>
              <w:top w:val="single" w:color="auto" w:sz="4" w:space="0"/>
              <w:left w:val="single" w:color="auto" w:sz="4" w:space="0"/>
              <w:bottom w:val="single" w:color="auto" w:sz="4" w:space="0"/>
              <w:right w:val="single" w:color="auto" w:sz="4" w:space="0"/>
            </w:tcBorders>
            <w:vAlign w:val="center"/>
          </w:tcPr>
          <w:p w14:paraId="11EB6CBD">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197BE984">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06D78792">
            <w:pPr>
              <w:widowControl/>
              <w:snapToGrid w:val="0"/>
              <w:jc w:val="left"/>
              <w:rPr>
                <w:rFonts w:ascii="宋体" w:hAnsi="宋体"/>
                <w:color w:val="000000"/>
                <w:kern w:val="0"/>
                <w:sz w:val="25"/>
                <w:szCs w:val="24"/>
              </w:rPr>
            </w:pPr>
            <w:r>
              <w:rPr>
                <w:rFonts w:ascii="Times New Roman" w:hAnsi="Times New Roman"/>
                <w:color w:val="000000"/>
                <w:kern w:val="0"/>
                <w:sz w:val="25"/>
                <w:szCs w:val="24"/>
              </w:rPr>
              <w:t>2.2998%</w:t>
            </w:r>
          </w:p>
        </w:tc>
        <w:tc>
          <w:tcPr>
            <w:tcW w:w="750" w:type="pct"/>
            <w:tcBorders>
              <w:top w:val="single" w:color="auto" w:sz="4" w:space="0"/>
              <w:left w:val="single" w:color="auto" w:sz="4" w:space="0"/>
              <w:bottom w:val="single" w:color="auto" w:sz="4" w:space="0"/>
              <w:right w:val="single" w:color="auto" w:sz="4" w:space="0"/>
            </w:tcBorders>
            <w:vAlign w:val="center"/>
          </w:tcPr>
          <w:p w14:paraId="328F7E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r>
      <w:tr w14:paraId="48F84A1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F4A20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61F666EA">
            <w:pPr>
              <w:widowControl/>
              <w:snapToGrid w:val="0"/>
              <w:jc w:val="left"/>
              <w:rPr>
                <w:rFonts w:ascii="宋体" w:hAnsi="宋体"/>
                <w:color w:val="000000"/>
                <w:kern w:val="0"/>
                <w:sz w:val="25"/>
                <w:szCs w:val="24"/>
              </w:rPr>
            </w:pPr>
            <w:r>
              <w:rPr>
                <w:rFonts w:ascii="Times New Roman" w:hAnsi="Times New Roman"/>
                <w:color w:val="000000"/>
                <w:kern w:val="0"/>
                <w:sz w:val="25"/>
                <w:szCs w:val="24"/>
              </w:rPr>
              <w:t>3.8964%</w:t>
            </w:r>
          </w:p>
        </w:tc>
        <w:tc>
          <w:tcPr>
            <w:tcW w:w="750" w:type="pct"/>
            <w:tcBorders>
              <w:top w:val="single" w:color="auto" w:sz="4" w:space="0"/>
              <w:left w:val="single" w:color="auto" w:sz="4" w:space="0"/>
              <w:bottom w:val="single" w:color="auto" w:sz="4" w:space="0"/>
              <w:right w:val="single" w:color="auto" w:sz="4" w:space="0"/>
            </w:tcBorders>
            <w:vAlign w:val="center"/>
          </w:tcPr>
          <w:p w14:paraId="5868578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0.0035%</w:t>
            </w:r>
          </w:p>
        </w:tc>
        <w:tc>
          <w:tcPr>
            <w:tcW w:w="750" w:type="pct"/>
            <w:tcBorders>
              <w:top w:val="single" w:color="auto" w:sz="4" w:space="0"/>
              <w:left w:val="single" w:color="auto" w:sz="4" w:space="0"/>
              <w:bottom w:val="single" w:color="auto" w:sz="4" w:space="0"/>
              <w:right w:val="single" w:color="auto" w:sz="4" w:space="0"/>
            </w:tcBorders>
            <w:vAlign w:val="center"/>
          </w:tcPr>
          <w:p w14:paraId="0FC4FCEB">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1043D3A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18996BC1">
            <w:pPr>
              <w:widowControl/>
              <w:snapToGrid w:val="0"/>
              <w:jc w:val="left"/>
              <w:rPr>
                <w:rFonts w:ascii="宋体" w:hAnsi="宋体"/>
                <w:color w:val="000000"/>
                <w:kern w:val="0"/>
                <w:sz w:val="25"/>
                <w:szCs w:val="24"/>
              </w:rPr>
            </w:pPr>
            <w:r>
              <w:rPr>
                <w:rFonts w:ascii="Times New Roman" w:hAnsi="Times New Roman"/>
                <w:color w:val="000000"/>
                <w:kern w:val="0"/>
                <w:sz w:val="25"/>
                <w:szCs w:val="24"/>
              </w:rPr>
              <w:t>3.5464%</w:t>
            </w:r>
          </w:p>
        </w:tc>
        <w:tc>
          <w:tcPr>
            <w:tcW w:w="750" w:type="pct"/>
            <w:tcBorders>
              <w:top w:val="single" w:color="auto" w:sz="4" w:space="0"/>
              <w:left w:val="single" w:color="auto" w:sz="4" w:space="0"/>
              <w:bottom w:val="single" w:color="auto" w:sz="4" w:space="0"/>
              <w:right w:val="single" w:color="auto" w:sz="4" w:space="0"/>
            </w:tcBorders>
            <w:vAlign w:val="center"/>
          </w:tcPr>
          <w:p w14:paraId="0AFF9CBF">
            <w:pPr>
              <w:widowControl/>
              <w:snapToGrid w:val="0"/>
              <w:jc w:val="left"/>
              <w:rPr>
                <w:rFonts w:ascii="宋体" w:hAnsi="宋体"/>
                <w:color w:val="000000"/>
                <w:kern w:val="0"/>
                <w:sz w:val="25"/>
                <w:szCs w:val="24"/>
              </w:rPr>
            </w:pPr>
            <w:r>
              <w:rPr>
                <w:rFonts w:ascii="Times New Roman" w:hAnsi="Times New Roman"/>
                <w:color w:val="000000"/>
                <w:kern w:val="0"/>
                <w:sz w:val="25"/>
                <w:szCs w:val="24"/>
              </w:rPr>
              <w:t>0.0035%</w:t>
            </w:r>
          </w:p>
        </w:tc>
      </w:tr>
      <w:tr w14:paraId="7668416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3B9F503">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14:paraId="7E77E644">
            <w:pPr>
              <w:widowControl/>
              <w:snapToGrid w:val="0"/>
              <w:jc w:val="left"/>
              <w:rPr>
                <w:rFonts w:ascii="宋体" w:hAnsi="宋体"/>
                <w:color w:val="000000"/>
                <w:kern w:val="0"/>
                <w:sz w:val="25"/>
                <w:szCs w:val="24"/>
              </w:rPr>
            </w:pPr>
            <w:r>
              <w:rPr>
                <w:rFonts w:ascii="Times New Roman" w:hAnsi="Times New Roman"/>
                <w:color w:val="000000"/>
                <w:kern w:val="0"/>
                <w:sz w:val="25"/>
                <w:szCs w:val="24"/>
              </w:rPr>
              <w:t>4.0107%</w:t>
            </w:r>
          </w:p>
        </w:tc>
        <w:tc>
          <w:tcPr>
            <w:tcW w:w="750" w:type="pct"/>
            <w:tcBorders>
              <w:top w:val="single" w:color="auto" w:sz="4" w:space="0"/>
              <w:left w:val="single" w:color="auto" w:sz="4" w:space="0"/>
              <w:bottom w:val="single" w:color="auto" w:sz="4" w:space="0"/>
              <w:right w:val="single" w:color="auto" w:sz="4" w:space="0"/>
            </w:tcBorders>
            <w:vAlign w:val="center"/>
          </w:tcPr>
          <w:p w14:paraId="3AB190E3">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color="auto" w:sz="4" w:space="0"/>
              <w:left w:val="single" w:color="auto" w:sz="4" w:space="0"/>
              <w:bottom w:val="single" w:color="auto" w:sz="4" w:space="0"/>
              <w:right w:val="single" w:color="auto" w:sz="4" w:space="0"/>
            </w:tcBorders>
            <w:vAlign w:val="center"/>
          </w:tcPr>
          <w:p w14:paraId="2A6462C2">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794149C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124F4194">
            <w:pPr>
              <w:widowControl/>
              <w:snapToGrid w:val="0"/>
              <w:jc w:val="left"/>
              <w:rPr>
                <w:rFonts w:ascii="宋体" w:hAnsi="宋体"/>
                <w:color w:val="000000"/>
                <w:kern w:val="0"/>
                <w:sz w:val="25"/>
                <w:szCs w:val="24"/>
              </w:rPr>
            </w:pPr>
            <w:r>
              <w:rPr>
                <w:rFonts w:ascii="Times New Roman" w:hAnsi="Times New Roman"/>
                <w:color w:val="000000"/>
                <w:kern w:val="0"/>
                <w:sz w:val="25"/>
                <w:szCs w:val="24"/>
              </w:rPr>
              <w:t>3.6607%</w:t>
            </w:r>
          </w:p>
        </w:tc>
        <w:tc>
          <w:tcPr>
            <w:tcW w:w="750" w:type="pct"/>
            <w:tcBorders>
              <w:top w:val="single" w:color="auto" w:sz="4" w:space="0"/>
              <w:left w:val="single" w:color="auto" w:sz="4" w:space="0"/>
              <w:bottom w:val="single" w:color="auto" w:sz="4" w:space="0"/>
              <w:right w:val="single" w:color="auto" w:sz="4" w:space="0"/>
            </w:tcBorders>
            <w:vAlign w:val="center"/>
          </w:tcPr>
          <w:p w14:paraId="13F59C4D">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14:paraId="62E6FD3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44A2766">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2016年度（自基金合同生效日起至2016年12月31日）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27C7B78A">
            <w:pPr>
              <w:widowControl/>
              <w:snapToGrid w:val="0"/>
              <w:jc w:val="left"/>
              <w:rPr>
                <w:rFonts w:ascii="宋体" w:hAnsi="宋体"/>
                <w:color w:val="000000"/>
                <w:kern w:val="0"/>
                <w:sz w:val="25"/>
                <w:szCs w:val="24"/>
              </w:rPr>
            </w:pPr>
            <w:r>
              <w:rPr>
                <w:rFonts w:ascii="Times New Roman" w:hAnsi="Times New Roman"/>
                <w:color w:val="000000"/>
                <w:kern w:val="0"/>
                <w:sz w:val="25"/>
                <w:szCs w:val="24"/>
              </w:rPr>
              <w:t>0.5497%</w:t>
            </w:r>
          </w:p>
        </w:tc>
        <w:tc>
          <w:tcPr>
            <w:tcW w:w="750" w:type="pct"/>
            <w:tcBorders>
              <w:top w:val="single" w:color="auto" w:sz="4" w:space="0"/>
              <w:left w:val="single" w:color="auto" w:sz="4" w:space="0"/>
              <w:bottom w:val="single" w:color="auto" w:sz="4" w:space="0"/>
              <w:right w:val="single" w:color="auto" w:sz="4" w:space="0"/>
            </w:tcBorders>
            <w:vAlign w:val="center"/>
          </w:tcPr>
          <w:p w14:paraId="41C05206">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c>
          <w:tcPr>
            <w:tcW w:w="750" w:type="pct"/>
            <w:tcBorders>
              <w:top w:val="single" w:color="auto" w:sz="4" w:space="0"/>
              <w:left w:val="single" w:color="auto" w:sz="4" w:space="0"/>
              <w:bottom w:val="single" w:color="auto" w:sz="4" w:space="0"/>
              <w:right w:val="single" w:color="auto" w:sz="4" w:space="0"/>
            </w:tcBorders>
            <w:vAlign w:val="center"/>
          </w:tcPr>
          <w:p w14:paraId="710B5BAF">
            <w:pPr>
              <w:widowControl/>
              <w:snapToGrid w:val="0"/>
              <w:jc w:val="left"/>
              <w:rPr>
                <w:rFonts w:ascii="宋体" w:hAnsi="宋体"/>
                <w:color w:val="000000"/>
                <w:kern w:val="0"/>
                <w:sz w:val="25"/>
                <w:szCs w:val="24"/>
              </w:rPr>
            </w:pPr>
            <w:r>
              <w:rPr>
                <w:rFonts w:ascii="Times New Roman" w:hAnsi="Times New Roman"/>
                <w:color w:val="000000"/>
                <w:kern w:val="0"/>
                <w:sz w:val="25"/>
                <w:szCs w:val="24"/>
              </w:rPr>
              <w:t>0.0710%</w:t>
            </w:r>
          </w:p>
        </w:tc>
        <w:tc>
          <w:tcPr>
            <w:tcW w:w="750" w:type="pct"/>
            <w:tcBorders>
              <w:top w:val="single" w:color="auto" w:sz="4" w:space="0"/>
              <w:left w:val="single" w:color="auto" w:sz="4" w:space="0"/>
              <w:bottom w:val="single" w:color="auto" w:sz="4" w:space="0"/>
              <w:right w:val="single" w:color="auto" w:sz="4" w:space="0"/>
            </w:tcBorders>
            <w:vAlign w:val="center"/>
          </w:tcPr>
          <w:p w14:paraId="2383176C">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CFD5B52">
            <w:pPr>
              <w:widowControl/>
              <w:snapToGrid w:val="0"/>
              <w:jc w:val="left"/>
              <w:rPr>
                <w:rFonts w:ascii="宋体" w:hAnsi="宋体"/>
                <w:color w:val="000000"/>
                <w:kern w:val="0"/>
                <w:sz w:val="25"/>
                <w:szCs w:val="24"/>
              </w:rPr>
            </w:pPr>
            <w:r>
              <w:rPr>
                <w:rFonts w:ascii="Times New Roman" w:hAnsi="Times New Roman"/>
                <w:color w:val="000000"/>
                <w:kern w:val="0"/>
                <w:sz w:val="25"/>
                <w:szCs w:val="24"/>
              </w:rPr>
              <w:t>0.4787%</w:t>
            </w:r>
          </w:p>
        </w:tc>
        <w:tc>
          <w:tcPr>
            <w:tcW w:w="750" w:type="pct"/>
            <w:tcBorders>
              <w:top w:val="single" w:color="auto" w:sz="4" w:space="0"/>
              <w:left w:val="single" w:color="auto" w:sz="4" w:space="0"/>
              <w:bottom w:val="single" w:color="auto" w:sz="4" w:space="0"/>
              <w:right w:val="single" w:color="auto" w:sz="4" w:space="0"/>
            </w:tcBorders>
            <w:vAlign w:val="center"/>
          </w:tcPr>
          <w:p w14:paraId="707778E5">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r>
    </w:tbl>
    <w:p w14:paraId="19212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注：本基金收益分配按日结转份额,本基金的业绩比较基准为活期存款利率（税后）。</w:t>
      </w:r>
    </w:p>
    <w:p w14:paraId="1BFE141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2）交银天利宝货币C：</w:t>
      </w:r>
    </w:p>
    <w:tbl>
      <w:tblPr>
        <w:tblStyle w:val="14"/>
        <w:tblW w:w="5000" w:type="pct"/>
        <w:tblInd w:w="0" w:type="dxa"/>
        <w:tblLayout w:type="autofit"/>
        <w:tblCellMar>
          <w:top w:w="0" w:type="dxa"/>
          <w:left w:w="0" w:type="dxa"/>
          <w:bottom w:w="0" w:type="dxa"/>
          <w:right w:w="0" w:type="dxa"/>
        </w:tblCellMar>
      </w:tblPr>
      <w:tblGrid>
        <w:gridCol w:w="1294"/>
        <w:gridCol w:w="1294"/>
        <w:gridCol w:w="1294"/>
        <w:gridCol w:w="1294"/>
        <w:gridCol w:w="1294"/>
        <w:gridCol w:w="1294"/>
        <w:gridCol w:w="906"/>
      </w:tblGrid>
      <w:tr w14:paraId="4662CFC8">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AA0B9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557D5E83">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净值收益率①</w:t>
            </w:r>
          </w:p>
        </w:tc>
        <w:tc>
          <w:tcPr>
            <w:tcW w:w="750" w:type="pct"/>
            <w:tcBorders>
              <w:top w:val="single" w:color="auto" w:sz="4" w:space="0"/>
              <w:left w:val="single" w:color="auto" w:sz="4" w:space="0"/>
              <w:bottom w:val="single" w:color="auto" w:sz="4" w:space="0"/>
              <w:right w:val="single" w:color="auto" w:sz="4" w:space="0"/>
            </w:tcBorders>
            <w:vAlign w:val="center"/>
          </w:tcPr>
          <w:p w14:paraId="0C1725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1744D22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5E5AD62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2E16CF9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54E2C4A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3163483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FD64BB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7F7C5182">
            <w:pPr>
              <w:widowControl/>
              <w:snapToGrid w:val="0"/>
              <w:jc w:val="left"/>
              <w:rPr>
                <w:rFonts w:ascii="宋体" w:hAnsi="宋体"/>
                <w:color w:val="000000"/>
                <w:kern w:val="0"/>
                <w:sz w:val="25"/>
                <w:szCs w:val="24"/>
              </w:rPr>
            </w:pPr>
            <w:r>
              <w:rPr>
                <w:rFonts w:ascii="Times New Roman" w:hAnsi="Times New Roman"/>
                <w:color w:val="000000"/>
                <w:kern w:val="0"/>
                <w:sz w:val="25"/>
                <w:szCs w:val="24"/>
              </w:rPr>
              <w:t>0.3351%</w:t>
            </w:r>
          </w:p>
        </w:tc>
        <w:tc>
          <w:tcPr>
            <w:tcW w:w="750" w:type="pct"/>
            <w:tcBorders>
              <w:top w:val="single" w:color="auto" w:sz="4" w:space="0"/>
              <w:left w:val="single" w:color="auto" w:sz="4" w:space="0"/>
              <w:bottom w:val="single" w:color="auto" w:sz="4" w:space="0"/>
              <w:right w:val="single" w:color="auto" w:sz="4" w:space="0"/>
            </w:tcBorders>
            <w:vAlign w:val="center"/>
          </w:tcPr>
          <w:p w14:paraId="2456D4F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color="auto" w:sz="4" w:space="0"/>
              <w:left w:val="single" w:color="auto" w:sz="4" w:space="0"/>
              <w:bottom w:val="single" w:color="auto" w:sz="4" w:space="0"/>
              <w:right w:val="single" w:color="auto" w:sz="4" w:space="0"/>
            </w:tcBorders>
            <w:vAlign w:val="center"/>
          </w:tcPr>
          <w:p w14:paraId="02EE54A1">
            <w:pPr>
              <w:widowControl/>
              <w:snapToGrid w:val="0"/>
              <w:jc w:val="left"/>
              <w:rPr>
                <w:rFonts w:ascii="宋体" w:hAnsi="宋体"/>
                <w:color w:val="000000"/>
                <w:kern w:val="0"/>
                <w:sz w:val="25"/>
                <w:szCs w:val="24"/>
              </w:rPr>
            </w:pPr>
            <w:r>
              <w:rPr>
                <w:rFonts w:ascii="Times New Roman" w:hAnsi="Times New Roman"/>
                <w:color w:val="000000"/>
                <w:kern w:val="0"/>
                <w:sz w:val="25"/>
                <w:szCs w:val="24"/>
              </w:rPr>
              <w:t>0.0882%</w:t>
            </w:r>
          </w:p>
        </w:tc>
        <w:tc>
          <w:tcPr>
            <w:tcW w:w="750" w:type="pct"/>
            <w:tcBorders>
              <w:top w:val="single" w:color="auto" w:sz="4" w:space="0"/>
              <w:left w:val="single" w:color="auto" w:sz="4" w:space="0"/>
              <w:bottom w:val="single" w:color="auto" w:sz="4" w:space="0"/>
              <w:right w:val="single" w:color="auto" w:sz="4" w:space="0"/>
            </w:tcBorders>
            <w:vAlign w:val="center"/>
          </w:tcPr>
          <w:p w14:paraId="3634ECFB">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03832FC4">
            <w:pPr>
              <w:widowControl/>
              <w:snapToGrid w:val="0"/>
              <w:jc w:val="left"/>
              <w:rPr>
                <w:rFonts w:ascii="宋体" w:hAnsi="宋体"/>
                <w:color w:val="000000"/>
                <w:kern w:val="0"/>
                <w:sz w:val="25"/>
                <w:szCs w:val="24"/>
              </w:rPr>
            </w:pPr>
            <w:r>
              <w:rPr>
                <w:rFonts w:ascii="Times New Roman" w:hAnsi="Times New Roman"/>
                <w:color w:val="000000"/>
                <w:kern w:val="0"/>
                <w:sz w:val="25"/>
                <w:szCs w:val="24"/>
              </w:rPr>
              <w:t>0.2469%</w:t>
            </w:r>
          </w:p>
        </w:tc>
        <w:tc>
          <w:tcPr>
            <w:tcW w:w="750" w:type="pct"/>
            <w:tcBorders>
              <w:top w:val="single" w:color="auto" w:sz="4" w:space="0"/>
              <w:left w:val="single" w:color="auto" w:sz="4" w:space="0"/>
              <w:bottom w:val="single" w:color="auto" w:sz="4" w:space="0"/>
              <w:right w:val="single" w:color="auto" w:sz="4" w:space="0"/>
            </w:tcBorders>
            <w:vAlign w:val="center"/>
          </w:tcPr>
          <w:p w14:paraId="6C94805F">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14:paraId="6004136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DED1B41">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269CE9B9">
            <w:pPr>
              <w:widowControl/>
              <w:snapToGrid w:val="0"/>
              <w:jc w:val="left"/>
              <w:rPr>
                <w:rFonts w:ascii="宋体" w:hAnsi="宋体"/>
                <w:color w:val="000000"/>
                <w:kern w:val="0"/>
                <w:sz w:val="25"/>
                <w:szCs w:val="24"/>
              </w:rPr>
            </w:pPr>
            <w:r>
              <w:rPr>
                <w:rFonts w:ascii="Times New Roman" w:hAnsi="Times New Roman"/>
                <w:color w:val="000000"/>
                <w:kern w:val="0"/>
                <w:sz w:val="25"/>
                <w:szCs w:val="24"/>
              </w:rPr>
              <w:t>0.6732%</w:t>
            </w:r>
          </w:p>
        </w:tc>
        <w:tc>
          <w:tcPr>
            <w:tcW w:w="750" w:type="pct"/>
            <w:tcBorders>
              <w:top w:val="single" w:color="auto" w:sz="4" w:space="0"/>
              <w:left w:val="single" w:color="auto" w:sz="4" w:space="0"/>
              <w:bottom w:val="single" w:color="auto" w:sz="4" w:space="0"/>
              <w:right w:val="single" w:color="auto" w:sz="4" w:space="0"/>
            </w:tcBorders>
            <w:vAlign w:val="center"/>
          </w:tcPr>
          <w:p w14:paraId="2B7BC54D">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color="auto" w:sz="4" w:space="0"/>
              <w:left w:val="single" w:color="auto" w:sz="4" w:space="0"/>
              <w:bottom w:val="single" w:color="auto" w:sz="4" w:space="0"/>
              <w:right w:val="single" w:color="auto" w:sz="4" w:space="0"/>
            </w:tcBorders>
            <w:vAlign w:val="center"/>
          </w:tcPr>
          <w:p w14:paraId="3A459BC9">
            <w:pPr>
              <w:widowControl/>
              <w:snapToGrid w:val="0"/>
              <w:jc w:val="left"/>
              <w:rPr>
                <w:rFonts w:ascii="宋体" w:hAnsi="宋体"/>
                <w:color w:val="000000"/>
                <w:kern w:val="0"/>
                <w:sz w:val="25"/>
                <w:szCs w:val="24"/>
              </w:rPr>
            </w:pPr>
            <w:r>
              <w:rPr>
                <w:rFonts w:ascii="Times New Roman" w:hAnsi="Times New Roman"/>
                <w:color w:val="000000"/>
                <w:kern w:val="0"/>
                <w:sz w:val="25"/>
                <w:szCs w:val="24"/>
              </w:rPr>
              <w:t>0.1736%</w:t>
            </w:r>
          </w:p>
        </w:tc>
        <w:tc>
          <w:tcPr>
            <w:tcW w:w="750" w:type="pct"/>
            <w:tcBorders>
              <w:top w:val="single" w:color="auto" w:sz="4" w:space="0"/>
              <w:left w:val="single" w:color="auto" w:sz="4" w:space="0"/>
              <w:bottom w:val="single" w:color="auto" w:sz="4" w:space="0"/>
              <w:right w:val="single" w:color="auto" w:sz="4" w:space="0"/>
            </w:tcBorders>
            <w:vAlign w:val="center"/>
          </w:tcPr>
          <w:p w14:paraId="49C38D3B">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418708C7">
            <w:pPr>
              <w:widowControl/>
              <w:snapToGrid w:val="0"/>
              <w:jc w:val="left"/>
              <w:rPr>
                <w:rFonts w:ascii="宋体" w:hAnsi="宋体"/>
                <w:color w:val="000000"/>
                <w:kern w:val="0"/>
                <w:sz w:val="25"/>
                <w:szCs w:val="24"/>
              </w:rPr>
            </w:pPr>
            <w:r>
              <w:rPr>
                <w:rFonts w:ascii="Times New Roman" w:hAnsi="Times New Roman"/>
                <w:color w:val="000000"/>
                <w:kern w:val="0"/>
                <w:sz w:val="25"/>
                <w:szCs w:val="24"/>
              </w:rPr>
              <w:t>0.4996%</w:t>
            </w:r>
          </w:p>
        </w:tc>
        <w:tc>
          <w:tcPr>
            <w:tcW w:w="750" w:type="pct"/>
            <w:tcBorders>
              <w:top w:val="single" w:color="auto" w:sz="4" w:space="0"/>
              <w:left w:val="single" w:color="auto" w:sz="4" w:space="0"/>
              <w:bottom w:val="single" w:color="auto" w:sz="4" w:space="0"/>
              <w:right w:val="single" w:color="auto" w:sz="4" w:space="0"/>
            </w:tcBorders>
            <w:vAlign w:val="center"/>
          </w:tcPr>
          <w:p w14:paraId="7ED2953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14:paraId="6AE18AD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8C6701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5A76011C">
            <w:pPr>
              <w:widowControl/>
              <w:snapToGrid w:val="0"/>
              <w:jc w:val="left"/>
              <w:rPr>
                <w:rFonts w:ascii="宋体" w:hAnsi="宋体"/>
                <w:color w:val="000000"/>
                <w:kern w:val="0"/>
                <w:sz w:val="25"/>
                <w:szCs w:val="24"/>
              </w:rPr>
            </w:pPr>
            <w:r>
              <w:rPr>
                <w:rFonts w:ascii="Times New Roman" w:hAnsi="Times New Roman"/>
                <w:color w:val="000000"/>
                <w:kern w:val="0"/>
                <w:sz w:val="25"/>
                <w:szCs w:val="24"/>
              </w:rPr>
              <w:t>1.8618%</w:t>
            </w:r>
          </w:p>
        </w:tc>
        <w:tc>
          <w:tcPr>
            <w:tcW w:w="750" w:type="pct"/>
            <w:tcBorders>
              <w:top w:val="single" w:color="auto" w:sz="4" w:space="0"/>
              <w:left w:val="single" w:color="auto" w:sz="4" w:space="0"/>
              <w:bottom w:val="single" w:color="auto" w:sz="4" w:space="0"/>
              <w:right w:val="single" w:color="auto" w:sz="4" w:space="0"/>
            </w:tcBorders>
            <w:vAlign w:val="center"/>
          </w:tcPr>
          <w:p w14:paraId="0D4984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c>
          <w:tcPr>
            <w:tcW w:w="750" w:type="pct"/>
            <w:tcBorders>
              <w:top w:val="single" w:color="auto" w:sz="4" w:space="0"/>
              <w:left w:val="single" w:color="auto" w:sz="4" w:space="0"/>
              <w:bottom w:val="single" w:color="auto" w:sz="4" w:space="0"/>
              <w:right w:val="single" w:color="auto" w:sz="4" w:space="0"/>
            </w:tcBorders>
            <w:vAlign w:val="center"/>
          </w:tcPr>
          <w:p w14:paraId="533F6E02">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color="auto" w:sz="4" w:space="0"/>
              <w:left w:val="single" w:color="auto" w:sz="4" w:space="0"/>
              <w:bottom w:val="single" w:color="auto" w:sz="4" w:space="0"/>
              <w:right w:val="single" w:color="auto" w:sz="4" w:space="0"/>
            </w:tcBorders>
            <w:vAlign w:val="center"/>
          </w:tcPr>
          <w:p w14:paraId="41B40883">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4267E1CD">
            <w:pPr>
              <w:widowControl/>
              <w:snapToGrid w:val="0"/>
              <w:jc w:val="left"/>
              <w:rPr>
                <w:rFonts w:ascii="宋体" w:hAnsi="宋体"/>
                <w:color w:val="000000"/>
                <w:kern w:val="0"/>
                <w:sz w:val="25"/>
                <w:szCs w:val="24"/>
              </w:rPr>
            </w:pPr>
            <w:r>
              <w:rPr>
                <w:rFonts w:ascii="Times New Roman" w:hAnsi="Times New Roman"/>
                <w:color w:val="000000"/>
                <w:kern w:val="0"/>
                <w:sz w:val="25"/>
                <w:szCs w:val="24"/>
              </w:rPr>
              <w:t>1.5108%</w:t>
            </w:r>
          </w:p>
        </w:tc>
        <w:tc>
          <w:tcPr>
            <w:tcW w:w="750" w:type="pct"/>
            <w:tcBorders>
              <w:top w:val="single" w:color="auto" w:sz="4" w:space="0"/>
              <w:left w:val="single" w:color="auto" w:sz="4" w:space="0"/>
              <w:bottom w:val="single" w:color="auto" w:sz="4" w:space="0"/>
              <w:right w:val="single" w:color="auto" w:sz="4" w:space="0"/>
            </w:tcBorders>
            <w:vAlign w:val="center"/>
          </w:tcPr>
          <w:p w14:paraId="708C8DF1">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r>
      <w:tr w14:paraId="4652B7C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5A8C2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2023年度（自基金合同生效日起至2023年12月31日）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22CED47E">
            <w:pPr>
              <w:widowControl/>
              <w:snapToGrid w:val="0"/>
              <w:jc w:val="left"/>
              <w:rPr>
                <w:rFonts w:ascii="宋体" w:hAnsi="宋体"/>
                <w:color w:val="000000"/>
                <w:kern w:val="0"/>
                <w:sz w:val="25"/>
                <w:szCs w:val="24"/>
              </w:rPr>
            </w:pPr>
            <w:r>
              <w:rPr>
                <w:rFonts w:ascii="Times New Roman" w:hAnsi="Times New Roman"/>
                <w:color w:val="000000"/>
                <w:kern w:val="0"/>
                <w:sz w:val="25"/>
                <w:szCs w:val="24"/>
              </w:rPr>
              <w:t>1.2780%</w:t>
            </w:r>
          </w:p>
        </w:tc>
        <w:tc>
          <w:tcPr>
            <w:tcW w:w="750" w:type="pct"/>
            <w:tcBorders>
              <w:top w:val="single" w:color="auto" w:sz="4" w:space="0"/>
              <w:left w:val="single" w:color="auto" w:sz="4" w:space="0"/>
              <w:bottom w:val="single" w:color="auto" w:sz="4" w:space="0"/>
              <w:right w:val="single" w:color="auto" w:sz="4" w:space="0"/>
            </w:tcBorders>
            <w:vAlign w:val="center"/>
          </w:tcPr>
          <w:p w14:paraId="28C89B4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color="auto" w:sz="4" w:space="0"/>
              <w:left w:val="single" w:color="auto" w:sz="4" w:space="0"/>
              <w:bottom w:val="single" w:color="auto" w:sz="4" w:space="0"/>
              <w:right w:val="single" w:color="auto" w:sz="4" w:space="0"/>
            </w:tcBorders>
            <w:vAlign w:val="center"/>
          </w:tcPr>
          <w:p w14:paraId="029756F7">
            <w:pPr>
              <w:widowControl/>
              <w:snapToGrid w:val="0"/>
              <w:jc w:val="left"/>
              <w:rPr>
                <w:rFonts w:ascii="宋体" w:hAnsi="宋体"/>
                <w:color w:val="000000"/>
                <w:kern w:val="0"/>
                <w:sz w:val="25"/>
                <w:szCs w:val="24"/>
              </w:rPr>
            </w:pPr>
            <w:r>
              <w:rPr>
                <w:rFonts w:ascii="Times New Roman" w:hAnsi="Times New Roman"/>
                <w:color w:val="000000"/>
                <w:kern w:val="0"/>
                <w:sz w:val="25"/>
                <w:szCs w:val="24"/>
              </w:rPr>
              <w:t>0.2081%</w:t>
            </w:r>
          </w:p>
        </w:tc>
        <w:tc>
          <w:tcPr>
            <w:tcW w:w="750" w:type="pct"/>
            <w:tcBorders>
              <w:top w:val="single" w:color="auto" w:sz="4" w:space="0"/>
              <w:left w:val="single" w:color="auto" w:sz="4" w:space="0"/>
              <w:bottom w:val="single" w:color="auto" w:sz="4" w:space="0"/>
              <w:right w:val="single" w:color="auto" w:sz="4" w:space="0"/>
            </w:tcBorders>
            <w:vAlign w:val="center"/>
          </w:tcPr>
          <w:p w14:paraId="072D3BE5">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17643D3">
            <w:pPr>
              <w:widowControl/>
              <w:snapToGrid w:val="0"/>
              <w:jc w:val="left"/>
              <w:rPr>
                <w:rFonts w:ascii="宋体" w:hAnsi="宋体"/>
                <w:color w:val="000000"/>
                <w:kern w:val="0"/>
                <w:sz w:val="25"/>
                <w:szCs w:val="24"/>
              </w:rPr>
            </w:pPr>
            <w:r>
              <w:rPr>
                <w:rFonts w:ascii="Times New Roman" w:hAnsi="Times New Roman"/>
                <w:color w:val="000000"/>
                <w:kern w:val="0"/>
                <w:sz w:val="25"/>
                <w:szCs w:val="24"/>
              </w:rPr>
              <w:t>1.0699%</w:t>
            </w:r>
          </w:p>
        </w:tc>
        <w:tc>
          <w:tcPr>
            <w:tcW w:w="750" w:type="pct"/>
            <w:tcBorders>
              <w:top w:val="single" w:color="auto" w:sz="4" w:space="0"/>
              <w:left w:val="single" w:color="auto" w:sz="4" w:space="0"/>
              <w:bottom w:val="single" w:color="auto" w:sz="4" w:space="0"/>
              <w:right w:val="single" w:color="auto" w:sz="4" w:space="0"/>
            </w:tcBorders>
            <w:vAlign w:val="center"/>
          </w:tcPr>
          <w:p w14:paraId="7F098668">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bl>
    <w:p w14:paraId="232E0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注：本基金收益分配按日结转份额,本基金的业绩比较基准为活期存款利率（税后）。</w:t>
      </w:r>
    </w:p>
    <w:p w14:paraId="52E057A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3）交银天利宝货币E：</w:t>
      </w:r>
    </w:p>
    <w:tbl>
      <w:tblPr>
        <w:tblStyle w:val="14"/>
        <w:tblW w:w="5000" w:type="pct"/>
        <w:tblInd w:w="0" w:type="dxa"/>
        <w:tblLayout w:type="autofit"/>
        <w:tblCellMar>
          <w:top w:w="0" w:type="dxa"/>
          <w:left w:w="0" w:type="dxa"/>
          <w:bottom w:w="0" w:type="dxa"/>
          <w:right w:w="0" w:type="dxa"/>
        </w:tblCellMar>
      </w:tblPr>
      <w:tblGrid>
        <w:gridCol w:w="1294"/>
        <w:gridCol w:w="1294"/>
        <w:gridCol w:w="1294"/>
        <w:gridCol w:w="1294"/>
        <w:gridCol w:w="1294"/>
        <w:gridCol w:w="1294"/>
        <w:gridCol w:w="906"/>
      </w:tblGrid>
      <w:tr w14:paraId="6C5DA8C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93DA36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23696D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净值收益率①</w:t>
            </w:r>
          </w:p>
        </w:tc>
        <w:tc>
          <w:tcPr>
            <w:tcW w:w="750" w:type="pct"/>
            <w:tcBorders>
              <w:top w:val="single" w:color="auto" w:sz="4" w:space="0"/>
              <w:left w:val="single" w:color="auto" w:sz="4" w:space="0"/>
              <w:bottom w:val="single" w:color="auto" w:sz="4" w:space="0"/>
              <w:right w:val="single" w:color="auto" w:sz="4" w:space="0"/>
            </w:tcBorders>
            <w:vAlign w:val="center"/>
          </w:tcPr>
          <w:p w14:paraId="403E57E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2DF7C6F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4EF1232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3925229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2B8E17C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2BEB017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5534C3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7B44EFDC">
            <w:pPr>
              <w:widowControl/>
              <w:snapToGrid w:val="0"/>
              <w:jc w:val="left"/>
              <w:rPr>
                <w:rFonts w:ascii="宋体" w:hAnsi="宋体"/>
                <w:color w:val="000000"/>
                <w:kern w:val="0"/>
                <w:sz w:val="25"/>
                <w:szCs w:val="24"/>
              </w:rPr>
            </w:pPr>
            <w:r>
              <w:rPr>
                <w:rFonts w:ascii="Times New Roman" w:hAnsi="Times New Roman"/>
                <w:color w:val="000000"/>
                <w:kern w:val="0"/>
                <w:sz w:val="25"/>
                <w:szCs w:val="24"/>
              </w:rPr>
              <w:t>0.3780%</w:t>
            </w:r>
          </w:p>
        </w:tc>
        <w:tc>
          <w:tcPr>
            <w:tcW w:w="750" w:type="pct"/>
            <w:tcBorders>
              <w:top w:val="single" w:color="auto" w:sz="4" w:space="0"/>
              <w:left w:val="single" w:color="auto" w:sz="4" w:space="0"/>
              <w:bottom w:val="single" w:color="auto" w:sz="4" w:space="0"/>
              <w:right w:val="single" w:color="auto" w:sz="4" w:space="0"/>
            </w:tcBorders>
            <w:vAlign w:val="center"/>
          </w:tcPr>
          <w:p w14:paraId="50B36EB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color="auto" w:sz="4" w:space="0"/>
              <w:left w:val="single" w:color="auto" w:sz="4" w:space="0"/>
              <w:bottom w:val="single" w:color="auto" w:sz="4" w:space="0"/>
              <w:right w:val="single" w:color="auto" w:sz="4" w:space="0"/>
            </w:tcBorders>
            <w:vAlign w:val="center"/>
          </w:tcPr>
          <w:p w14:paraId="5723F738">
            <w:pPr>
              <w:widowControl/>
              <w:snapToGrid w:val="0"/>
              <w:jc w:val="left"/>
              <w:rPr>
                <w:rFonts w:ascii="宋体" w:hAnsi="宋体"/>
                <w:color w:val="000000"/>
                <w:kern w:val="0"/>
                <w:sz w:val="25"/>
                <w:szCs w:val="24"/>
              </w:rPr>
            </w:pPr>
            <w:r>
              <w:rPr>
                <w:rFonts w:ascii="Times New Roman" w:hAnsi="Times New Roman"/>
                <w:color w:val="000000"/>
                <w:kern w:val="0"/>
                <w:sz w:val="25"/>
                <w:szCs w:val="24"/>
              </w:rPr>
              <w:t>0.0882%</w:t>
            </w:r>
          </w:p>
        </w:tc>
        <w:tc>
          <w:tcPr>
            <w:tcW w:w="750" w:type="pct"/>
            <w:tcBorders>
              <w:top w:val="single" w:color="auto" w:sz="4" w:space="0"/>
              <w:left w:val="single" w:color="auto" w:sz="4" w:space="0"/>
              <w:bottom w:val="single" w:color="auto" w:sz="4" w:space="0"/>
              <w:right w:val="single" w:color="auto" w:sz="4" w:space="0"/>
            </w:tcBorders>
            <w:vAlign w:val="center"/>
          </w:tcPr>
          <w:p w14:paraId="711A9BB2">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89D6C2F">
            <w:pPr>
              <w:widowControl/>
              <w:snapToGrid w:val="0"/>
              <w:jc w:val="left"/>
              <w:rPr>
                <w:rFonts w:ascii="宋体" w:hAnsi="宋体"/>
                <w:color w:val="000000"/>
                <w:kern w:val="0"/>
                <w:sz w:val="25"/>
                <w:szCs w:val="24"/>
              </w:rPr>
            </w:pPr>
            <w:r>
              <w:rPr>
                <w:rFonts w:ascii="Times New Roman" w:hAnsi="Times New Roman"/>
                <w:color w:val="000000"/>
                <w:kern w:val="0"/>
                <w:sz w:val="25"/>
                <w:szCs w:val="24"/>
              </w:rPr>
              <w:t>0.2898%</w:t>
            </w:r>
          </w:p>
        </w:tc>
        <w:tc>
          <w:tcPr>
            <w:tcW w:w="750" w:type="pct"/>
            <w:tcBorders>
              <w:top w:val="single" w:color="auto" w:sz="4" w:space="0"/>
              <w:left w:val="single" w:color="auto" w:sz="4" w:space="0"/>
              <w:bottom w:val="single" w:color="auto" w:sz="4" w:space="0"/>
              <w:right w:val="single" w:color="auto" w:sz="4" w:space="0"/>
            </w:tcBorders>
            <w:vAlign w:val="center"/>
          </w:tcPr>
          <w:p w14:paraId="0E5068CD">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14:paraId="616D6AE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6B09DB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71259C34">
            <w:pPr>
              <w:widowControl/>
              <w:snapToGrid w:val="0"/>
              <w:jc w:val="left"/>
              <w:rPr>
                <w:rFonts w:ascii="宋体" w:hAnsi="宋体"/>
                <w:color w:val="000000"/>
                <w:kern w:val="0"/>
                <w:sz w:val="25"/>
                <w:szCs w:val="24"/>
              </w:rPr>
            </w:pPr>
            <w:r>
              <w:rPr>
                <w:rFonts w:ascii="Times New Roman" w:hAnsi="Times New Roman"/>
                <w:color w:val="000000"/>
                <w:kern w:val="0"/>
                <w:sz w:val="25"/>
                <w:szCs w:val="24"/>
              </w:rPr>
              <w:t>0.7582%</w:t>
            </w:r>
          </w:p>
        </w:tc>
        <w:tc>
          <w:tcPr>
            <w:tcW w:w="750" w:type="pct"/>
            <w:tcBorders>
              <w:top w:val="single" w:color="auto" w:sz="4" w:space="0"/>
              <w:left w:val="single" w:color="auto" w:sz="4" w:space="0"/>
              <w:bottom w:val="single" w:color="auto" w:sz="4" w:space="0"/>
              <w:right w:val="single" w:color="auto" w:sz="4" w:space="0"/>
            </w:tcBorders>
            <w:vAlign w:val="center"/>
          </w:tcPr>
          <w:p w14:paraId="2107A431">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color="auto" w:sz="4" w:space="0"/>
              <w:left w:val="single" w:color="auto" w:sz="4" w:space="0"/>
              <w:bottom w:val="single" w:color="auto" w:sz="4" w:space="0"/>
              <w:right w:val="single" w:color="auto" w:sz="4" w:space="0"/>
            </w:tcBorders>
            <w:vAlign w:val="center"/>
          </w:tcPr>
          <w:p w14:paraId="0A0EB9D1">
            <w:pPr>
              <w:widowControl/>
              <w:snapToGrid w:val="0"/>
              <w:jc w:val="left"/>
              <w:rPr>
                <w:rFonts w:ascii="宋体" w:hAnsi="宋体"/>
                <w:color w:val="000000"/>
                <w:kern w:val="0"/>
                <w:sz w:val="25"/>
                <w:szCs w:val="24"/>
              </w:rPr>
            </w:pPr>
            <w:r>
              <w:rPr>
                <w:rFonts w:ascii="Times New Roman" w:hAnsi="Times New Roman"/>
                <w:color w:val="000000"/>
                <w:kern w:val="0"/>
                <w:sz w:val="25"/>
                <w:szCs w:val="24"/>
              </w:rPr>
              <w:t>0.1736%</w:t>
            </w:r>
          </w:p>
        </w:tc>
        <w:tc>
          <w:tcPr>
            <w:tcW w:w="750" w:type="pct"/>
            <w:tcBorders>
              <w:top w:val="single" w:color="auto" w:sz="4" w:space="0"/>
              <w:left w:val="single" w:color="auto" w:sz="4" w:space="0"/>
              <w:bottom w:val="single" w:color="auto" w:sz="4" w:space="0"/>
              <w:right w:val="single" w:color="auto" w:sz="4" w:space="0"/>
            </w:tcBorders>
            <w:vAlign w:val="center"/>
          </w:tcPr>
          <w:p w14:paraId="0B3D104C">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28951284">
            <w:pPr>
              <w:widowControl/>
              <w:snapToGrid w:val="0"/>
              <w:jc w:val="left"/>
              <w:rPr>
                <w:rFonts w:ascii="宋体" w:hAnsi="宋体"/>
                <w:color w:val="000000"/>
                <w:kern w:val="0"/>
                <w:sz w:val="25"/>
                <w:szCs w:val="24"/>
              </w:rPr>
            </w:pPr>
            <w:r>
              <w:rPr>
                <w:rFonts w:ascii="Times New Roman" w:hAnsi="Times New Roman"/>
                <w:color w:val="000000"/>
                <w:kern w:val="0"/>
                <w:sz w:val="25"/>
                <w:szCs w:val="24"/>
              </w:rPr>
              <w:t>0.5846%</w:t>
            </w:r>
          </w:p>
        </w:tc>
        <w:tc>
          <w:tcPr>
            <w:tcW w:w="750" w:type="pct"/>
            <w:tcBorders>
              <w:top w:val="single" w:color="auto" w:sz="4" w:space="0"/>
              <w:left w:val="single" w:color="auto" w:sz="4" w:space="0"/>
              <w:bottom w:val="single" w:color="auto" w:sz="4" w:space="0"/>
              <w:right w:val="single" w:color="auto" w:sz="4" w:space="0"/>
            </w:tcBorders>
            <w:vAlign w:val="center"/>
          </w:tcPr>
          <w:p w14:paraId="4FF74062">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14:paraId="223D79B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1FD589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264D503F">
            <w:pPr>
              <w:widowControl/>
              <w:snapToGrid w:val="0"/>
              <w:jc w:val="left"/>
              <w:rPr>
                <w:rFonts w:ascii="宋体" w:hAnsi="宋体"/>
                <w:color w:val="000000"/>
                <w:kern w:val="0"/>
                <w:sz w:val="25"/>
                <w:szCs w:val="24"/>
              </w:rPr>
            </w:pPr>
            <w:r>
              <w:rPr>
                <w:rFonts w:ascii="Times New Roman" w:hAnsi="Times New Roman"/>
                <w:color w:val="000000"/>
                <w:kern w:val="0"/>
                <w:sz w:val="25"/>
                <w:szCs w:val="24"/>
              </w:rPr>
              <w:t>2.0276%</w:t>
            </w:r>
          </w:p>
        </w:tc>
        <w:tc>
          <w:tcPr>
            <w:tcW w:w="750" w:type="pct"/>
            <w:tcBorders>
              <w:top w:val="single" w:color="auto" w:sz="4" w:space="0"/>
              <w:left w:val="single" w:color="auto" w:sz="4" w:space="0"/>
              <w:bottom w:val="single" w:color="auto" w:sz="4" w:space="0"/>
              <w:right w:val="single" w:color="auto" w:sz="4" w:space="0"/>
            </w:tcBorders>
            <w:vAlign w:val="center"/>
          </w:tcPr>
          <w:p w14:paraId="36CE6F5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c>
          <w:tcPr>
            <w:tcW w:w="750" w:type="pct"/>
            <w:tcBorders>
              <w:top w:val="single" w:color="auto" w:sz="4" w:space="0"/>
              <w:left w:val="single" w:color="auto" w:sz="4" w:space="0"/>
              <w:bottom w:val="single" w:color="auto" w:sz="4" w:space="0"/>
              <w:right w:val="single" w:color="auto" w:sz="4" w:space="0"/>
            </w:tcBorders>
            <w:vAlign w:val="center"/>
          </w:tcPr>
          <w:p w14:paraId="1B687CD6">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color="auto" w:sz="4" w:space="0"/>
              <w:left w:val="single" w:color="auto" w:sz="4" w:space="0"/>
              <w:bottom w:val="single" w:color="auto" w:sz="4" w:space="0"/>
              <w:right w:val="single" w:color="auto" w:sz="4" w:space="0"/>
            </w:tcBorders>
            <w:vAlign w:val="center"/>
          </w:tcPr>
          <w:p w14:paraId="39F35BFA">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1A515565">
            <w:pPr>
              <w:widowControl/>
              <w:snapToGrid w:val="0"/>
              <w:jc w:val="left"/>
              <w:rPr>
                <w:rFonts w:ascii="宋体" w:hAnsi="宋体"/>
                <w:color w:val="000000"/>
                <w:kern w:val="0"/>
                <w:sz w:val="25"/>
                <w:szCs w:val="24"/>
              </w:rPr>
            </w:pPr>
            <w:r>
              <w:rPr>
                <w:rFonts w:ascii="Times New Roman" w:hAnsi="Times New Roman"/>
                <w:color w:val="000000"/>
                <w:kern w:val="0"/>
                <w:sz w:val="25"/>
                <w:szCs w:val="24"/>
              </w:rPr>
              <w:t>1.6766%</w:t>
            </w:r>
          </w:p>
        </w:tc>
        <w:tc>
          <w:tcPr>
            <w:tcW w:w="750" w:type="pct"/>
            <w:tcBorders>
              <w:top w:val="single" w:color="auto" w:sz="4" w:space="0"/>
              <w:left w:val="single" w:color="auto" w:sz="4" w:space="0"/>
              <w:bottom w:val="single" w:color="auto" w:sz="4" w:space="0"/>
              <w:right w:val="single" w:color="auto" w:sz="4" w:space="0"/>
            </w:tcBorders>
            <w:vAlign w:val="center"/>
          </w:tcPr>
          <w:p w14:paraId="5680D2A5">
            <w:pPr>
              <w:widowControl/>
              <w:snapToGrid w:val="0"/>
              <w:jc w:val="left"/>
              <w:rPr>
                <w:rFonts w:ascii="宋体" w:hAnsi="宋体"/>
                <w:color w:val="000000"/>
                <w:kern w:val="0"/>
                <w:sz w:val="25"/>
                <w:szCs w:val="24"/>
              </w:rPr>
            </w:pPr>
            <w:r>
              <w:rPr>
                <w:rFonts w:ascii="Times New Roman" w:hAnsi="Times New Roman"/>
                <w:color w:val="000000"/>
                <w:kern w:val="0"/>
                <w:sz w:val="25"/>
                <w:szCs w:val="24"/>
              </w:rPr>
              <w:t>0.0016%</w:t>
            </w:r>
          </w:p>
        </w:tc>
      </w:tr>
      <w:tr w14:paraId="15435A0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E93103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4985447B">
            <w:pPr>
              <w:widowControl/>
              <w:snapToGrid w:val="0"/>
              <w:jc w:val="left"/>
              <w:rPr>
                <w:rFonts w:ascii="宋体" w:hAnsi="宋体"/>
                <w:color w:val="000000"/>
                <w:kern w:val="0"/>
                <w:sz w:val="25"/>
                <w:szCs w:val="24"/>
              </w:rPr>
            </w:pPr>
            <w:r>
              <w:rPr>
                <w:rFonts w:ascii="Times New Roman" w:hAnsi="Times New Roman"/>
                <w:color w:val="000000"/>
                <w:kern w:val="0"/>
                <w:sz w:val="25"/>
                <w:szCs w:val="24"/>
              </w:rPr>
              <w:t>2.3086%</w:t>
            </w:r>
          </w:p>
        </w:tc>
        <w:tc>
          <w:tcPr>
            <w:tcW w:w="750" w:type="pct"/>
            <w:tcBorders>
              <w:top w:val="single" w:color="auto" w:sz="4" w:space="0"/>
              <w:left w:val="single" w:color="auto" w:sz="4" w:space="0"/>
              <w:bottom w:val="single" w:color="auto" w:sz="4" w:space="0"/>
              <w:right w:val="single" w:color="auto" w:sz="4" w:space="0"/>
            </w:tcBorders>
            <w:vAlign w:val="center"/>
          </w:tcPr>
          <w:p w14:paraId="54350A8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color="auto" w:sz="4" w:space="0"/>
              <w:left w:val="single" w:color="auto" w:sz="4" w:space="0"/>
              <w:bottom w:val="single" w:color="auto" w:sz="4" w:space="0"/>
              <w:right w:val="single" w:color="auto" w:sz="4" w:space="0"/>
            </w:tcBorders>
            <w:vAlign w:val="center"/>
          </w:tcPr>
          <w:p w14:paraId="3B3FE94B">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2CC8E79F">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4B1899CB">
            <w:pPr>
              <w:widowControl/>
              <w:snapToGrid w:val="0"/>
              <w:jc w:val="left"/>
              <w:rPr>
                <w:rFonts w:ascii="宋体" w:hAnsi="宋体"/>
                <w:color w:val="000000"/>
                <w:kern w:val="0"/>
                <w:sz w:val="25"/>
                <w:szCs w:val="24"/>
              </w:rPr>
            </w:pPr>
            <w:r>
              <w:rPr>
                <w:rFonts w:ascii="Times New Roman" w:hAnsi="Times New Roman"/>
                <w:color w:val="000000"/>
                <w:kern w:val="0"/>
                <w:sz w:val="25"/>
                <w:szCs w:val="24"/>
              </w:rPr>
              <w:t>1.9586%</w:t>
            </w:r>
          </w:p>
        </w:tc>
        <w:tc>
          <w:tcPr>
            <w:tcW w:w="750" w:type="pct"/>
            <w:tcBorders>
              <w:top w:val="single" w:color="auto" w:sz="4" w:space="0"/>
              <w:left w:val="single" w:color="auto" w:sz="4" w:space="0"/>
              <w:bottom w:val="single" w:color="auto" w:sz="4" w:space="0"/>
              <w:right w:val="single" w:color="auto" w:sz="4" w:space="0"/>
            </w:tcBorders>
            <w:vAlign w:val="center"/>
          </w:tcPr>
          <w:p w14:paraId="4503049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14:paraId="6077D96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410484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66686A4B">
            <w:pPr>
              <w:widowControl/>
              <w:snapToGrid w:val="0"/>
              <w:jc w:val="left"/>
              <w:rPr>
                <w:rFonts w:ascii="宋体" w:hAnsi="宋体"/>
                <w:color w:val="000000"/>
                <w:kern w:val="0"/>
                <w:sz w:val="25"/>
                <w:szCs w:val="24"/>
              </w:rPr>
            </w:pPr>
            <w:r>
              <w:rPr>
                <w:rFonts w:ascii="Times New Roman" w:hAnsi="Times New Roman"/>
                <w:color w:val="000000"/>
                <w:kern w:val="0"/>
                <w:sz w:val="25"/>
                <w:szCs w:val="24"/>
              </w:rPr>
              <w:t>2.2301%</w:t>
            </w:r>
          </w:p>
        </w:tc>
        <w:tc>
          <w:tcPr>
            <w:tcW w:w="750" w:type="pct"/>
            <w:tcBorders>
              <w:top w:val="single" w:color="auto" w:sz="4" w:space="0"/>
              <w:left w:val="single" w:color="auto" w:sz="4" w:space="0"/>
              <w:bottom w:val="single" w:color="auto" w:sz="4" w:space="0"/>
              <w:right w:val="single" w:color="auto" w:sz="4" w:space="0"/>
            </w:tcBorders>
            <w:vAlign w:val="center"/>
          </w:tcPr>
          <w:p w14:paraId="52891041">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color="auto" w:sz="4" w:space="0"/>
              <w:left w:val="single" w:color="auto" w:sz="4" w:space="0"/>
              <w:bottom w:val="single" w:color="auto" w:sz="4" w:space="0"/>
              <w:right w:val="single" w:color="auto" w:sz="4" w:space="0"/>
            </w:tcBorders>
            <w:vAlign w:val="center"/>
          </w:tcPr>
          <w:p w14:paraId="55F74F21">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4290BDF6">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206F4145">
            <w:pPr>
              <w:widowControl/>
              <w:snapToGrid w:val="0"/>
              <w:jc w:val="left"/>
              <w:rPr>
                <w:rFonts w:ascii="宋体" w:hAnsi="宋体"/>
                <w:color w:val="000000"/>
                <w:kern w:val="0"/>
                <w:sz w:val="25"/>
                <w:szCs w:val="24"/>
              </w:rPr>
            </w:pPr>
            <w:r>
              <w:rPr>
                <w:rFonts w:ascii="Times New Roman" w:hAnsi="Times New Roman"/>
                <w:color w:val="000000"/>
                <w:kern w:val="0"/>
                <w:sz w:val="25"/>
                <w:szCs w:val="24"/>
              </w:rPr>
              <w:t>1.8801%</w:t>
            </w:r>
          </w:p>
        </w:tc>
        <w:tc>
          <w:tcPr>
            <w:tcW w:w="750" w:type="pct"/>
            <w:tcBorders>
              <w:top w:val="single" w:color="auto" w:sz="4" w:space="0"/>
              <w:left w:val="single" w:color="auto" w:sz="4" w:space="0"/>
              <w:bottom w:val="single" w:color="auto" w:sz="4" w:space="0"/>
              <w:right w:val="single" w:color="auto" w:sz="4" w:space="0"/>
            </w:tcBorders>
            <w:vAlign w:val="center"/>
          </w:tcPr>
          <w:p w14:paraId="1705564C">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14:paraId="35E17F1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D5044B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75DBB349">
            <w:pPr>
              <w:widowControl/>
              <w:snapToGrid w:val="0"/>
              <w:jc w:val="left"/>
              <w:rPr>
                <w:rFonts w:ascii="宋体" w:hAnsi="宋体"/>
                <w:color w:val="000000"/>
                <w:kern w:val="0"/>
                <w:sz w:val="25"/>
                <w:szCs w:val="24"/>
              </w:rPr>
            </w:pPr>
            <w:r>
              <w:rPr>
                <w:rFonts w:ascii="Times New Roman" w:hAnsi="Times New Roman"/>
                <w:color w:val="000000"/>
                <w:kern w:val="0"/>
                <w:sz w:val="25"/>
                <w:szCs w:val="24"/>
              </w:rPr>
              <w:t>2.7494%</w:t>
            </w:r>
          </w:p>
        </w:tc>
        <w:tc>
          <w:tcPr>
            <w:tcW w:w="750" w:type="pct"/>
            <w:tcBorders>
              <w:top w:val="single" w:color="auto" w:sz="4" w:space="0"/>
              <w:left w:val="single" w:color="auto" w:sz="4" w:space="0"/>
              <w:bottom w:val="single" w:color="auto" w:sz="4" w:space="0"/>
              <w:right w:val="single" w:color="auto" w:sz="4" w:space="0"/>
            </w:tcBorders>
            <w:vAlign w:val="center"/>
          </w:tcPr>
          <w:p w14:paraId="1DAC72D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color="auto" w:sz="4" w:space="0"/>
              <w:left w:val="single" w:color="auto" w:sz="4" w:space="0"/>
              <w:bottom w:val="single" w:color="auto" w:sz="4" w:space="0"/>
              <w:right w:val="single" w:color="auto" w:sz="4" w:space="0"/>
            </w:tcBorders>
            <w:vAlign w:val="center"/>
          </w:tcPr>
          <w:p w14:paraId="651FD13F">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32CD3766">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4EA94832">
            <w:pPr>
              <w:widowControl/>
              <w:snapToGrid w:val="0"/>
              <w:jc w:val="left"/>
              <w:rPr>
                <w:rFonts w:ascii="宋体" w:hAnsi="宋体"/>
                <w:color w:val="000000"/>
                <w:kern w:val="0"/>
                <w:sz w:val="25"/>
                <w:szCs w:val="24"/>
              </w:rPr>
            </w:pPr>
            <w:r>
              <w:rPr>
                <w:rFonts w:ascii="Times New Roman" w:hAnsi="Times New Roman"/>
                <w:color w:val="000000"/>
                <w:kern w:val="0"/>
                <w:sz w:val="25"/>
                <w:szCs w:val="24"/>
              </w:rPr>
              <w:t>2.3994%</w:t>
            </w:r>
          </w:p>
        </w:tc>
        <w:tc>
          <w:tcPr>
            <w:tcW w:w="750" w:type="pct"/>
            <w:tcBorders>
              <w:top w:val="single" w:color="auto" w:sz="4" w:space="0"/>
              <w:left w:val="single" w:color="auto" w:sz="4" w:space="0"/>
              <w:bottom w:val="single" w:color="auto" w:sz="4" w:space="0"/>
              <w:right w:val="single" w:color="auto" w:sz="4" w:space="0"/>
            </w:tcBorders>
            <w:vAlign w:val="center"/>
          </w:tcPr>
          <w:p w14:paraId="0FD28A5E">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14:paraId="6F9796B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0753D7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3E9E996A">
            <w:pPr>
              <w:widowControl/>
              <w:snapToGrid w:val="0"/>
              <w:jc w:val="left"/>
              <w:rPr>
                <w:rFonts w:ascii="宋体" w:hAnsi="宋体"/>
                <w:color w:val="000000"/>
                <w:kern w:val="0"/>
                <w:sz w:val="25"/>
                <w:szCs w:val="24"/>
              </w:rPr>
            </w:pPr>
            <w:r>
              <w:rPr>
                <w:rFonts w:ascii="Times New Roman" w:hAnsi="Times New Roman"/>
                <w:color w:val="000000"/>
                <w:kern w:val="0"/>
                <w:sz w:val="25"/>
                <w:szCs w:val="24"/>
              </w:rPr>
              <w:t>2.5263%</w:t>
            </w:r>
          </w:p>
        </w:tc>
        <w:tc>
          <w:tcPr>
            <w:tcW w:w="750" w:type="pct"/>
            <w:tcBorders>
              <w:top w:val="single" w:color="auto" w:sz="4" w:space="0"/>
              <w:left w:val="single" w:color="auto" w:sz="4" w:space="0"/>
              <w:bottom w:val="single" w:color="auto" w:sz="4" w:space="0"/>
              <w:right w:val="single" w:color="auto" w:sz="4" w:space="0"/>
            </w:tcBorders>
            <w:vAlign w:val="center"/>
          </w:tcPr>
          <w:p w14:paraId="230976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c>
          <w:tcPr>
            <w:tcW w:w="750" w:type="pct"/>
            <w:tcBorders>
              <w:top w:val="single" w:color="auto" w:sz="4" w:space="0"/>
              <w:left w:val="single" w:color="auto" w:sz="4" w:space="0"/>
              <w:bottom w:val="single" w:color="auto" w:sz="4" w:space="0"/>
              <w:right w:val="single" w:color="auto" w:sz="4" w:space="0"/>
            </w:tcBorders>
            <w:vAlign w:val="center"/>
          </w:tcPr>
          <w:p w14:paraId="66BB2CC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color="auto" w:sz="4" w:space="0"/>
              <w:left w:val="single" w:color="auto" w:sz="4" w:space="0"/>
              <w:bottom w:val="single" w:color="auto" w:sz="4" w:space="0"/>
              <w:right w:val="single" w:color="auto" w:sz="4" w:space="0"/>
            </w:tcBorders>
            <w:vAlign w:val="center"/>
          </w:tcPr>
          <w:p w14:paraId="11E25474">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3926D871">
            <w:pPr>
              <w:widowControl/>
              <w:snapToGrid w:val="0"/>
              <w:jc w:val="left"/>
              <w:rPr>
                <w:rFonts w:ascii="宋体" w:hAnsi="宋体"/>
                <w:color w:val="000000"/>
                <w:kern w:val="0"/>
                <w:sz w:val="25"/>
                <w:szCs w:val="24"/>
              </w:rPr>
            </w:pPr>
            <w:r>
              <w:rPr>
                <w:rFonts w:ascii="Times New Roman" w:hAnsi="Times New Roman"/>
                <w:color w:val="000000"/>
                <w:kern w:val="0"/>
                <w:sz w:val="25"/>
                <w:szCs w:val="24"/>
              </w:rPr>
              <w:t>2.1753%</w:t>
            </w:r>
          </w:p>
        </w:tc>
        <w:tc>
          <w:tcPr>
            <w:tcW w:w="750" w:type="pct"/>
            <w:tcBorders>
              <w:top w:val="single" w:color="auto" w:sz="4" w:space="0"/>
              <w:left w:val="single" w:color="auto" w:sz="4" w:space="0"/>
              <w:bottom w:val="single" w:color="auto" w:sz="4" w:space="0"/>
              <w:right w:val="single" w:color="auto" w:sz="4" w:space="0"/>
            </w:tcBorders>
            <w:vAlign w:val="center"/>
          </w:tcPr>
          <w:p w14:paraId="748B624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0.0019%</w:t>
            </w:r>
          </w:p>
        </w:tc>
      </w:tr>
      <w:tr w14:paraId="5C1CBC4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60E90CF">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54C1F3D0">
            <w:pPr>
              <w:widowControl/>
              <w:snapToGrid w:val="0"/>
              <w:jc w:val="left"/>
              <w:rPr>
                <w:rFonts w:ascii="宋体" w:hAnsi="宋体"/>
                <w:color w:val="000000"/>
                <w:kern w:val="0"/>
                <w:sz w:val="25"/>
                <w:szCs w:val="24"/>
              </w:rPr>
            </w:pPr>
            <w:r>
              <w:rPr>
                <w:rFonts w:ascii="Times New Roman" w:hAnsi="Times New Roman"/>
                <w:color w:val="000000"/>
                <w:kern w:val="0"/>
                <w:sz w:val="25"/>
                <w:szCs w:val="24"/>
              </w:rPr>
              <w:t>2.8962%</w:t>
            </w:r>
          </w:p>
        </w:tc>
        <w:tc>
          <w:tcPr>
            <w:tcW w:w="750" w:type="pct"/>
            <w:tcBorders>
              <w:top w:val="single" w:color="auto" w:sz="4" w:space="0"/>
              <w:left w:val="single" w:color="auto" w:sz="4" w:space="0"/>
              <w:bottom w:val="single" w:color="auto" w:sz="4" w:space="0"/>
              <w:right w:val="single" w:color="auto" w:sz="4" w:space="0"/>
            </w:tcBorders>
            <w:vAlign w:val="center"/>
          </w:tcPr>
          <w:p w14:paraId="6D5AD769">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c>
          <w:tcPr>
            <w:tcW w:w="750" w:type="pct"/>
            <w:tcBorders>
              <w:top w:val="single" w:color="auto" w:sz="4" w:space="0"/>
              <w:left w:val="single" w:color="auto" w:sz="4" w:space="0"/>
              <w:bottom w:val="single" w:color="auto" w:sz="4" w:space="0"/>
              <w:right w:val="single" w:color="auto" w:sz="4" w:space="0"/>
            </w:tcBorders>
            <w:vAlign w:val="center"/>
          </w:tcPr>
          <w:p w14:paraId="7B13C2B5">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1B5ED2C5">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6CB17559">
            <w:pPr>
              <w:widowControl/>
              <w:snapToGrid w:val="0"/>
              <w:jc w:val="left"/>
              <w:rPr>
                <w:rFonts w:ascii="宋体" w:hAnsi="宋体"/>
                <w:color w:val="000000"/>
                <w:kern w:val="0"/>
                <w:sz w:val="25"/>
                <w:szCs w:val="24"/>
              </w:rPr>
            </w:pPr>
            <w:r>
              <w:rPr>
                <w:rFonts w:ascii="Times New Roman" w:hAnsi="Times New Roman"/>
                <w:color w:val="000000"/>
                <w:kern w:val="0"/>
                <w:sz w:val="25"/>
                <w:szCs w:val="24"/>
              </w:rPr>
              <w:t>2.5462%</w:t>
            </w:r>
          </w:p>
        </w:tc>
        <w:tc>
          <w:tcPr>
            <w:tcW w:w="750" w:type="pct"/>
            <w:tcBorders>
              <w:top w:val="single" w:color="auto" w:sz="4" w:space="0"/>
              <w:left w:val="single" w:color="auto" w:sz="4" w:space="0"/>
              <w:bottom w:val="single" w:color="auto" w:sz="4" w:space="0"/>
              <w:right w:val="single" w:color="auto" w:sz="4" w:space="0"/>
            </w:tcBorders>
            <w:vAlign w:val="center"/>
          </w:tcPr>
          <w:p w14:paraId="3EF9244E">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r>
      <w:tr w14:paraId="4EE94A0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258933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0A227EBC">
            <w:pPr>
              <w:widowControl/>
              <w:snapToGrid w:val="0"/>
              <w:jc w:val="left"/>
              <w:rPr>
                <w:rFonts w:ascii="宋体" w:hAnsi="宋体"/>
                <w:color w:val="000000"/>
                <w:kern w:val="0"/>
                <w:sz w:val="25"/>
                <w:szCs w:val="24"/>
              </w:rPr>
            </w:pPr>
            <w:r>
              <w:rPr>
                <w:rFonts w:ascii="Times New Roman" w:hAnsi="Times New Roman"/>
                <w:color w:val="000000"/>
                <w:kern w:val="0"/>
                <w:sz w:val="25"/>
                <w:szCs w:val="24"/>
              </w:rPr>
              <w:t>4.1452%</w:t>
            </w:r>
          </w:p>
        </w:tc>
        <w:tc>
          <w:tcPr>
            <w:tcW w:w="750" w:type="pct"/>
            <w:tcBorders>
              <w:top w:val="single" w:color="auto" w:sz="4" w:space="0"/>
              <w:left w:val="single" w:color="auto" w:sz="4" w:space="0"/>
              <w:bottom w:val="single" w:color="auto" w:sz="4" w:space="0"/>
              <w:right w:val="single" w:color="auto" w:sz="4" w:space="0"/>
            </w:tcBorders>
            <w:vAlign w:val="center"/>
          </w:tcPr>
          <w:p w14:paraId="65A5B551">
            <w:pPr>
              <w:widowControl/>
              <w:snapToGrid w:val="0"/>
              <w:jc w:val="left"/>
              <w:rPr>
                <w:rFonts w:ascii="宋体" w:hAnsi="宋体"/>
                <w:color w:val="000000"/>
                <w:kern w:val="0"/>
                <w:sz w:val="25"/>
                <w:szCs w:val="24"/>
              </w:rPr>
            </w:pPr>
            <w:r>
              <w:rPr>
                <w:rFonts w:ascii="Times New Roman" w:hAnsi="Times New Roman"/>
                <w:color w:val="000000"/>
                <w:kern w:val="0"/>
                <w:sz w:val="25"/>
                <w:szCs w:val="24"/>
              </w:rPr>
              <w:t>0.0035%</w:t>
            </w:r>
          </w:p>
        </w:tc>
        <w:tc>
          <w:tcPr>
            <w:tcW w:w="750" w:type="pct"/>
            <w:tcBorders>
              <w:top w:val="single" w:color="auto" w:sz="4" w:space="0"/>
              <w:left w:val="single" w:color="auto" w:sz="4" w:space="0"/>
              <w:bottom w:val="single" w:color="auto" w:sz="4" w:space="0"/>
              <w:right w:val="single" w:color="auto" w:sz="4" w:space="0"/>
            </w:tcBorders>
            <w:vAlign w:val="center"/>
          </w:tcPr>
          <w:p w14:paraId="7DA6103A">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5E237895">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2B27DEE">
            <w:pPr>
              <w:widowControl/>
              <w:snapToGrid w:val="0"/>
              <w:jc w:val="left"/>
              <w:rPr>
                <w:rFonts w:ascii="宋体" w:hAnsi="宋体"/>
                <w:color w:val="000000"/>
                <w:kern w:val="0"/>
                <w:sz w:val="25"/>
                <w:szCs w:val="24"/>
              </w:rPr>
            </w:pPr>
            <w:r>
              <w:rPr>
                <w:rFonts w:ascii="Times New Roman" w:hAnsi="Times New Roman"/>
                <w:color w:val="000000"/>
                <w:kern w:val="0"/>
                <w:sz w:val="25"/>
                <w:szCs w:val="24"/>
              </w:rPr>
              <w:t>3.7952%</w:t>
            </w:r>
          </w:p>
        </w:tc>
        <w:tc>
          <w:tcPr>
            <w:tcW w:w="750" w:type="pct"/>
            <w:tcBorders>
              <w:top w:val="single" w:color="auto" w:sz="4" w:space="0"/>
              <w:left w:val="single" w:color="auto" w:sz="4" w:space="0"/>
              <w:bottom w:val="single" w:color="auto" w:sz="4" w:space="0"/>
              <w:right w:val="single" w:color="auto" w:sz="4" w:space="0"/>
            </w:tcBorders>
            <w:vAlign w:val="center"/>
          </w:tcPr>
          <w:p w14:paraId="6D5CB0AD">
            <w:pPr>
              <w:widowControl/>
              <w:snapToGrid w:val="0"/>
              <w:jc w:val="left"/>
              <w:rPr>
                <w:rFonts w:ascii="宋体" w:hAnsi="宋体"/>
                <w:color w:val="000000"/>
                <w:kern w:val="0"/>
                <w:sz w:val="25"/>
                <w:szCs w:val="24"/>
              </w:rPr>
            </w:pPr>
            <w:r>
              <w:rPr>
                <w:rFonts w:ascii="Times New Roman" w:hAnsi="Times New Roman"/>
                <w:color w:val="000000"/>
                <w:kern w:val="0"/>
                <w:sz w:val="25"/>
                <w:szCs w:val="24"/>
              </w:rPr>
              <w:t>0.0035%</w:t>
            </w:r>
          </w:p>
        </w:tc>
      </w:tr>
      <w:tr w14:paraId="66AA2DB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D6F8C5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14:paraId="2BA3AF07">
            <w:pPr>
              <w:widowControl/>
              <w:snapToGrid w:val="0"/>
              <w:jc w:val="left"/>
              <w:rPr>
                <w:rFonts w:ascii="宋体" w:hAnsi="宋体"/>
                <w:color w:val="000000"/>
                <w:kern w:val="0"/>
                <w:sz w:val="25"/>
                <w:szCs w:val="24"/>
              </w:rPr>
            </w:pPr>
            <w:r>
              <w:rPr>
                <w:rFonts w:ascii="Times New Roman" w:hAnsi="Times New Roman"/>
                <w:color w:val="000000"/>
                <w:kern w:val="0"/>
                <w:sz w:val="25"/>
                <w:szCs w:val="24"/>
              </w:rPr>
              <w:t>4.2580%</w:t>
            </w:r>
          </w:p>
        </w:tc>
        <w:tc>
          <w:tcPr>
            <w:tcW w:w="750" w:type="pct"/>
            <w:tcBorders>
              <w:top w:val="single" w:color="auto" w:sz="4" w:space="0"/>
              <w:left w:val="single" w:color="auto" w:sz="4" w:space="0"/>
              <w:bottom w:val="single" w:color="auto" w:sz="4" w:space="0"/>
              <w:right w:val="single" w:color="auto" w:sz="4" w:space="0"/>
            </w:tcBorders>
            <w:vAlign w:val="center"/>
          </w:tcPr>
          <w:p w14:paraId="3F273F7E">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color="auto" w:sz="4" w:space="0"/>
              <w:left w:val="single" w:color="auto" w:sz="4" w:space="0"/>
              <w:bottom w:val="single" w:color="auto" w:sz="4" w:space="0"/>
              <w:right w:val="single" w:color="auto" w:sz="4" w:space="0"/>
            </w:tcBorders>
            <w:vAlign w:val="center"/>
          </w:tcPr>
          <w:p w14:paraId="0C4C03AD">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color="auto" w:sz="4" w:space="0"/>
              <w:left w:val="single" w:color="auto" w:sz="4" w:space="0"/>
              <w:bottom w:val="single" w:color="auto" w:sz="4" w:space="0"/>
              <w:right w:val="single" w:color="auto" w:sz="4" w:space="0"/>
            </w:tcBorders>
            <w:vAlign w:val="center"/>
          </w:tcPr>
          <w:p w14:paraId="66BE0516">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5BAF7671">
            <w:pPr>
              <w:widowControl/>
              <w:snapToGrid w:val="0"/>
              <w:jc w:val="left"/>
              <w:rPr>
                <w:rFonts w:ascii="宋体" w:hAnsi="宋体"/>
                <w:color w:val="000000"/>
                <w:kern w:val="0"/>
                <w:sz w:val="25"/>
                <w:szCs w:val="24"/>
              </w:rPr>
            </w:pPr>
            <w:r>
              <w:rPr>
                <w:rFonts w:ascii="Times New Roman" w:hAnsi="Times New Roman"/>
                <w:color w:val="000000"/>
                <w:kern w:val="0"/>
                <w:sz w:val="25"/>
                <w:szCs w:val="24"/>
              </w:rPr>
              <w:t>3.9080%</w:t>
            </w:r>
          </w:p>
        </w:tc>
        <w:tc>
          <w:tcPr>
            <w:tcW w:w="750" w:type="pct"/>
            <w:tcBorders>
              <w:top w:val="single" w:color="auto" w:sz="4" w:space="0"/>
              <w:left w:val="single" w:color="auto" w:sz="4" w:space="0"/>
              <w:bottom w:val="single" w:color="auto" w:sz="4" w:space="0"/>
              <w:right w:val="single" w:color="auto" w:sz="4" w:space="0"/>
            </w:tcBorders>
            <w:vAlign w:val="center"/>
          </w:tcPr>
          <w:p w14:paraId="7C6FFBE6">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14:paraId="349A1E2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EA6F58F">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2016年度（自基金合同生效日起至2016年12月31日）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00D012A2">
            <w:pPr>
              <w:widowControl/>
              <w:snapToGrid w:val="0"/>
              <w:jc w:val="left"/>
              <w:rPr>
                <w:rFonts w:ascii="宋体" w:hAnsi="宋体"/>
                <w:color w:val="000000"/>
                <w:kern w:val="0"/>
                <w:sz w:val="25"/>
                <w:szCs w:val="24"/>
              </w:rPr>
            </w:pPr>
            <w:r>
              <w:rPr>
                <w:rFonts w:ascii="Times New Roman" w:hAnsi="Times New Roman"/>
                <w:color w:val="000000"/>
                <w:kern w:val="0"/>
                <w:sz w:val="25"/>
                <w:szCs w:val="24"/>
              </w:rPr>
              <w:t>0.5953%</w:t>
            </w:r>
          </w:p>
        </w:tc>
        <w:tc>
          <w:tcPr>
            <w:tcW w:w="750" w:type="pct"/>
            <w:tcBorders>
              <w:top w:val="single" w:color="auto" w:sz="4" w:space="0"/>
              <w:left w:val="single" w:color="auto" w:sz="4" w:space="0"/>
              <w:bottom w:val="single" w:color="auto" w:sz="4" w:space="0"/>
              <w:right w:val="single" w:color="auto" w:sz="4" w:space="0"/>
            </w:tcBorders>
            <w:vAlign w:val="center"/>
          </w:tcPr>
          <w:p w14:paraId="19DEC04A">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c>
          <w:tcPr>
            <w:tcW w:w="750" w:type="pct"/>
            <w:tcBorders>
              <w:top w:val="single" w:color="auto" w:sz="4" w:space="0"/>
              <w:left w:val="single" w:color="auto" w:sz="4" w:space="0"/>
              <w:bottom w:val="single" w:color="auto" w:sz="4" w:space="0"/>
              <w:right w:val="single" w:color="auto" w:sz="4" w:space="0"/>
            </w:tcBorders>
            <w:vAlign w:val="center"/>
          </w:tcPr>
          <w:p w14:paraId="699297A0">
            <w:pPr>
              <w:widowControl/>
              <w:snapToGrid w:val="0"/>
              <w:jc w:val="left"/>
              <w:rPr>
                <w:rFonts w:ascii="宋体" w:hAnsi="宋体"/>
                <w:color w:val="000000"/>
                <w:kern w:val="0"/>
                <w:sz w:val="25"/>
                <w:szCs w:val="24"/>
              </w:rPr>
            </w:pPr>
            <w:r>
              <w:rPr>
                <w:rFonts w:ascii="Times New Roman" w:hAnsi="Times New Roman"/>
                <w:color w:val="000000"/>
                <w:kern w:val="0"/>
                <w:sz w:val="25"/>
                <w:szCs w:val="24"/>
              </w:rPr>
              <w:t>0.0710%</w:t>
            </w:r>
          </w:p>
        </w:tc>
        <w:tc>
          <w:tcPr>
            <w:tcW w:w="750" w:type="pct"/>
            <w:tcBorders>
              <w:top w:val="single" w:color="auto" w:sz="4" w:space="0"/>
              <w:left w:val="single" w:color="auto" w:sz="4" w:space="0"/>
              <w:bottom w:val="single" w:color="auto" w:sz="4" w:space="0"/>
              <w:right w:val="single" w:color="auto" w:sz="4" w:space="0"/>
            </w:tcBorders>
            <w:vAlign w:val="center"/>
          </w:tcPr>
          <w:p w14:paraId="40C07FAE">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color="auto" w:sz="4" w:space="0"/>
              <w:left w:val="single" w:color="auto" w:sz="4" w:space="0"/>
              <w:bottom w:val="single" w:color="auto" w:sz="4" w:space="0"/>
              <w:right w:val="single" w:color="auto" w:sz="4" w:space="0"/>
            </w:tcBorders>
            <w:vAlign w:val="center"/>
          </w:tcPr>
          <w:p w14:paraId="7B313995">
            <w:pPr>
              <w:widowControl/>
              <w:snapToGrid w:val="0"/>
              <w:jc w:val="left"/>
              <w:rPr>
                <w:rFonts w:ascii="宋体" w:hAnsi="宋体"/>
                <w:color w:val="000000"/>
                <w:kern w:val="0"/>
                <w:sz w:val="25"/>
                <w:szCs w:val="24"/>
              </w:rPr>
            </w:pPr>
            <w:r>
              <w:rPr>
                <w:rFonts w:ascii="Times New Roman" w:hAnsi="Times New Roman"/>
                <w:color w:val="000000"/>
                <w:kern w:val="0"/>
                <w:sz w:val="25"/>
                <w:szCs w:val="24"/>
              </w:rPr>
              <w:t>0.5243%</w:t>
            </w:r>
          </w:p>
        </w:tc>
        <w:tc>
          <w:tcPr>
            <w:tcW w:w="750" w:type="pct"/>
            <w:tcBorders>
              <w:top w:val="single" w:color="auto" w:sz="4" w:space="0"/>
              <w:left w:val="single" w:color="auto" w:sz="4" w:space="0"/>
              <w:bottom w:val="single" w:color="auto" w:sz="4" w:space="0"/>
              <w:right w:val="single" w:color="auto" w:sz="4" w:space="0"/>
            </w:tcBorders>
            <w:vAlign w:val="center"/>
          </w:tcPr>
          <w:p w14:paraId="7FCE3AD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r>
    </w:tbl>
    <w:p w14:paraId="5A8F3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注：本基金收益分配按日结转份额,本基金的业绩比较基准为活期存款利率（税后）。</w:t>
      </w:r>
    </w:p>
    <w:p w14:paraId="6F97CA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2、自基金合同生效以来基金份额累计净值收益率变动及其与同期业绩比较基准收益率变动的比较</w:t>
      </w:r>
    </w:p>
    <w:p w14:paraId="71962D92">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交银施罗德天利宝货币市场基金</w:t>
      </w:r>
    </w:p>
    <w:p w14:paraId="061D1B6E">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份额累计净值收益率与业绩比较基准收益率历史走势对比图</w:t>
      </w:r>
    </w:p>
    <w:p w14:paraId="47E0A5E4">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（2016年10月19日至2025年09月30日）</w:t>
      </w:r>
    </w:p>
    <w:p w14:paraId="4F661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1、交银天利宝货币A</w:t>
      </w:r>
    </w:p>
    <w:p w14:paraId="0C4FBFF8">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14:paraId="5CC497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2、交银天利宝货币C</w:t>
      </w:r>
    </w:p>
    <w:p w14:paraId="719909FE">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14:paraId="5CF8A3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3、交银天利宝货币E</w:t>
      </w:r>
    </w:p>
    <w:p w14:paraId="7D3EEA16">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14:paraId="585EB4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14:paraId="7FCD016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B8C0E77">
      <w:pPr>
        <w:pStyle w:val="2"/>
        <w:snapToGrid w:val="0"/>
        <w:spacing w:before="240" w:beforeLines="0" w:after="240"/>
        <w:rPr>
          <w:rFonts w:ascii="宋体" w:hAnsi="宋体"/>
          <w:szCs w:val="30"/>
        </w:rPr>
      </w:pPr>
      <w:bookmarkStart w:id="14" w:name="_Toc214028668"/>
      <w:r>
        <w:rPr>
          <w:rFonts w:ascii="Times New Roman" w:hAnsi="Times New Roman"/>
          <w:sz w:val="30"/>
        </w:rPr>
        <w:t>十二、基金的财产</w:t>
      </w:r>
      <w:bookmarkEnd w:id="14"/>
    </w:p>
    <w:p w14:paraId="75DDF2D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14:paraId="0D451D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基金资产总值是指基金拥有的各类有价证券及票据价值、银行存款本息、基金应收申购款及其他资产的价值总和。</w:t>
      </w:r>
    </w:p>
    <w:p w14:paraId="0B89EB8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14:paraId="2157E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352E5E8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14:paraId="17B8B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269A466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14:paraId="10C1C8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D88BD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5A9BB4A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1B5F0DF">
      <w:pPr>
        <w:pStyle w:val="2"/>
        <w:snapToGrid w:val="0"/>
        <w:spacing w:before="240" w:beforeLines="0" w:after="240"/>
        <w:rPr>
          <w:rFonts w:ascii="宋体" w:hAnsi="宋体"/>
          <w:szCs w:val="30"/>
        </w:rPr>
      </w:pPr>
      <w:bookmarkStart w:id="15" w:name="_Toc214028669"/>
      <w:r>
        <w:rPr>
          <w:rFonts w:ascii="Times New Roman" w:hAnsi="Times New Roman"/>
          <w:sz w:val="30"/>
        </w:rPr>
        <w:t>十三、基金资产的估值</w:t>
      </w:r>
      <w:bookmarkEnd w:id="15"/>
    </w:p>
    <w:p w14:paraId="7DC9D58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14:paraId="23BAC7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本基金的估值日为本基金相关的证券交易场所的交易日以及国家法律法规规定需要对外披露各类基金份额的基金资产净值、每万份基金已实现收益和7日年化收益率的非交易日。</w:t>
      </w:r>
    </w:p>
    <w:p w14:paraId="73F9630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14:paraId="55C4E4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基金所拥有的各类证券、票据和银行存款本息、应收款项、其它投资等资产及负债。</w:t>
      </w:r>
    </w:p>
    <w:p w14:paraId="06EA7C7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（三）估值方法</w:t>
      </w:r>
    </w:p>
    <w:p w14:paraId="58AC0F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估值采用“摊余成本法”，即计价对象以买入成本列示，按照票面利率或协议利率并考虑其买入时的溢价与折价，在剩余存续期内按照实际利率法摊销，每日计提损益。本基金不采用市场利率和上市交易的债券和票据的市价计算基金资产净值。</w:t>
      </w:r>
    </w:p>
    <w:p w14:paraId="57173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本基金采用摊余成本法估值，当变现所持有的资产时，变现价格与摊余成本法估值价格的差异将于变现当日集中反映，从而可能导致变现当日本基金收益出现较大幅度的波动。具体而言，当估值价格高于变现价格时，变现当日收益可能将出现较大幅度的下跌；当估值价格低于变现价格时，变现当日收益可能将出现较大幅度的上涨。投资者应知晓并接受该风险。基金管理人不对由于采用该估值方法而产生的后果及风险承担责任。</w:t>
      </w:r>
    </w:p>
    <w:p w14:paraId="780D3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影子定价”确定的基金资产净值与“摊余成本法”计算的基金资产净值的负偏离度的绝对值达到0.25%时，基金管理人应当在5个交易日内将负偏离度绝对值调整到0.25%以内。当正偏离度绝对值达到0.5%时，基金管理人应当暂停接受申购并在5个交易日内将正偏离度绝对值调整到0.5%以内。当负偏离度绝对值达到0.5%时，基金管理人应当使用风险准备金或者固有资金弥补潜在资产损失，将负偏离度绝对值控制在0.5%以内。当负偏离度绝对值连续两个交易日超过0.5%时，基金管理人应当采用公允价值估值方法对持有投资组合的账面价值进行调整，或者采取暂停接受所有赎回申请并终止基金合同进行财产清算等措施。</w:t>
      </w:r>
    </w:p>
    <w:p w14:paraId="49342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3、如有确凿证据表明按上述方法进行估值不能客观反映其公允价值的，基金管理人可根据具体情况与基金托管人商定后，按最能反映公允价值的价格估值。</w:t>
      </w:r>
    </w:p>
    <w:p w14:paraId="53060B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4、相关法律法规以及监管部门有强制规定的，从其规定。如有新增事项，按法律法规以及监管部门最新规定估值。</w:t>
      </w:r>
    </w:p>
    <w:p w14:paraId="4F05C7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235AA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59694FC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（四）估值程序</w:t>
      </w:r>
    </w:p>
    <w:p w14:paraId="197732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14:paraId="45904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的基金资产净值、每万份基金已实现收益和7日年化收益率结果发送基金托管人，经基金托管人复核无误后，由基金管理人依据基金合同和相关法律法规的规定对外公布。</w:t>
      </w:r>
    </w:p>
    <w:p w14:paraId="3CA8183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（五）估值错误的处理</w:t>
      </w:r>
    </w:p>
    <w:p w14:paraId="5AD70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基金管理人和基金托管人将采取必要、适当、合理的措施确保基金资产估值的准确性、及时性。当基金资产的计价导致每万份基金已实现收益小数点后4位以内发生差错时，视为估值错误。</w:t>
      </w:r>
    </w:p>
    <w:p w14:paraId="466159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14:paraId="5E818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14:paraId="4FFCD2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14:paraId="6332D4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17D3E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0FBD6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14:paraId="7F0FCE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5E0F99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14:paraId="023E3A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DA162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546AD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C8E56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14:paraId="61BD52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14:paraId="7376D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14:paraId="5B9A5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14:paraId="39413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2046B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14:paraId="00E0A5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14:paraId="23E142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0BA593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4、基金估值错误处理的方法如下：</w:t>
      </w:r>
    </w:p>
    <w:p w14:paraId="4F9060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（1）基金估值出现错误时，基金管理人应当立即予以纠正，通报基金托管人，并采取合理的措施防止损失进一步扩大。</w:t>
      </w:r>
    </w:p>
    <w:p w14:paraId="5544A7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（2）错误偏差达到基金资产净值的0.25%时，基金管理人应当通报基金托管人并报中国证监会备案；错误偏差达到基金资产净值的0.5%时，基金管理人应当公告。</w:t>
      </w:r>
    </w:p>
    <w:p w14:paraId="4CC470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14:paraId="48B39A1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（六）暂停估值的情形</w:t>
      </w:r>
    </w:p>
    <w:p w14:paraId="30F763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14:paraId="2DFA9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2、因不可抗力或其他特殊情形致使基金管理人、基金托管人无法准确评估基金资产价值时；</w:t>
      </w:r>
    </w:p>
    <w:p w14:paraId="62AA22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14:paraId="6222E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14:paraId="77C126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14:paraId="03A2AD4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（七）基金净值的确认</w:t>
      </w:r>
    </w:p>
    <w:p w14:paraId="1111F9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每万份基金已实现收益和7日年化收益率由基金管理人负责计算，基金托管人负责进行复核。基金管理人应于每个开放日交易结束后计算当日的各类基金份额的基金资产净值、每万份基金已实现收益和7日年化收益率并发送给基金托管人。基金托管人复核确认后发送给基金管理人，由基金管理人予以公布。</w:t>
      </w:r>
    </w:p>
    <w:p w14:paraId="69AF1F3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（八）特殊情形的处理</w:t>
      </w:r>
    </w:p>
    <w:p w14:paraId="4E2F3E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1、基金管理人、基金托管人按估值方法的第3项进行估值时，所造成的误差不作为基金资产估值错误处理。</w:t>
      </w:r>
    </w:p>
    <w:p w14:paraId="47C2F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50EE669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50F7844">
      <w:pPr>
        <w:pStyle w:val="2"/>
        <w:snapToGrid w:val="0"/>
        <w:spacing w:before="240" w:beforeLines="0" w:after="240"/>
        <w:rPr>
          <w:rFonts w:ascii="宋体" w:hAnsi="宋体"/>
          <w:szCs w:val="30"/>
        </w:rPr>
      </w:pPr>
      <w:bookmarkStart w:id="16" w:name="_Toc214028670"/>
      <w:r>
        <w:rPr>
          <w:rFonts w:ascii="Times New Roman" w:hAnsi="Times New Roman"/>
          <w:sz w:val="30"/>
        </w:rPr>
        <w:t>十四、基金收益与分配</w:t>
      </w:r>
      <w:bookmarkEnd w:id="16"/>
    </w:p>
    <w:p w14:paraId="05CC0D1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14:paraId="3415E6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基金利润指基金利息收入、投资收益、公允价值变动收益和其他收入扣除相关费用后的余额；基金已实现收益指基金利润减去公允价值变动损益后的余额。</w:t>
      </w:r>
    </w:p>
    <w:p w14:paraId="7B54ACF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（二）收益分配原则</w:t>
      </w:r>
    </w:p>
    <w:p w14:paraId="138DD9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本基金收益分配应遵循下列原则：</w:t>
      </w:r>
    </w:p>
    <w:p w14:paraId="11ABF1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1、本基金同一类别的每份基金份额享有同等分配权；</w:t>
      </w:r>
    </w:p>
    <w:p w14:paraId="3AE225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2、本基金收益分配方式为红利再投资，免收再投资的费用；</w:t>
      </w:r>
    </w:p>
    <w:p w14:paraId="729F47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每日分配、按日支付”。本基金根据每日基金收益情况，以每万份基金已实现收益为基准，为投资人每日计算当日收益并分配，且每日进行支付。投资人当日收益分配的计算保留到小数点后2位，小数点后第3位按去尾原则处理，因去尾形成的余额进行再次分配，直到分完为止；</w:t>
      </w:r>
    </w:p>
    <w:p w14:paraId="4CB75A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4、本基金根据每日收益情况，将当日收益全部分配，若当日已实现收益大于零时，为投资人记正收益；若当日已实现收益小于零时，为投资人记负收益；若当日已实现收益等于零时，当日投资人不记收益；</w:t>
      </w:r>
    </w:p>
    <w:p w14:paraId="35B708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每日进行收益计算并分配时，每日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14:paraId="25780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6、当日申购的基金份额自下一个工作日起，享有基金的收益分配权益；当日赎回的基金份额自下一个工作日起，不享有基金的收益分配权益；</w:t>
      </w:r>
    </w:p>
    <w:p w14:paraId="4AD45C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7、法律法规或监管机构另有规定的从其规定。</w:t>
      </w:r>
    </w:p>
    <w:p w14:paraId="3A7DDD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在不违反法律法规且对基金份额持有人利益无实质不利影响的前提下，基金管理人可对基金收益分配原则进行调整，不需召开基金份额持有人大会。</w:t>
      </w:r>
    </w:p>
    <w:p w14:paraId="3A8CCE8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（三）收益分配方案</w:t>
      </w:r>
    </w:p>
    <w:p w14:paraId="0239F5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基金收益分配方案由基金管理人拟定，并由基金托管人复核后确定。</w:t>
      </w:r>
    </w:p>
    <w:p w14:paraId="1DC92A5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（四）收益分配的时间和程序</w:t>
      </w:r>
    </w:p>
    <w:p w14:paraId="1168C4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个工作日进行收益分配。每个开放日公告前一个开放日各类基金份额的每万份基金已实现收益和7日年化收益率。若遇法定节假日，应于节假日结束后第二个自然日，披露节假日期间的各类基金份额的每万份基金已实现收益和节假日最后一日的7日年化收益率，以及节假日后首个开放日的各类基金份额的每万份基金已实现收益和7日年化收益率。经中国证监会同意，可以适当延迟计算或公告。法律法规另有规定的，从其规定。</w:t>
      </w:r>
    </w:p>
    <w:p w14:paraId="6BC11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本基金每日例行按照基金合同的约定对当天实现的收益进行收益结转(如遇节假日可顺延)，每日例行的收益结转不再另行公告。</w:t>
      </w:r>
    </w:p>
    <w:p w14:paraId="61A18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（五）本基金各类基金份额的每万份基金已实现收益及7日年化收益率的计算见招募说明书第十五部分。</w:t>
      </w:r>
    </w:p>
    <w:p w14:paraId="2F139E8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BB4408B">
      <w:pPr>
        <w:pStyle w:val="2"/>
        <w:snapToGrid w:val="0"/>
        <w:spacing w:before="240" w:beforeLines="0" w:after="240"/>
        <w:rPr>
          <w:rFonts w:ascii="宋体" w:hAnsi="宋体"/>
          <w:szCs w:val="30"/>
        </w:rPr>
      </w:pPr>
      <w:bookmarkStart w:id="17" w:name="_Toc214028671"/>
      <w:r>
        <w:rPr>
          <w:rFonts w:ascii="Times New Roman" w:hAnsi="Times New Roman"/>
          <w:sz w:val="30"/>
        </w:rPr>
        <w:t>十五、基金的费用与税收</w:t>
      </w:r>
      <w:bookmarkEnd w:id="17"/>
    </w:p>
    <w:p w14:paraId="7CDD28E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14:paraId="4AB035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54B23F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77C3E4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3、销售服务费；</w:t>
      </w:r>
    </w:p>
    <w:p w14:paraId="6A12E0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4、《基金合同》生效后与基金相关的信息披露费用；</w:t>
      </w:r>
    </w:p>
    <w:p w14:paraId="20118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5、《基金合同》生效后与基金相关的会计师费、律师费、仲裁费和诉讼费；</w:t>
      </w:r>
    </w:p>
    <w:p w14:paraId="12E54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6、基金份额持有人大会费用；</w:t>
      </w:r>
    </w:p>
    <w:p w14:paraId="674C06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7、基金的证券交易费用；</w:t>
      </w:r>
    </w:p>
    <w:p w14:paraId="156664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8、基金的银行汇划费用；</w:t>
      </w:r>
    </w:p>
    <w:p w14:paraId="0B8A40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9、基金的开户费用、账户维护费用；</w:t>
      </w:r>
    </w:p>
    <w:p w14:paraId="1E912D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14:paraId="1525536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14:paraId="46739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44B4FE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02ACAC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本基金的管理费按前一日基金资产净值的0.15%年费率计提。管理费的计算方法如下：</w:t>
      </w:r>
    </w:p>
    <w:p w14:paraId="48987F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H＝E×0.15%÷当年天数</w:t>
      </w:r>
    </w:p>
    <w:p w14:paraId="76D1A5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5EA124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13EFE9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划款指令，基金托管人复核后于次月首日起第3个工作日内从基金财产中一次性支付给基金管理人。若遇法定节假日、休息日或不可抗力等，支付日期顺延。</w:t>
      </w:r>
    </w:p>
    <w:p w14:paraId="6783CC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656B5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本基金的托管费按前一日基金资产净值的0.0</w:t>
      </w:r>
      <w:r>
        <w:rPr>
          <w:rFonts w:hint="eastAsia" w:ascii="宋体" w:hAnsi="宋体"/>
          <w:sz w:val="24"/>
          <w:lang w:val="en-US" w:eastAsia="zh-CN"/>
        </w:rPr>
        <w:t>4</w:t>
      </w:r>
      <w:r>
        <w:rPr>
          <w:rFonts w:ascii="宋体" w:hAnsi="宋体"/>
          <w:sz w:val="24"/>
        </w:rPr>
        <w:t>%的年费率计提。托管费的计算方法如下：</w:t>
      </w:r>
    </w:p>
    <w:p w14:paraId="0BC8B0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H＝E×0.0</w:t>
      </w:r>
      <w:r>
        <w:rPr>
          <w:rFonts w:hint="eastAsia" w:ascii="宋体" w:hAnsi="宋体"/>
          <w:sz w:val="24"/>
          <w:lang w:val="en-US" w:eastAsia="zh-CN"/>
        </w:rPr>
        <w:t>4</w:t>
      </w:r>
      <w:r>
        <w:rPr>
          <w:rFonts w:ascii="宋体" w:hAnsi="宋体"/>
          <w:sz w:val="24"/>
        </w:rPr>
        <w:t>%÷当年天数</w:t>
      </w:r>
    </w:p>
    <w:p w14:paraId="469ED1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5B2851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37158D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划款指令，基金托管人复核后于次月首日起第3个工作日内从基金财产中一次性支取。若遇法定节假日、休息日或不可抗力致使无法按时支付的，支付日期顺延。</w:t>
      </w:r>
    </w:p>
    <w:p w14:paraId="4DBCE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507ABC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（1）除法律法规另有规定或基金合同另有约定外，本基金不收取申购费用和赎回费用。</w:t>
      </w:r>
    </w:p>
    <w:p w14:paraId="1C6CD3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（2）基金销售服务费</w:t>
      </w:r>
    </w:p>
    <w:p w14:paraId="5AB00C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本基金各类基金份额按照不同的费率计提销售服务费，在通常情况下，本基金A 类基金份额的销售服务费按前一日A类基金份额的基金资产净值的0.25%年费率计提，本基金C类基金份额的销售服务费按前一日C类基金份额的基金资产净值的0.20%年费率计提，本基金E类基金份额的销售服务费按前一日E类基金份额的基金资产净值的0.01%年费率计提。</w:t>
      </w:r>
    </w:p>
    <w:p w14:paraId="4363C9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各类基金份额的基金销售服务费计提的计算公式如下：</w:t>
      </w:r>
    </w:p>
    <w:p w14:paraId="68C019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H＝E×年销售服务费率÷当年天数</w:t>
      </w:r>
    </w:p>
    <w:p w14:paraId="4819C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H为某类基金份额每日应计提的基金销售服务费</w:t>
      </w:r>
    </w:p>
    <w:p w14:paraId="32E9DA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E为前一日该类基金份额的基金资产净值</w:t>
      </w:r>
    </w:p>
    <w:p w14:paraId="7C01C4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销售服务费每日计提，按月支付。由基金管理人向基金托管人发送划付指令，由基金托管人复核后于次月首日起第3个工作日内从基金财产中一次性支付给基金管理人，由基金管理人代付给销售机构，若遇法定节假日、休息日或不可抗力致使无法按时支付的，支付日期顺延。</w:t>
      </w:r>
    </w:p>
    <w:p w14:paraId="1F9B64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上述“一、基金费用的种类”中第4－10项费用，根据有关法规及相应协议规定，按费用实际支出金额列入当期费用，由基金托管人从基金财产中支付。</w:t>
      </w:r>
    </w:p>
    <w:p w14:paraId="5453D6A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14:paraId="555BF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14:paraId="66C98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14:paraId="47F362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14:paraId="5E9ED6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14:paraId="4B7F6A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14:paraId="21D309C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（四）费用调整</w:t>
      </w:r>
    </w:p>
    <w:p w14:paraId="6A9C91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调整基金管理费率、基金托管费率、提高基金销售服务费率等相关费率，须召开基金份额持有人大会。基金管理人必须依照有关规定于新的费率实施日前在指定媒介上刊登公告。</w:t>
      </w:r>
    </w:p>
    <w:p w14:paraId="15DBDF5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14:paraId="0E461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14:paraId="3936193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CFE9941">
      <w:pPr>
        <w:pStyle w:val="2"/>
        <w:snapToGrid w:val="0"/>
        <w:spacing w:before="240" w:beforeLines="0" w:after="240"/>
        <w:rPr>
          <w:rFonts w:ascii="宋体" w:hAnsi="宋体"/>
          <w:szCs w:val="30"/>
        </w:rPr>
      </w:pPr>
      <w:bookmarkStart w:id="18" w:name="_Toc214028672"/>
      <w:r>
        <w:rPr>
          <w:rFonts w:ascii="Times New Roman" w:hAnsi="Times New Roman"/>
          <w:sz w:val="30"/>
        </w:rPr>
        <w:t>十六、基金的会计与审计</w:t>
      </w:r>
      <w:bookmarkEnd w:id="18"/>
    </w:p>
    <w:p w14:paraId="39E8EAB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14:paraId="0860CD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0860A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w:t>
      </w:r>
    </w:p>
    <w:p w14:paraId="6674CF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14:paraId="3EC28B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6BB592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06E4E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4E434A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14:paraId="145BB4F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14:paraId="67665F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14:paraId="68E6D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14:paraId="13ACB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14:paraId="34ABFAB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5BF185C">
      <w:pPr>
        <w:pStyle w:val="2"/>
        <w:snapToGrid w:val="0"/>
        <w:spacing w:before="240" w:beforeLines="0" w:after="240"/>
        <w:rPr>
          <w:rFonts w:ascii="宋体" w:hAnsi="宋体"/>
          <w:szCs w:val="30"/>
        </w:rPr>
      </w:pPr>
      <w:bookmarkStart w:id="19" w:name="_Toc214028673"/>
      <w:r>
        <w:rPr>
          <w:rFonts w:ascii="Times New Roman" w:hAnsi="Times New Roman"/>
          <w:sz w:val="30"/>
        </w:rPr>
        <w:t>十七、基金的信息披露</w:t>
      </w:r>
      <w:bookmarkEnd w:id="19"/>
    </w:p>
    <w:p w14:paraId="6BD7C23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（一）本基金的信息披露应符合《基金法》、《运作办法》、《信息披露办法》、《基金合同》、《流动性规定》及其他有关规定。</w:t>
      </w:r>
    </w:p>
    <w:p w14:paraId="2ABA025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14:paraId="536404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14:paraId="74093D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本基金信息披露义务人按照以保护基金份额持有人利益为根本出发点，法律法规和中国证监会的规定披露基金信息，并保证所披露信息的真实性、准确性、完整性、及时性、简明性和易得性。</w:t>
      </w:r>
    </w:p>
    <w:p w14:paraId="5B2521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6AE5F4B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14:paraId="0235C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647289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4C1D6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6622A7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7E8E14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0AA7F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76A9312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14:paraId="6FBA08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57999D5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14:paraId="4B4A9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1AF59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14:paraId="5BE3E7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73E326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43E533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5CE32F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696933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14:paraId="2604BD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14:paraId="310192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14:paraId="198F61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14:paraId="1BA99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14:paraId="3FAA7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14:paraId="03DC0C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（1）本基金的基金合同生效后，在开始办理基金份额申购或者赎回前，基金管理人将至少每周分别公告一次各类基金份额的基金资产净值、每万份基金已实现收益和7日年化收益率；</w:t>
      </w:r>
    </w:p>
    <w:p w14:paraId="09F615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各类基金份额的每万份基金已实现收益和7日年化收益率的计算方法如下：</w:t>
      </w:r>
    </w:p>
    <w:p w14:paraId="7C5D2E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某类基金份额的每万份基金已实现收益＝当日该类基金份额的已实现收益/当日该类基金份额总额×10000</w:t>
      </w:r>
    </w:p>
    <w:p w14:paraId="19984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某类基金份额的7日年化收益率（%）=</w:t>
      </w:r>
      <w:r>
        <w:rPr>
          <w:rFonts w:ascii="宋体" w:hAnsi="宋体"/>
          <w:kern w:val="0"/>
          <w:sz w:val="24"/>
        </w:rPr>
        <w:pict>
          <v:shape id="_x0000_i1030" o:spt="75" type="#_x0000_t75" style="height:45pt;width:174.75pt;" filled="f" o:preferrelative="t" stroked="f" coordsize="21600,21600">
            <v:path/>
            <v:fill on="f" focussize="0,0"/>
            <v:stroke on="f" joinstyle="miter"/>
            <v:imagedata r:id="rId16" o:title="1521256610242020828"/>
            <o:lock v:ext="edit" aspectratio="t"/>
            <w10:wrap type="none"/>
            <w10:anchorlock/>
          </v:shape>
        </w:pict>
      </w:r>
    </w:p>
    <w:p w14:paraId="265194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其中，Ri为最近第i个自然日(包括计算当日) 该类基金份额的每万份基金已实现收益，如果基金合同生效不足七日，按类似规则计算。</w:t>
      </w:r>
    </w:p>
    <w:p w14:paraId="6BAE4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万份基金已实现收益采用四舍五入保留至小数点后第4位，7日年化收益率采用四舍五入保留至百分号内小数点后第3位。其中，当日该类基金份额总额包括该类基金份额截至上一工作日(包括节假日)未结转份额（若有）。</w:t>
      </w:r>
    </w:p>
    <w:p w14:paraId="0DB5C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（2）在开始办理基金份额申购或者赎回后，基金管理人将在不晚于每个开放日的次日，通过指定网站、基金销售机构网站或者营业网点披露开放日的各类基金份额的每万份基金已实现收益和7日年化收益率。</w:t>
      </w:r>
    </w:p>
    <w:p w14:paraId="7962A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应于节假日结束后第二个自然日，披露节假日期间的各类基金份额的每万份基金已实现收益、节假日最后一日的7日年化收益率，以及节假日后首个开放日的各类基金份额的每万份基金已实现收益和7日年化收益率。</w:t>
      </w:r>
    </w:p>
    <w:p w14:paraId="738B4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（3）基金管理人应当在不晚于半年度和年度最后一日的次日，在指定网站披露半年度和年度最后一日的各类基金份额的每万份基金已实现收益和7日年化收益率。</w:t>
      </w:r>
    </w:p>
    <w:p w14:paraId="195E06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5、基金定期报告，包括基金年度报告、基金中期报告和基金季度报告</w:t>
      </w:r>
    </w:p>
    <w:p w14:paraId="57098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684867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14:paraId="6C76C0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14:paraId="4977A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《基金合同》生效不足2个月的，基金管理人可以不编制当期季度报告、中期或者年度报告。</w:t>
      </w:r>
    </w:p>
    <w:p w14:paraId="2335B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2D8A4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5F30EC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基金管理人应当在年度报告、中期报告中，至少披露报告期末基金前10名份额持有人的类别、持有份额及占总份额的比例等信息。</w:t>
      </w:r>
    </w:p>
    <w:p w14:paraId="3296E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6、临时报告</w:t>
      </w:r>
    </w:p>
    <w:p w14:paraId="2E98F8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14:paraId="646423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前款所称重大事件，是指可能对基金份额持有人权益或者基金资产净值产生重大影响的下列事件：</w:t>
      </w:r>
    </w:p>
    <w:p w14:paraId="665D3A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7868D8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17E242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75046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62A421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41F2A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372406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5006AC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5E53DC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798F92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44D4F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2D16D6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0D369C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770A6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（14）基金收益分配事项，但基金合同另有约定的除外；</w:t>
      </w:r>
    </w:p>
    <w:p w14:paraId="3766F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14:paraId="0DFBF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（16）基金资产净值计价错误达基金资产净值百分之零点五；</w:t>
      </w:r>
    </w:p>
    <w:p w14:paraId="07CF55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591EC8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3329AB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77E68D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25CD60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（21）调整本基金的份额类别设置；</w:t>
      </w:r>
    </w:p>
    <w:p w14:paraId="2109D8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（22）发生涉及基金申购、赎回事项调整或潜在影响投资者赎回等重大事项；</w:t>
      </w:r>
    </w:p>
    <w:p w14:paraId="09142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（23）本基金投资于主体信用评级低于AA+的商业银行的银行存款与同业存单；</w:t>
      </w:r>
    </w:p>
    <w:p w14:paraId="75A89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（24）基金信息披露义务人认为可能对基金份额持有人权益或者基金份额的价格产生重大影响的其他事项或中国证监会和基金合同约定的其他事项。</w:t>
      </w:r>
    </w:p>
    <w:p w14:paraId="47DF7D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7、澄清公告</w:t>
      </w:r>
    </w:p>
    <w:p w14:paraId="2A42FF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w:t>
      </w:r>
    </w:p>
    <w:p w14:paraId="119B6F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8、基金份额持有人大会决议</w:t>
      </w:r>
    </w:p>
    <w:p w14:paraId="70404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6999D4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1EC55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9、清算报告</w:t>
      </w:r>
    </w:p>
    <w:p w14:paraId="06BB4C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14:paraId="4B0B3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10、基金投资资产支持证券情况</w:t>
      </w:r>
    </w:p>
    <w:p w14:paraId="13D915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资产支持证券，基金管理人应在基金年报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1C4A31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11、中国证监会规定的其他信息。</w:t>
      </w:r>
    </w:p>
    <w:p w14:paraId="637247D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14:paraId="324E4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37C195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基金信息披露义务人公开披露基金信息，应当符合中国证监会相关基金信息披露内容与格式准则的规定。</w:t>
      </w:r>
    </w:p>
    <w:p w14:paraId="47A8E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各类基金份额的基金资产净值、每万份基金已实现收益、7日年化收益率、基金份额申购赎回价格、基金定期报告、更新的招募说明书、基金产品资料概要、基金清算报告等公开披露的相关基金信息进行复核、审查，并向基金管理人进行书面或电子确认。</w:t>
      </w:r>
    </w:p>
    <w:p w14:paraId="6514C4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14:paraId="674A4F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4B3C68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778E4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44C2D4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14:paraId="480184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14:paraId="15B3220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（八）本基金信息披露事项以法律法规规定及本章节约定的内容为准。</w:t>
      </w:r>
    </w:p>
    <w:p w14:paraId="3F14A9E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DCB6BA1">
      <w:pPr>
        <w:pStyle w:val="2"/>
        <w:snapToGrid w:val="0"/>
        <w:spacing w:before="240" w:beforeLines="0" w:after="240"/>
        <w:rPr>
          <w:rFonts w:ascii="宋体" w:hAnsi="宋体"/>
          <w:szCs w:val="30"/>
        </w:rPr>
      </w:pPr>
      <w:bookmarkStart w:id="20" w:name="_Toc214028674"/>
      <w:r>
        <w:rPr>
          <w:rFonts w:ascii="Times New Roman" w:hAnsi="Times New Roman"/>
          <w:sz w:val="30"/>
        </w:rPr>
        <w:t>十八、风险揭示</w:t>
      </w:r>
      <w:bookmarkEnd w:id="20"/>
    </w:p>
    <w:p w14:paraId="086726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221B90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14:paraId="1FC9CF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14:paraId="04F517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08BCD8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3E81E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投资者购买本货币市场基金并不等于将资金作为存款存放在银行或存款类金融机构，基金管理人不保证基金一定盈利，也不保证最低收益。</w:t>
      </w:r>
    </w:p>
    <w:p w14:paraId="1D01C0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59D4E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5FA6D49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14:paraId="78B1D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3E842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0E09E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14:paraId="57C181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66BEE3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14:paraId="6D0C1B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558A14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14:paraId="3FE59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14:paraId="4CA017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14:paraId="3BB61DA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14:paraId="790AA3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45420E9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14:paraId="5B072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产净值产生不利的影响，都会影响基金运作和收益水平。尤其是在发生巨额赎回时，因市场交易量不足，某些投资品种的流动性不佳，可能导致证券不能迅速、低成本地转变为现金，从而影响基金运作和收益水平。极端情况下，连续大量赎回将会导致基金的现金支付出现困难，或迫使基金以不适当的价格大量抛售证券或提前支取存款，可能导致基金财产的损失。</w:t>
      </w:r>
    </w:p>
    <w:p w14:paraId="77A065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364B41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6E6A2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2A1269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货币市场基金，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14:paraId="4E4B6E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654E8F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6729D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5827E4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61B6D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52E1F1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48AE8B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3DCB1D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4、备用的流动性风险管理工具的实施情形、程序及对投资者的潜在影响</w:t>
      </w:r>
    </w:p>
    <w:p w14:paraId="50BB0D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1D1BB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强制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203C687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（四）交易对手违约风险</w:t>
      </w:r>
    </w:p>
    <w:p w14:paraId="400265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交易对手违约风险是指当债券、票据或债券回购等交易对手或存款银行违约时，将直接导致基金资产的损失，或导致基金不能及时抓住市场机会，对投资收益产生影响。</w:t>
      </w:r>
    </w:p>
    <w:p w14:paraId="1858FF6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（五）货币市场基金的特定风险</w:t>
      </w:r>
    </w:p>
    <w:p w14:paraId="0D1466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14:paraId="266FA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14:paraId="55346A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14:paraId="51B2852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（六）本基金法律文件风险收益特征表述与销售机构基金风险评价可能不一致的风险</w:t>
      </w:r>
    </w:p>
    <w:p w14:paraId="6C9740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6E528FB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（七）其他风险</w:t>
      </w:r>
    </w:p>
    <w:p w14:paraId="647793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5B94B6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27067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182FEB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5F904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1C9420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7D671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7、金融市场危机、行业竞争、代理商违约、托管行违约等超出基金管理人自身直接控制能力之外的风险，也可能导致基金或者基金份额持有人利益受损。</w:t>
      </w:r>
    </w:p>
    <w:p w14:paraId="59BAB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8、其他意外导致的风险。</w:t>
      </w:r>
    </w:p>
    <w:p w14:paraId="317E683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69FA0CE">
      <w:pPr>
        <w:pStyle w:val="2"/>
        <w:snapToGrid w:val="0"/>
        <w:spacing w:before="240" w:beforeLines="0" w:after="240"/>
        <w:rPr>
          <w:rFonts w:ascii="宋体" w:hAnsi="宋体"/>
          <w:szCs w:val="30"/>
        </w:rPr>
      </w:pPr>
      <w:bookmarkStart w:id="21" w:name="_Toc214028675"/>
      <w:r>
        <w:rPr>
          <w:rFonts w:ascii="Times New Roman" w:hAnsi="Times New Roman"/>
          <w:sz w:val="30"/>
        </w:rPr>
        <w:t>十九、基金合同的变更、终止与基金财产的清算</w:t>
      </w:r>
      <w:bookmarkEnd w:id="21"/>
    </w:p>
    <w:p w14:paraId="122A2DB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14:paraId="6A0744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1D3B38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14:paraId="5875A90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14:paraId="76C0F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14:paraId="4D77B7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5868EF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0AC37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3、本基金作为被合并方与其他基金进行合并的；</w:t>
      </w:r>
    </w:p>
    <w:p w14:paraId="00F11D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1B0805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3D2FF81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14:paraId="700C0B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4D4D51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397AE3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566A00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5C2BF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7541D6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099360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5CC69B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6B9013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5AF78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2FD05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0D2E29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w:t>
      </w:r>
    </w:p>
    <w:p w14:paraId="2DB50DC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14:paraId="3D9CB6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14:paraId="07C4A28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14:paraId="571F64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68796C7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14:paraId="03B4D6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4BF8C39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14:paraId="37B64D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064FB20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1A0D1E8">
      <w:pPr>
        <w:pStyle w:val="2"/>
        <w:snapToGrid w:val="0"/>
        <w:spacing w:before="240" w:beforeLines="0" w:after="240"/>
        <w:rPr>
          <w:rFonts w:ascii="宋体" w:hAnsi="宋体"/>
          <w:szCs w:val="30"/>
        </w:rPr>
      </w:pPr>
      <w:bookmarkStart w:id="22" w:name="_Toc214028676"/>
      <w:r>
        <w:rPr>
          <w:rFonts w:ascii="Times New Roman" w:hAnsi="Times New Roman"/>
          <w:sz w:val="30"/>
        </w:rPr>
        <w:t>二十、基金合同内容摘要</w:t>
      </w:r>
      <w:bookmarkEnd w:id="22"/>
    </w:p>
    <w:p w14:paraId="15B4C75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14:paraId="5AE314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659A0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14:paraId="57872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14:paraId="64A51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14:paraId="785FFC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14:paraId="60B510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14:paraId="4352BB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14:paraId="643043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3CF6E5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14:paraId="48B0F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14:paraId="11F022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661C1A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14:paraId="3C935B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14:paraId="37E49E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12）在法律法规允许的前提下，为基金的利益依法为基金进行融资；</w:t>
      </w:r>
    </w:p>
    <w:p w14:paraId="040AEB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13）以基金管理人的名义，代表基金份额持有人的利益行使诉讼权利或者实施其他法律行为；</w:t>
      </w:r>
    </w:p>
    <w:p w14:paraId="31D9AA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14）选择、更换律师事务所、会计师事务所、证券经纪商或其他为基金提供服务的外部机构；</w:t>
      </w:r>
    </w:p>
    <w:p w14:paraId="001FFA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15）在符合有关法律、法规的前提下，制定和调整有关基金认购、申购、赎回、转换等的业务规则；</w:t>
      </w:r>
    </w:p>
    <w:p w14:paraId="58E3A3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16）法律法规及中国证监会规定的和《基金合同》约定的其他权利。</w:t>
      </w:r>
    </w:p>
    <w:p w14:paraId="7D072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14:paraId="791C6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14:paraId="4DCF17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31D160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14:paraId="1220A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573D35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699546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1D33B3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632BE3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8）采取适当合理的措施使计算基金份额认购、申购、赎回和注销价格的方法符合《基金合同》等法律文件的规定，按有关规定计算并公告各类基金份额的基金净值信息、每万份基金已实现收益和7日年化收益率；</w:t>
      </w:r>
    </w:p>
    <w:p w14:paraId="0F7F91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14:paraId="0FC7BA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14:paraId="647B4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14:paraId="370DE9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14:paraId="5C1812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14:paraId="2D75E5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14:paraId="18630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2B91DE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14:paraId="7CE20F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FE0D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14:paraId="15335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14:paraId="20F930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01945C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7E2E9D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14:paraId="02EEFE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14:paraId="2E0A0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14:paraId="5B79E8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14:paraId="2F740B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14:paraId="4131E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14:paraId="6CAA70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3E98B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14:paraId="24BF3C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14:paraId="074FF0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14:paraId="69F2B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96DB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14:paraId="1BB647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14:paraId="70271F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14:paraId="45E952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14:paraId="55820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14:paraId="7002E5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1D65E8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510A45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EB5DE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4C11C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62652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14:paraId="483A80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14:paraId="67B89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8）复核、审查基金管理人计算的各类基金份额的基金资产净值、基金份额净值、每万份基金已实现收益和7日年化收益率；</w:t>
      </w:r>
    </w:p>
    <w:p w14:paraId="31B2A7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14:paraId="562AB3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104D8A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14:paraId="49B7F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14:paraId="7D03EA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14:paraId="2E313B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14:paraId="68AB06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14:paraId="4D7884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14:paraId="2C258E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14:paraId="37015E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6513F4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14:paraId="72703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4E51D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14:paraId="7353A2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14:paraId="26F70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7608B8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14:paraId="4712F4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14:paraId="6B4A14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14:paraId="46DD3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14:paraId="37C53C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14:paraId="3CCE6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14:paraId="5E1703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14:paraId="192B8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14:paraId="0C4BBB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14:paraId="6E1595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14:paraId="429735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14:paraId="1B5EB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14:paraId="68296F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14:paraId="1276A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14:paraId="3269F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14:paraId="2D7A7D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14:paraId="0D9C4A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14:paraId="7F3F9B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14:paraId="00B05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14:paraId="7FD82A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14:paraId="2095FC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14:paraId="131F9E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14:paraId="579FC4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14:paraId="540C9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14:paraId="20FE939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14:paraId="453749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6D67E7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14:paraId="68E97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6D1E4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14:paraId="0A6BDF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14:paraId="23543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14:paraId="09CA64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14:paraId="61D11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14:paraId="7B12D2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5）调整基金管理人、基金托管人的报酬标准和提高销售服务费，但法律法规要求调整该等报酬标准或提高销售服务费的除外；</w:t>
      </w:r>
    </w:p>
    <w:p w14:paraId="7AE2AA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14:paraId="4019E2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445B1B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14:paraId="111B12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14:paraId="6B1ECD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14:paraId="56E365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3DD2C2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14:paraId="0C331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14:paraId="518A6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14:paraId="500987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14:paraId="006993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2）在法律法规和本基金合同规定的范围内调低基金的销售服务费率或在不影响现有基金份额持有人利益的前提下变更或增加收费方式；</w:t>
      </w:r>
    </w:p>
    <w:p w14:paraId="439DE0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14:paraId="5EE990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14:paraId="707D5B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14:paraId="652E1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14:paraId="2D8FD6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7）在符合法律法规及对基金份额持有人利益无实质性不利影响的前提下，基金管理人、登记机构、销售机构调整有关基金认购、申购、赎回、转换、收益分配、非交易过户、转托管等业务的规则；</w:t>
      </w:r>
    </w:p>
    <w:p w14:paraId="06556C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8）按照法律法规不需召开基金份额持有人大会的以外的其他情形。</w:t>
      </w:r>
    </w:p>
    <w:p w14:paraId="7F0161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14:paraId="0F3224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14:paraId="0D54B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14:paraId="4F4BAA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8C38C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08199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6C02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14:paraId="6313F9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48E3F1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14:paraId="5DEC0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14:paraId="491BC8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14:paraId="48C62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14:paraId="68CDB8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2A325D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14:paraId="4DDCA5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14:paraId="4A145F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14:paraId="3D90F1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5FF3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9192C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4EAB4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14:paraId="7B96E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980C4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8FB43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14:paraId="1AE71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（2）通讯开会。通讯开会系指基金份额持有人将其对表决事项的投票以会议通知载明的形式在表决截至日以前送达至召集人指定的地址。</w:t>
      </w:r>
    </w:p>
    <w:p w14:paraId="04EA1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14:paraId="5C7A9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14:paraId="33A4F3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67118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14:paraId="78FFEF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73F74A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14:paraId="1DFB7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6FC5D1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338D05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14:paraId="0F363F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313CB8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14:paraId="50C09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29AAA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26907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1A3CC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4C72C2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63676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0E9CD1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14:paraId="77C20F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14:paraId="620173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14:paraId="16632A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C2716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中国证监会另有规定的除外）以特别决议通过方为有效。</w:t>
      </w:r>
    </w:p>
    <w:p w14:paraId="5E8F17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14:paraId="01639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0AC2BD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14:paraId="2CF19C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72A04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32185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33BF64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14:paraId="257A2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67EA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14:paraId="2EB572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463354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069DB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14:paraId="1E65D9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14:paraId="4511D8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14:paraId="3BADE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3BA63E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278DD62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14:paraId="19CD9C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4F7EB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612171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14:paraId="3CAE33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14:paraId="7C2FA4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14:paraId="292B99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3DB38A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1ED7DF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（3）本基金作为被合并方与其他基金进行合并的；</w:t>
      </w:r>
    </w:p>
    <w:p w14:paraId="2A2E1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1EF4F2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0E337A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45E218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77B2BF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76C82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3BAB7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779007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00E28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029080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004D20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3A8065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7FF7E4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6C2179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490276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w:t>
      </w:r>
    </w:p>
    <w:p w14:paraId="5F4761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14:paraId="09481D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14:paraId="36FD0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14:paraId="26683E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1F560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14:paraId="3370B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3A069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14:paraId="1F6523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0EFB4CD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14:paraId="65B864C3">
      <w:pPr>
        <w:autoSpaceDE w:val="0"/>
        <w:autoSpaceDN w:val="0"/>
        <w:adjustRightInd w:val="0"/>
        <w:snapToGrid w:val="0"/>
        <w:spacing w:line="360" w:lineRule="auto"/>
        <w:ind w:firstLine="480" w:firstLineChars="200"/>
        <w:jc w:val="left"/>
        <w:rPr>
          <w:rFonts w:ascii="宋体" w:hAnsi="宋体"/>
          <w:b/>
          <w:bCs/>
          <w:szCs w:val="24"/>
        </w:rPr>
      </w:pPr>
      <w:r>
        <w:rPr>
          <w:rFonts w:ascii="宋体" w:hAnsi="宋体"/>
          <w:b/>
          <w:bCs/>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14:paraId="19385E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14:paraId="6DD3E5A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14:paraId="79F96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14:paraId="55518A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0A82A24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628C58C">
      <w:pPr>
        <w:pStyle w:val="2"/>
        <w:snapToGrid w:val="0"/>
        <w:spacing w:before="240" w:beforeLines="0" w:after="240"/>
        <w:rPr>
          <w:rFonts w:ascii="宋体" w:hAnsi="宋体"/>
          <w:szCs w:val="30"/>
        </w:rPr>
      </w:pPr>
      <w:bookmarkStart w:id="23" w:name="_Toc214028677"/>
      <w:r>
        <w:rPr>
          <w:rFonts w:ascii="Times New Roman" w:hAnsi="Times New Roman"/>
          <w:sz w:val="30"/>
        </w:rPr>
        <w:t>二十一、托管协议的内容摘要</w:t>
      </w:r>
      <w:bookmarkEnd w:id="23"/>
    </w:p>
    <w:p w14:paraId="32E59ED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14:paraId="4FE0A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5D5201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2CDE0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AADC18E">
      <w:pPr>
        <w:autoSpaceDE w:val="0"/>
        <w:autoSpaceDN w:val="0"/>
        <w:adjustRightInd w:val="0"/>
        <w:snapToGrid w:val="0"/>
        <w:spacing w:line="360" w:lineRule="auto"/>
        <w:ind w:firstLine="480" w:firstLineChars="200"/>
        <w:jc w:val="left"/>
        <w:rPr>
          <w:rFonts w:hint="eastAsia" w:ascii="宋体" w:hAnsi="宋体" w:eastAsia="宋体"/>
          <w:szCs w:val="24"/>
          <w:lang w:eastAsia="zh-CN"/>
        </w:rPr>
      </w:pPr>
      <w:r>
        <w:rPr>
          <w:rFonts w:ascii="宋体" w:hAnsi="宋体"/>
          <w:sz w:val="24"/>
        </w:rPr>
        <w:t>法定代表人：</w:t>
      </w:r>
      <w:r>
        <w:rPr>
          <w:rFonts w:hint="eastAsia" w:ascii="宋体" w:hAnsi="宋体"/>
          <w:sz w:val="24"/>
          <w:lang w:eastAsia="zh-CN"/>
        </w:rPr>
        <w:t>袁庆伟（代任）</w:t>
      </w:r>
    </w:p>
    <w:p w14:paraId="4C9604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618045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批准设立机关：中国证监会</w:t>
      </w:r>
    </w:p>
    <w:p w14:paraId="12334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批准设立文号：证监基金字[2005]128号</w:t>
      </w:r>
    </w:p>
    <w:p w14:paraId="5A66E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3366ED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702D64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14:paraId="12AFA1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7F2D67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01E93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名称：中信银行股份有限公司</w:t>
      </w:r>
    </w:p>
    <w:p w14:paraId="4819A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住所：北京市朝阳区光华路10号院1号楼6-30层、32-42层</w:t>
      </w:r>
    </w:p>
    <w:p w14:paraId="7AC36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w:t>
      </w:r>
      <w:r>
        <w:rPr>
          <w:rFonts w:hint="eastAsia" w:ascii="宋体" w:hAnsi="宋体"/>
          <w:sz w:val="24"/>
          <w:lang w:val="en-US" w:eastAsia="zh-CN"/>
        </w:rPr>
        <w:t>方合英</w:t>
      </w:r>
    </w:p>
    <w:p w14:paraId="0456E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成立时间：1987年4月20日</w:t>
      </w:r>
    </w:p>
    <w:p w14:paraId="02E80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批准设立文号：中华人民共和国国务院办公厅国办函[1987]14号</w:t>
      </w:r>
    </w:p>
    <w:p w14:paraId="53677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基金托管业务批准文号：中国证监会证监基金字[2004]125号</w:t>
      </w:r>
    </w:p>
    <w:p w14:paraId="41F290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7ABB67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注册资本：489.35亿元人民币</w:t>
      </w:r>
    </w:p>
    <w:p w14:paraId="7B70B9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6C8E98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14:paraId="116FE35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14:paraId="393F7B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1、基金托管人对基金管理人的投资行为行使监督权</w:t>
      </w:r>
    </w:p>
    <w:p w14:paraId="320C5B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14:paraId="75638C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14:paraId="2344C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14:paraId="7FD867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（2）基金托管人根据有关法律法规的规定及基金合同的约定对下述基金投融资比例进行监督：</w:t>
      </w:r>
    </w:p>
    <w:p w14:paraId="3E0C2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1）本基金不得投资于以下金融工具：</w:t>
      </w:r>
    </w:p>
    <w:p w14:paraId="30BF34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（a）股票；</w:t>
      </w:r>
    </w:p>
    <w:p w14:paraId="4D613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（b）可转换债券、可交换债券；</w:t>
      </w:r>
    </w:p>
    <w:p w14:paraId="7BE5DB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（c）以定期存款利率为基准利率的浮动利率债券，已进入最后一个利率调整期的除外；</w:t>
      </w:r>
    </w:p>
    <w:p w14:paraId="1D0E4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（d）信用等级在AA+以下的债券与非金融企业债务融资工具；</w:t>
      </w:r>
    </w:p>
    <w:p w14:paraId="7F4C03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（e）中国证监会、中国人民银行禁止投资的其他金融工具。</w:t>
      </w:r>
    </w:p>
    <w:p w14:paraId="7E6164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14:paraId="411E3F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14:paraId="76BB0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2）组合限制</w:t>
      </w:r>
    </w:p>
    <w:p w14:paraId="5A65A1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（a）本基金投资组合的平均剩余期限在每个交易日均不得超过120天，平均剩余存续期在每个交易日均不得超过240天；</w:t>
      </w:r>
    </w:p>
    <w:p w14:paraId="1DF41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（b）本基金投资于现金、国债、中央银行票据、政策性金融债券占基金资产净值的比例合计不得低于5%，其中现金不包括结算备付金、存出保证金、应收申购款等；</w:t>
      </w:r>
    </w:p>
    <w:p w14:paraId="2D1FD4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（c）本基金投资于现金、国债、中央银行票据、政策性金融债券以及五个交易日内到期的其他金融工具占基金资产净值的比例合计不得低于10%；</w:t>
      </w:r>
    </w:p>
    <w:p w14:paraId="43FE97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14:paraId="7087B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（e）除发生巨额赎回、连续3 个交易日累计赎回20%以上或者连续5 个交易日累计赎回30%以上的情形外，本基金债券正回购的资金余额占基金资产净值的比例不得超过20%；</w:t>
      </w:r>
    </w:p>
    <w:p w14:paraId="1932EA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（f）本基金投资于同一机构发行的债券、非金融企业债务融资工具及其作为原始权益人的资产支持证券占基金资产净值的比例合计不得超过10%，国债、中央银行票据、政策性金融债券除外；</w:t>
      </w:r>
    </w:p>
    <w:p w14:paraId="20CA32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（g）本基金管理人管理的全部基金持有一家公司发行的证券，不超过该证券的10%；</w:t>
      </w:r>
    </w:p>
    <w:p w14:paraId="6CF759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2CBD9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本基金投资于同一原始权益人的各类资产支持证券的比例，不得超过基金资产净值的10%；本基金持有的全部资产支持证券，其市值不得超过基金资产净值的20%，中国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14:paraId="1452BA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j）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14:paraId="789FED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（k）本基金管理人管理的全部货币市场基金投资于同一商业银行的银行存款及其发行的同业存单与债券，不得超过该商业银行最近一个季度末净资产的10%；</w:t>
      </w:r>
    </w:p>
    <w:p w14:paraId="470CC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（l）当本基金前10 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14:paraId="244153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（m）当本基金前10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14:paraId="35DE03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14:paraId="61CDB9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（o）本基金与私募类证券资管产品及中国证监会认定的其他主体为交易对手开展逆回购交易的，可接受质押品的资质要求应当与基金合同约定的投资范围保持一致；</w:t>
      </w:r>
    </w:p>
    <w:p w14:paraId="5CD5F1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（p）本基金进入全国银行间同业市场进行债券回购的资金余额不得超过基金资产净值的40%，本基金在全国银行间同业市场的债券回购最长期限为1年，债券回购到期后不得展期；</w:t>
      </w:r>
    </w:p>
    <w:p w14:paraId="5713D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（q）本基金的基金资产总值不得超过基金资产净值的140%；</w:t>
      </w:r>
    </w:p>
    <w:p w14:paraId="5493AC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（r）法律法规、中国证监会及中国人民银行规定的其他比例限制。</w:t>
      </w:r>
    </w:p>
    <w:p w14:paraId="63AE9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FBC02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除上述第（a）、（b）、（d）、（j）、（o）项外，因证券市场波动、证券发行人合并或基金规模变动等基金管理人之外的因素致使基金投资比例不符合上述规定投资比例的，基金管理人应当在10 个交易日内进行调整，但中国证监会规定的特殊情形除外。法律法规另有规定的，从其规定。</w:t>
      </w:r>
    </w:p>
    <w:p w14:paraId="3828FD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债券与非金融企业债务融资工具的信用等级应主要参照最近一个会计年度的主体信用评级，如果对发行人同时有两家以上境内评级机构评级的，应采用孰低原则确定其评级，并结合基金管理人内部信用评级进行独立判断与认定。</w:t>
      </w:r>
    </w:p>
    <w:p w14:paraId="5CADFF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 个月内使基金的投资组合比例符合基金合同的有关约定。在上述期间内，本基金的投资范围、投资策略应当符合基金合同的约定。基金托管人对基金的投资的监督与检查自基金合同生效之日起开始。</w:t>
      </w:r>
    </w:p>
    <w:p w14:paraId="4A67FC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14:paraId="4D1412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（3）基金托管人根据有关法律法规的规定及基金合同的约定对下述基金投资禁止行为进行监督：</w:t>
      </w:r>
    </w:p>
    <w:p w14:paraId="430DFF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根据法律法规的规定及基金合同的约定，本基金禁止从事下列行为：</w:t>
      </w:r>
    </w:p>
    <w:p w14:paraId="4425C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667963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2）违反规定向他人贷款或提供担保；</w:t>
      </w:r>
    </w:p>
    <w:p w14:paraId="2056E4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1895D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14:paraId="4167E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14:paraId="110AC1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14:paraId="539E0F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14:paraId="57006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14:paraId="44532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（4）基金托管人依据有关法律法规的规定和基金合同的约定对于基金关联投资进行监督：</w:t>
      </w:r>
    </w:p>
    <w:p w14:paraId="19D09A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14:paraId="60A21B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14:paraId="6A394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14:paraId="2A234A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14:paraId="563D83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14:paraId="0C3B2C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14:paraId="1B1CF1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66AB1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（6）基金托管人根据有关法律法规的规定及基金合同的约定，对基金管理人选择存款银行进行监督：</w:t>
      </w:r>
    </w:p>
    <w:p w14:paraId="5F987D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14:paraId="329C0B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14:paraId="068AB0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14:paraId="5095F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14:paraId="3C75F0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14:paraId="26EFC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14:paraId="5CB387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2、基金托管人对基金管理人业务进行监督和核查的有关措施：</w:t>
      </w:r>
    </w:p>
    <w:p w14:paraId="062071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根据有关法律法规的规定及基金合同的约定，对各类基金份额的基金资产净值计算、每万份基金已实现收益和7日年化收益率计算、应收资金到账、基金费用开支及收入确定、基金收益分配、相关信息披露、基金宣传推介材料中登载基金业绩表现数据等进行监督和核查。</w:t>
      </w:r>
    </w:p>
    <w:p w14:paraId="5C916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14:paraId="4C14C3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14:paraId="03E7E4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（4）基金托管人发现基金管理人的投资指令违反相关法律法规规定或者违反基金合同约定的，应当拒绝执行，立即通知基金管理人。</w:t>
      </w:r>
    </w:p>
    <w:p w14:paraId="04D0FB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14:paraId="1636F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14:paraId="7C355A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（7）基金托管人发现基金管理人有重大违规行为，应立即报告中国证监会，同时通知基金管理人限期纠正。</w:t>
      </w:r>
    </w:p>
    <w:p w14:paraId="75C003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14:paraId="5D64F21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14:paraId="3EFD1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等投资所需账户、复核基金管理人计算的各类基金份额的基金资产净值、每万份基金已实现收益和7日年化收益率、根据基金管理人指令办理清算交收、相关信息披露和监督基金投资运作等行为。</w:t>
      </w:r>
    </w:p>
    <w:p w14:paraId="26B87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14:paraId="5BFBE1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14:paraId="23EB3D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14:paraId="3435ED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5A5FB41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14:paraId="5D8FB9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5B77D8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4AB246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14:paraId="3EB8AE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w:t>
      </w:r>
    </w:p>
    <w:p w14:paraId="31ABE4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14:paraId="6B8E13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5F9E0F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（6）除依据法律法规和基金合同的规定外，基金托管人不得委托第三人托管基金资产。</w:t>
      </w:r>
    </w:p>
    <w:p w14:paraId="3C68C5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2、募集资金的验资</w:t>
      </w:r>
    </w:p>
    <w:p w14:paraId="5A2627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14:paraId="51B80E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14:paraId="3BB57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14:paraId="2E4D1E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3、基金的银行账户的开立和管理</w:t>
      </w:r>
    </w:p>
    <w:p w14:paraId="3017FA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14:paraId="521C8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14:paraId="362643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（3）基金银行账户的开立和管理应符合有关法律法规以及银行业监督管理机构的有关规定。</w:t>
      </w:r>
    </w:p>
    <w:p w14:paraId="6F995D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4、基金证券账户与证券交易资金账户的开设和管理：</w:t>
      </w:r>
    </w:p>
    <w:p w14:paraId="059077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14:paraId="3CD9E2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14:paraId="617ED7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14:paraId="74E371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5、债券托管账户的开立和管理</w:t>
      </w:r>
    </w:p>
    <w:p w14:paraId="11D79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14:paraId="5FB1E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14:paraId="309104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6、其他账户的开设和管理</w:t>
      </w:r>
    </w:p>
    <w:p w14:paraId="1F9E0D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14:paraId="16277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7、基金财产投资的有关实物证券、银行定期存款存单等有价凭证的保管</w:t>
      </w:r>
    </w:p>
    <w:p w14:paraId="0F28CC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14:paraId="0C60C2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125A91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14:paraId="64F0EF0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（五）基金资产净值计算与复核</w:t>
      </w:r>
    </w:p>
    <w:p w14:paraId="54E6D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价值。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14:paraId="7CAEA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每万份基金已实现收益和7日年化收益率由基金管理人负责计算，基金托管人复核。基金管理人应于每个工作日交易结束后计算当日的各类基金份额的基金资产净值、每万份基金已实现收益和7日年化收益率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14:paraId="6BC14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基金法》，基金管理人计算并公告各类基金份额的基金资产净值、每万份基金已实现收益和7日年化收益率，基金托管人复核、审查基金管理人计算的各类基金份额的基金资产净值、每万份基金已实现收益和7日年化收益率。因此，本基金的会计责任方是基金管理人，就与本基金有关的会计问题，如经相关各方在平等基础上充分讨论后，仍无法达成一致的意见，按照基金管理人对各类基金份额的基金资产净值、每万份基金已实现收益和7日年化收益率的计算结果对外予以公布。</w:t>
      </w:r>
    </w:p>
    <w:p w14:paraId="7FD52C2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14:paraId="038CFB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14:paraId="00335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14:paraId="089580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14:paraId="59ECD9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14:paraId="2135179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14:paraId="4975479D">
      <w:pPr>
        <w:autoSpaceDE w:val="0"/>
        <w:autoSpaceDN w:val="0"/>
        <w:adjustRightInd w:val="0"/>
        <w:snapToGrid w:val="0"/>
        <w:spacing w:line="360" w:lineRule="auto"/>
        <w:ind w:firstLine="480" w:firstLineChars="200"/>
        <w:jc w:val="left"/>
        <w:rPr>
          <w:rFonts w:ascii="宋体" w:hAnsi="宋体"/>
          <w:b/>
          <w:bCs/>
          <w:szCs w:val="24"/>
        </w:rPr>
      </w:pPr>
      <w:r>
        <w:rPr>
          <w:rFonts w:ascii="宋体" w:hAnsi="宋体"/>
          <w:b/>
          <w:bCs/>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14:paraId="3414B1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14:paraId="7EC15CF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14:paraId="1A2C65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559107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14:paraId="3CACF8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14:paraId="7C6394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发生以下情况，本托管协议终止：</w:t>
      </w:r>
    </w:p>
    <w:p w14:paraId="534F9F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311231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607FD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432748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14:paraId="0852E71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2C74784">
      <w:pPr>
        <w:pStyle w:val="2"/>
        <w:snapToGrid w:val="0"/>
        <w:spacing w:before="240" w:beforeLines="0" w:after="240"/>
        <w:rPr>
          <w:rFonts w:ascii="宋体" w:hAnsi="宋体"/>
          <w:szCs w:val="30"/>
        </w:rPr>
      </w:pPr>
      <w:bookmarkStart w:id="24" w:name="_Toc214028678"/>
      <w:r>
        <w:rPr>
          <w:rFonts w:ascii="Times New Roman" w:hAnsi="Times New Roman"/>
          <w:sz w:val="30"/>
        </w:rPr>
        <w:t>二十二、对基金份额持有人的服务</w:t>
      </w:r>
      <w:bookmarkEnd w:id="24"/>
    </w:p>
    <w:p w14:paraId="6D7C0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4368B45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14:paraId="77D6B9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每次交易结束后，可在T+2个工作日后通过销售机构的网点查询和打印确认单。</w:t>
      </w:r>
    </w:p>
    <w:p w14:paraId="46D76B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14:paraId="36E4BE0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（二）信息咨询、查询服务</w:t>
      </w:r>
    </w:p>
    <w:p w14:paraId="28C4B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投资人如果想查询申购和赎回等交易情况、基金账户余额、基金产品与服务等信息，请拨打本基金管理人客户服务电话（400-700-5000，021-61055000）或登录本基金管理人网站（www.fund001.com）进行咨询、查询。</w:t>
      </w:r>
    </w:p>
    <w:p w14:paraId="64F92F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6CCEC3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66C7A39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（三）基金转换业务</w:t>
      </w:r>
    </w:p>
    <w:p w14:paraId="34A206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本基金已开通基金转换业务，具体实施方法请参见相关公告。</w:t>
      </w:r>
    </w:p>
    <w:p w14:paraId="62236D1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（四）定期定额投资计划</w:t>
      </w:r>
    </w:p>
    <w:p w14:paraId="3E4281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14:paraId="24255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32E9E8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39BA36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4AF718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57C4F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51F136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（五）如本招募说明书存在任何您/贵机构无法理解的内容，请通过上述方式联系基金管理人。请确保投资前，您/贵机构已经全面理解了本招募说明书。</w:t>
      </w:r>
    </w:p>
    <w:p w14:paraId="55BA714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922226A">
      <w:pPr>
        <w:pStyle w:val="2"/>
        <w:snapToGrid w:val="0"/>
        <w:spacing w:before="240" w:beforeLines="0" w:after="240"/>
        <w:rPr>
          <w:rFonts w:ascii="宋体" w:hAnsi="宋体"/>
          <w:szCs w:val="30"/>
        </w:rPr>
      </w:pPr>
      <w:bookmarkStart w:id="25" w:name="_Toc214028679"/>
      <w:r>
        <w:rPr>
          <w:rFonts w:ascii="Times New Roman" w:hAnsi="Times New Roman"/>
          <w:sz w:val="30"/>
        </w:rPr>
        <w:t>二十三、其他应披露事项</w:t>
      </w:r>
      <w:bookmarkEnd w:id="25"/>
    </w:p>
    <w:p w14:paraId="388B15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14:paraId="504AF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363DE69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ABF1A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6D282E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612D408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24597FF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61E407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A8AD9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D43F9B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4475C0B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2C3ECE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14:paraId="6F5BE81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F672D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B9C241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016839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77935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14:paraId="5A4017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F6A07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15460B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7657DC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093745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14:paraId="396857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C892C1">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28A56BB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交银施罗德天利宝货币市场基金（E类份额）基金产品资料概要更新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790084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9B883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14:paraId="3C6840D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EC8BD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12CD4AF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14:paraId="564451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37BF01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14:paraId="50712D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6B1DE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269EBA4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78F9432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5C8B87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14:paraId="54EEE5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42CB9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A47D80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交银施罗德基金管理有限公司关于增加中国光大银行股份有限公司为旗下基金的销售机构的公告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E830D5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0D6B5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14:paraId="0C05815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E3326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5FCE092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567A9F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354294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0983986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1C8911">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51E8D50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5F385B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CBCE36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6CADFD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A4C3B7">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388E603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交银施罗德基金管理有限公司关于交银施罗德天利宝货币市场基金恢复非直销销售机构大额申购（转换转入、定期定额投资）业务的公告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26F00E7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158973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2025-01-22</w:t>
            </w:r>
          </w:p>
        </w:tc>
      </w:tr>
      <w:tr w14:paraId="4BB552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2BF3C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0AC8B76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交银施罗德基金管理有限公司关于交银施罗德天利宝货币市场基金于2025年“春节”假期前暂停非直销销售机构大额申购（转换转入、定期定额投资）业务的公告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58F46D0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C51C5C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14:paraId="2A79B6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0D609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65B756C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410F358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541407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14:paraId="750DA96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3CBA3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2124B94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交银施罗德基金管理有限公司关于增加蚂蚁（杭州）基金销售有限公司为旗下基金的销售机构的公告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706691B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70207A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14:paraId="737203E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AF518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77AB057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交银施罗德基金管理有限公司关于增加中国农业银行股份有限公司为旗下基金的销售机构的公告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4EA75DB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E731D6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2025-03-20</w:t>
            </w:r>
          </w:p>
        </w:tc>
      </w:tr>
      <w:tr w14:paraId="6039E17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13260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53B5CAC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交银施罗德基金管理有限公司关于增加蚂蚁（杭州）基金销售有限公司为旗下基金的销售机构的公告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78CF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8F5475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649B7B1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B93D671">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0E72D55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41495ED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BAF49F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192933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79603FE">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78313D5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交银施罗德基金管理有限公司关于交银施罗德天利宝货币市场基金调整非直销销售机构大额申购（转换转入、定期定额投资）业务限额的公告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05E4556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75F27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2025-03-29</w:t>
            </w:r>
          </w:p>
        </w:tc>
      </w:tr>
      <w:tr w14:paraId="04A43E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D1D3E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37CB50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14:paraId="5AB3E8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DDA71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14:paraId="656797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0B9A46">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746A74E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交银施罗德基金管理有限公司关于增加江苏银行股份有限公司为旗下基金的销售机构的公告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418181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CD3A7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2025-04-03</w:t>
            </w:r>
          </w:p>
        </w:tc>
      </w:tr>
      <w:tr w14:paraId="14177D7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0C0ED6">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403E4F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6974D5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9A35A4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2025-04-03</w:t>
            </w:r>
          </w:p>
        </w:tc>
      </w:tr>
      <w:tr w14:paraId="376F677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C40B7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52BA7AD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422A549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91E67A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2025-04-03</w:t>
            </w:r>
          </w:p>
        </w:tc>
      </w:tr>
      <w:tr w14:paraId="5C0608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03F3D2">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1A2725E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交银施罗德基金管理有限公司关于交银施罗德天利宝货币市场基金调整非直销销售机构大额申购（转换转入、定期定额投资）业务限额的公告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22223C1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9328C9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2025-04-17</w:t>
            </w:r>
          </w:p>
        </w:tc>
      </w:tr>
      <w:tr w14:paraId="69A3A20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185096">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779D102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1603D7D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6C0F6B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14:paraId="39D365E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5D73EE">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5FD0251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66226C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7AFA14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2025-04-22</w:t>
            </w:r>
          </w:p>
        </w:tc>
      </w:tr>
      <w:tr w14:paraId="5B5800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64733F">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3D2F0C5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13E792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862BF5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2025-05-16</w:t>
            </w:r>
          </w:p>
        </w:tc>
      </w:tr>
      <w:tr w14:paraId="335146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78084D">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262F4E3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交银施罗德基金管理有限公司关于交银施罗德天利宝货币市场基金C在销售机构业务开展公告</w:t>
            </w:r>
          </w:p>
        </w:tc>
        <w:tc>
          <w:tcPr>
            <w:tcW w:w="750" w:type="pct"/>
            <w:tcBorders>
              <w:top w:val="single" w:color="auto" w:sz="4" w:space="0"/>
              <w:left w:val="single" w:color="auto" w:sz="4" w:space="0"/>
              <w:bottom w:val="single" w:color="auto" w:sz="4" w:space="0"/>
              <w:right w:val="single" w:color="auto" w:sz="4" w:space="0"/>
            </w:tcBorders>
            <w:vAlign w:val="center"/>
          </w:tcPr>
          <w:p w14:paraId="4FA70D8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1D6DDF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2025-05-23</w:t>
            </w:r>
          </w:p>
        </w:tc>
      </w:tr>
      <w:tr w14:paraId="07877B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14125B">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5B1FA9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4E4E9A2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BE5021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14:paraId="384A1FD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F3F521">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7370B22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6554B04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C748C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14:paraId="7B8020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D8AB1B">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5AC84E4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133870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D11808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14:paraId="1AC37D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08579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7480E75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721A074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24E369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14:paraId="1BA469D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088D0A">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3004AC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交银施罗德天利宝货币市场基金2025年中期报告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5E0EB7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3A5C5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14:paraId="068558C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7576A6">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14:paraId="47874FB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518C9C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459BB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14:paraId="52A6371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9E4296">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14:paraId="6717AF3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3B9E26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BDFF07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2025-09-05</w:t>
            </w:r>
          </w:p>
        </w:tc>
      </w:tr>
      <w:tr w14:paraId="17041B2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56C72B">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14:paraId="6DCD7D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交银施罗德基金管理有限公司关于交银施罗德天利宝货币市场基金调整非直销销售机构大额申购（转换转入、定期定额投资）业务限额的公告</w:t>
            </w:r>
          </w:p>
        </w:tc>
        <w:tc>
          <w:tcPr>
            <w:tcW w:w="750" w:type="pct"/>
            <w:tcBorders>
              <w:top w:val="single" w:color="auto" w:sz="4" w:space="0"/>
              <w:left w:val="single" w:color="auto" w:sz="4" w:space="0"/>
              <w:bottom w:val="single" w:color="auto" w:sz="4" w:space="0"/>
              <w:right w:val="single" w:color="auto" w:sz="4" w:space="0"/>
            </w:tcBorders>
            <w:vAlign w:val="center"/>
          </w:tcPr>
          <w:p w14:paraId="1E4FBC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F457BA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2025-09-10</w:t>
            </w:r>
          </w:p>
        </w:tc>
      </w:tr>
    </w:tbl>
    <w:p w14:paraId="0ABA01A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9BF435E">
      <w:pPr>
        <w:pStyle w:val="2"/>
        <w:snapToGrid w:val="0"/>
        <w:spacing w:before="240" w:beforeLines="0" w:after="240"/>
        <w:rPr>
          <w:rFonts w:ascii="宋体" w:hAnsi="宋体"/>
          <w:szCs w:val="30"/>
        </w:rPr>
      </w:pPr>
      <w:bookmarkStart w:id="26" w:name="_Toc214028680"/>
      <w:r>
        <w:rPr>
          <w:rFonts w:ascii="Times New Roman" w:hAnsi="Times New Roman"/>
          <w:sz w:val="30"/>
        </w:rPr>
        <w:t>二十四、招募说明书的存放及查阅方式</w:t>
      </w:r>
      <w:bookmarkEnd w:id="26"/>
    </w:p>
    <w:p w14:paraId="7FD13D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0C393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2ED26E5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B8651B3">
      <w:pPr>
        <w:pStyle w:val="2"/>
        <w:snapToGrid w:val="0"/>
        <w:spacing w:before="240" w:beforeLines="0" w:after="240"/>
        <w:rPr>
          <w:rFonts w:ascii="宋体" w:hAnsi="宋体"/>
          <w:szCs w:val="30"/>
        </w:rPr>
      </w:pPr>
      <w:bookmarkStart w:id="27" w:name="_Toc214028681"/>
      <w:r>
        <w:rPr>
          <w:rFonts w:ascii="Times New Roman" w:hAnsi="Times New Roman"/>
          <w:sz w:val="30"/>
        </w:rPr>
        <w:t>二十五、备查文件</w:t>
      </w:r>
      <w:bookmarkEnd w:id="27"/>
    </w:p>
    <w:p w14:paraId="1DF91F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24EDD4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（一）中国证监会准予交银施罗德天利宝货币市场基金募集注册的文件</w:t>
      </w:r>
    </w:p>
    <w:p w14:paraId="796044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（二）《交银施罗德天利宝货币市场基金基金合同》</w:t>
      </w:r>
    </w:p>
    <w:p w14:paraId="4C4BFB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（三）《交银施罗德天利宝货币市场基金托管协议》</w:t>
      </w:r>
    </w:p>
    <w:p w14:paraId="1B8C04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232225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777DBA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（六）关于申请募集注册交银施罗德天利宝货币市场基金的法律意见书</w:t>
      </w:r>
    </w:p>
    <w:sectPr>
      <w:footerReference r:id="rId9"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45DBA">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21C5259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3EA7A">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E9A9">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14:paraId="414B8A7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139</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E48E">
    <w:pPr>
      <w:pStyle w:val="9"/>
      <w:jc w:val="right"/>
    </w:pPr>
    <w:r>
      <w:drawing>
        <wp:anchor distT="0" distB="0" distL="114300" distR="114300" simplePos="0" relativeHeight="251659264"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14:paraId="0993F5B6">
    <w:pPr>
      <w:pStyle w:val="9"/>
      <w:jc w:val="right"/>
      <w:rPr>
        <w:rFonts w:ascii="宋体" w:hAnsi="宋体"/>
      </w:rPr>
    </w:pPr>
    <w:r>
      <w:rPr>
        <w:rFonts w:hint="eastAsia" w:ascii="宋体" w:hAnsi="宋体"/>
      </w:rPr>
      <w:t>交银施罗德天利宝货币市场基金招募说明书更新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763B9">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61BB3">
    <w:pPr>
      <w:pStyle w:val="10"/>
      <w:jc w:val="right"/>
    </w:pPr>
  </w:p>
  <w:p w14:paraId="683AA9C0">
    <w:pPr>
      <w:pStyle w:val="10"/>
      <w:jc w:val="right"/>
    </w:pPr>
  </w:p>
  <w:p w14:paraId="7D98C12F">
    <w:pPr>
      <w:pStyle w:val="9"/>
      <w:jc w:val="right"/>
    </w:pPr>
  </w:p>
  <w:p w14:paraId="5BB7E107">
    <w:pPr>
      <w:pStyle w:val="9"/>
      <w:jc w:val="right"/>
    </w:pPr>
  </w:p>
  <w:p w14:paraId="014B25C3">
    <w:pPr>
      <w:pStyle w:val="9"/>
      <w:jc w:val="right"/>
      <w:rPr>
        <w:rFonts w:ascii="宋体" w:hAnsi="宋体"/>
      </w:rPr>
    </w:pPr>
    <w:r>
      <w:rPr>
        <w:rFonts w:hint="eastAsia" w:ascii="宋体" w:hAnsi="宋体"/>
      </w:rPr>
      <w:t>交银施罗德天利宝货币市场基金招募说明书更新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B54B1">
    <w:pPr>
      <w:pStyle w:val="9"/>
      <w:jc w:val="right"/>
    </w:pPr>
  </w:p>
  <w:p w14:paraId="09DB5788">
    <w:pPr>
      <w:pStyle w:val="9"/>
      <w:jc w:val="right"/>
    </w:pPr>
  </w:p>
  <w:p w14:paraId="5DAE214F">
    <w:pPr>
      <w:pStyle w:val="9"/>
      <w:jc w:val="right"/>
    </w:pPr>
  </w:p>
  <w:p w14:paraId="39DA8F90">
    <w:pPr>
      <w:pStyle w:val="9"/>
      <w:jc w:val="right"/>
    </w:pPr>
  </w:p>
  <w:p w14:paraId="09BEA51D">
    <w:pPr>
      <w:pStyle w:val="9"/>
      <w:jc w:val="right"/>
      <w:rPr>
        <w:rFonts w:ascii="宋体" w:hAnsi="宋体"/>
      </w:rPr>
    </w:pPr>
    <w:r>
      <w:rPr>
        <w:rFonts w:hint="eastAsia" w:ascii="宋体" w:hAnsi="宋体"/>
      </w:rPr>
      <w:t>交银施罗德天利宝货币市场基金招募说明书更新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A5B28"/>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0C03"/>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10C4"/>
    <w:rsid w:val="00ED22A8"/>
    <w:rsid w:val="00ED2479"/>
    <w:rsid w:val="00ED4EB4"/>
    <w:rsid w:val="00ED5D09"/>
    <w:rsid w:val="00ED7107"/>
    <w:rsid w:val="00EE2221"/>
    <w:rsid w:val="00EE276F"/>
    <w:rsid w:val="00EE2982"/>
    <w:rsid w:val="00EE634F"/>
    <w:rsid w:val="00EF2623"/>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3F64C3C"/>
    <w:rsid w:val="08A65A6C"/>
    <w:rsid w:val="0A0256FE"/>
    <w:rsid w:val="0AC55A42"/>
    <w:rsid w:val="1595625D"/>
    <w:rsid w:val="17AE3CAA"/>
    <w:rsid w:val="1A113708"/>
    <w:rsid w:val="1C215F97"/>
    <w:rsid w:val="2B0E5044"/>
    <w:rsid w:val="33083831"/>
    <w:rsid w:val="33BB0BD2"/>
    <w:rsid w:val="4D8212ED"/>
    <w:rsid w:val="5C754675"/>
    <w:rsid w:val="5F4D1672"/>
    <w:rsid w:val="5FB22CA7"/>
    <w:rsid w:val="782B5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141</Pages>
  <Words>14409</Words>
  <Characters>82136</Characters>
  <Lines>684</Lines>
  <Paragraphs>192</Paragraphs>
  <TotalTime>7</TotalTime>
  <ScaleCrop>false</ScaleCrop>
  <LinksUpToDate>false</LinksUpToDate>
  <CharactersWithSpaces>96353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2025-11-14T08:03:00Z</dcterms:created>
  <dc:creator>系统用户</dc:creator>
  <cp:lastModifiedBy>陈尚清</cp:lastModifiedBy>
  <cp:lastPrinted>2013-02-18T03:10:00Z</cp:lastPrinted>
  <dcterms:modified xsi:type="dcterms:W3CDTF">2026-09-01T02:21:32Z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24A02D14DF5D4F8E89395EBFE1788CBF_12</vt:lpwstr>
  </property>
</Properties>
</file>