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8F5FAF">
      <w:pPr>
        <w:jc w:val="center"/>
        <w:rPr>
          <w:rFonts w:ascii="黑体" w:hAnsi="黑体" w:eastAsia="黑体"/>
          <w:b/>
          <w:sz w:val="36"/>
        </w:rPr>
      </w:pPr>
      <w:bookmarkStart w:id="0" w:name="_GoBack"/>
      <w:bookmarkEnd w:id="0"/>
      <w:r>
        <w:rPr>
          <w:rFonts w:hint="eastAsia" w:ascii="黑体" w:hAnsi="黑体" w:eastAsia="黑体"/>
          <w:b/>
          <w:sz w:val="36"/>
        </w:rPr>
        <w:t>交银施罗德天利宝货币市场基金（E类份额）</w:t>
      </w:r>
    </w:p>
    <w:p w14:paraId="524EC762">
      <w:pPr>
        <w:jc w:val="center"/>
        <w:rPr>
          <w:rFonts w:ascii="黑体" w:hAnsi="黑体" w:eastAsia="黑体"/>
          <w:b/>
          <w:sz w:val="36"/>
        </w:rPr>
      </w:pPr>
      <w:r>
        <w:rPr>
          <w:rFonts w:hint="eastAsia" w:ascii="黑体" w:hAnsi="黑体" w:eastAsia="黑体"/>
          <w:b/>
          <w:sz w:val="36"/>
        </w:rPr>
        <w:t>基金产品资料概要更新</w:t>
      </w:r>
    </w:p>
    <w:p w14:paraId="72CBDDEC">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w:t>
      </w:r>
      <w:r>
        <w:rPr>
          <w:rFonts w:hint="eastAsia" w:ascii="仿宋_GB2312" w:hAnsi="宋体" w:eastAsia="仿宋_GB2312" w:cs="宋体"/>
          <w:kern w:val="0"/>
          <w:szCs w:val="21"/>
          <w:lang w:val="en-US" w:eastAsia="zh-CN"/>
        </w:rPr>
        <w:t>6</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09</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01</w:t>
      </w:r>
    </w:p>
    <w:p w14:paraId="5D6F598A">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w:t>
      </w:r>
      <w:r>
        <w:rPr>
          <w:rFonts w:hint="eastAsia" w:ascii="Times New Roman" w:hAnsi="Times New Roman" w:cs="Times New Roman"/>
          <w:lang w:val="en-US" w:eastAsia="zh-CN"/>
        </w:rPr>
        <w:t>6</w:t>
      </w:r>
      <w:r>
        <w:rPr>
          <w:rFonts w:ascii="Times New Roman" w:hAnsi="Times New Roman" w:cs="Times New Roman"/>
        </w:rPr>
        <w:t>-</w:t>
      </w:r>
      <w:r>
        <w:rPr>
          <w:rFonts w:hint="eastAsia" w:ascii="Times New Roman" w:hAnsi="Times New Roman" w:cs="Times New Roman"/>
          <w:lang w:val="en-US" w:eastAsia="zh-CN"/>
        </w:rPr>
        <w:t>09</w:t>
      </w:r>
      <w:r>
        <w:rPr>
          <w:rFonts w:ascii="Times New Roman" w:hAnsi="Times New Roman" w:cs="Times New Roman"/>
        </w:rPr>
        <w:t>-</w:t>
      </w:r>
      <w:r>
        <w:rPr>
          <w:rFonts w:hint="eastAsia" w:ascii="Times New Roman" w:hAnsi="Times New Roman" w:cs="Times New Roman"/>
          <w:lang w:val="en-US" w:eastAsia="zh-CN"/>
        </w:rPr>
        <w:t>02</w:t>
      </w:r>
      <w:r>
        <w:rPr>
          <w:rFonts w:hint="eastAsia" w:ascii="方正仿宋简体" w:hAnsi="方正仿宋简体" w:cs="方正仿宋简体"/>
          <w:b/>
          <w:iCs/>
          <w:szCs w:val="21"/>
        </w:rPr>
        <w:t xml:space="preserve"> </w:t>
      </w:r>
    </w:p>
    <w:p w14:paraId="6B4DE7B3">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6EF038D1">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75454EF0">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6CBDD2C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114B4473">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18AFE307">
            <w:pPr>
              <w:rPr>
                <w:rFonts w:ascii="仿宋_GB2312" w:eastAsia="仿宋_GB2312"/>
                <w:szCs w:val="21"/>
              </w:rPr>
            </w:pPr>
            <w:r>
              <w:rPr>
                <w:rFonts w:hint="eastAsia" w:ascii="仿宋_GB2312" w:eastAsia="仿宋_GB2312"/>
                <w:szCs w:val="21"/>
              </w:rPr>
              <w:t>交银天利宝货币E</w:t>
            </w:r>
          </w:p>
        </w:tc>
        <w:tc>
          <w:tcPr>
            <w:tcW w:w="3649" w:type="dxa"/>
            <w:vAlign w:val="center"/>
          </w:tcPr>
          <w:p w14:paraId="5B66DBA2">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1907E216">
            <w:pPr>
              <w:rPr>
                <w:rFonts w:ascii="仿宋_GB2312" w:eastAsia="仿宋_GB2312"/>
                <w:szCs w:val="21"/>
              </w:rPr>
            </w:pPr>
            <w:r>
              <w:rPr>
                <w:rFonts w:hint="eastAsia" w:ascii="仿宋_GB2312" w:eastAsia="仿宋_GB2312"/>
                <w:szCs w:val="21"/>
              </w:rPr>
              <w:t>002890</w:t>
            </w:r>
          </w:p>
        </w:tc>
      </w:tr>
      <w:tr w14:paraId="002DFEA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4601F08E">
            <w:pPr>
              <w:rPr>
                <w:rFonts w:ascii="仿宋_GB2312" w:eastAsia="仿宋_GB2312"/>
                <w:szCs w:val="21"/>
              </w:rPr>
            </w:pPr>
            <w:r>
              <w:rPr>
                <w:rFonts w:hint="eastAsia" w:ascii="仿宋_GB2312" w:eastAsia="仿宋_GB2312"/>
                <w:szCs w:val="21"/>
              </w:rPr>
              <w:t>基金管理人</w:t>
            </w:r>
          </w:p>
        </w:tc>
        <w:tc>
          <w:tcPr>
            <w:tcW w:w="1601" w:type="dxa"/>
            <w:vAlign w:val="center"/>
          </w:tcPr>
          <w:p w14:paraId="07B73223">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4470BE5A">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4624FC42">
            <w:pPr>
              <w:rPr>
                <w:rFonts w:ascii="仿宋_GB2312" w:eastAsia="仿宋_GB2312"/>
                <w:szCs w:val="21"/>
              </w:rPr>
            </w:pPr>
            <w:r>
              <w:rPr>
                <w:rFonts w:hint="eastAsia" w:ascii="仿宋_GB2312" w:eastAsia="仿宋_GB2312"/>
                <w:szCs w:val="21"/>
              </w:rPr>
              <w:t>中信银行股份有限公司</w:t>
            </w:r>
          </w:p>
        </w:tc>
      </w:tr>
      <w:tr w14:paraId="1D89975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53E73281">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7D247CE6">
            <w:pPr>
              <w:rPr>
                <w:rFonts w:ascii="仿宋_GB2312" w:eastAsia="仿宋_GB2312"/>
                <w:szCs w:val="21"/>
              </w:rPr>
            </w:pPr>
            <w:r>
              <w:rPr>
                <w:rFonts w:hint="eastAsia" w:ascii="仿宋_GB2312" w:eastAsia="仿宋_GB2312"/>
                <w:szCs w:val="21"/>
              </w:rPr>
              <w:t>2016-10-19</w:t>
            </w:r>
          </w:p>
        </w:tc>
      </w:tr>
      <w:tr w14:paraId="48649AD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7A65A841">
            <w:pPr>
              <w:rPr>
                <w:rFonts w:ascii="仿宋_GB2312" w:eastAsia="仿宋_GB2312"/>
                <w:szCs w:val="21"/>
              </w:rPr>
            </w:pPr>
            <w:r>
              <w:rPr>
                <w:rFonts w:hint="eastAsia" w:ascii="仿宋_GB2312" w:eastAsia="仿宋_GB2312"/>
                <w:szCs w:val="21"/>
              </w:rPr>
              <w:t>基金类型</w:t>
            </w:r>
          </w:p>
        </w:tc>
        <w:tc>
          <w:tcPr>
            <w:tcW w:w="1601" w:type="dxa"/>
            <w:vAlign w:val="center"/>
          </w:tcPr>
          <w:p w14:paraId="04C38429">
            <w:pPr>
              <w:rPr>
                <w:rFonts w:ascii="仿宋_GB2312" w:eastAsia="仿宋_GB2312"/>
                <w:szCs w:val="21"/>
              </w:rPr>
            </w:pPr>
            <w:r>
              <w:rPr>
                <w:rFonts w:hint="eastAsia" w:ascii="仿宋_GB2312" w:eastAsia="仿宋_GB2312"/>
                <w:szCs w:val="21"/>
              </w:rPr>
              <w:t>货币市场基金</w:t>
            </w:r>
          </w:p>
        </w:tc>
        <w:tc>
          <w:tcPr>
            <w:tcW w:w="3649" w:type="dxa"/>
            <w:vAlign w:val="center"/>
          </w:tcPr>
          <w:p w14:paraId="2F6BD298">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077BC92E">
            <w:pPr>
              <w:rPr>
                <w:rFonts w:ascii="仿宋_GB2312" w:eastAsia="仿宋_GB2312"/>
                <w:szCs w:val="21"/>
              </w:rPr>
            </w:pPr>
            <w:r>
              <w:rPr>
                <w:rFonts w:hint="eastAsia" w:ascii="仿宋_GB2312" w:eastAsia="仿宋_GB2312"/>
                <w:szCs w:val="21"/>
              </w:rPr>
              <w:t>人民币</w:t>
            </w:r>
          </w:p>
        </w:tc>
      </w:tr>
      <w:tr w14:paraId="7EAAC15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382F4E79">
            <w:pPr>
              <w:rPr>
                <w:rFonts w:ascii="仿宋_GB2312" w:eastAsia="仿宋_GB2312"/>
                <w:szCs w:val="21"/>
              </w:rPr>
            </w:pPr>
            <w:r>
              <w:rPr>
                <w:rFonts w:hint="eastAsia" w:ascii="仿宋_GB2312" w:eastAsia="仿宋_GB2312"/>
                <w:szCs w:val="21"/>
              </w:rPr>
              <w:t>运作方式</w:t>
            </w:r>
          </w:p>
        </w:tc>
        <w:tc>
          <w:tcPr>
            <w:tcW w:w="1601" w:type="dxa"/>
            <w:vAlign w:val="center"/>
          </w:tcPr>
          <w:p w14:paraId="7561E3EB">
            <w:pPr>
              <w:rPr>
                <w:rFonts w:ascii="仿宋_GB2312" w:eastAsia="仿宋_GB2312"/>
                <w:szCs w:val="21"/>
              </w:rPr>
            </w:pPr>
            <w:r>
              <w:rPr>
                <w:rFonts w:hint="eastAsia" w:ascii="仿宋_GB2312" w:eastAsia="仿宋_GB2312"/>
                <w:szCs w:val="21"/>
              </w:rPr>
              <w:t>普通开放式</w:t>
            </w:r>
          </w:p>
        </w:tc>
        <w:tc>
          <w:tcPr>
            <w:tcW w:w="3649" w:type="dxa"/>
            <w:vAlign w:val="center"/>
          </w:tcPr>
          <w:p w14:paraId="1EDD75C2">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054F0C9A">
            <w:pPr>
              <w:rPr>
                <w:rFonts w:ascii="仿宋_GB2312" w:eastAsia="仿宋_GB2312"/>
                <w:szCs w:val="21"/>
              </w:rPr>
            </w:pPr>
            <w:r>
              <w:rPr>
                <w:rFonts w:hint="eastAsia" w:ascii="仿宋_GB2312" w:eastAsia="仿宋_GB2312"/>
                <w:szCs w:val="21"/>
              </w:rPr>
              <w:t>每个开放日</w:t>
            </w:r>
          </w:p>
        </w:tc>
      </w:tr>
      <w:tr w14:paraId="30A2EF0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6A229009">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44C5B970">
            <w:pPr>
              <w:jc w:val="left"/>
              <w:rPr>
                <w:rFonts w:ascii="仿宋_GB2312" w:eastAsia="仿宋_GB2312"/>
                <w:szCs w:val="21"/>
              </w:rPr>
            </w:pPr>
            <w:r>
              <w:rPr>
                <w:rFonts w:hint="eastAsia" w:ascii="仿宋_GB2312" w:eastAsia="仿宋_GB2312"/>
                <w:szCs w:val="21"/>
              </w:rPr>
              <w:t>黄莹洁</w:t>
            </w:r>
          </w:p>
        </w:tc>
        <w:tc>
          <w:tcPr>
            <w:tcW w:w="3000" w:type="dxa"/>
          </w:tcPr>
          <w:p w14:paraId="57105216">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1BE3B5A5">
            <w:pPr>
              <w:jc w:val="left"/>
              <w:rPr>
                <w:rFonts w:ascii="仿宋_GB2312" w:eastAsia="仿宋_GB2312"/>
                <w:szCs w:val="21"/>
              </w:rPr>
            </w:pPr>
            <w:r>
              <w:rPr>
                <w:rFonts w:hint="eastAsia" w:ascii="仿宋_GB2312" w:eastAsia="仿宋_GB2312"/>
                <w:szCs w:val="21"/>
              </w:rPr>
              <w:t>2016-10-19</w:t>
            </w:r>
          </w:p>
        </w:tc>
      </w:tr>
      <w:tr w14:paraId="54EC133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3B7D7A5D">
            <w:pPr>
              <w:jc w:val="left"/>
              <w:rPr>
                <w:rFonts w:ascii="仿宋_GB2312" w:eastAsia="仿宋_GB2312"/>
                <w:szCs w:val="21"/>
              </w:rPr>
            </w:pPr>
          </w:p>
        </w:tc>
        <w:tc>
          <w:tcPr>
            <w:tcW w:w="1601" w:type="dxa"/>
            <w:vMerge w:val="continue"/>
          </w:tcPr>
          <w:p w14:paraId="74C4849B">
            <w:pPr>
              <w:jc w:val="left"/>
              <w:rPr>
                <w:rFonts w:ascii="仿宋_GB2312" w:eastAsia="仿宋_GB2312"/>
                <w:szCs w:val="21"/>
              </w:rPr>
            </w:pPr>
          </w:p>
        </w:tc>
        <w:tc>
          <w:tcPr>
            <w:tcW w:w="3649" w:type="dxa"/>
          </w:tcPr>
          <w:p w14:paraId="2D980A4E">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4CE6A24D">
            <w:pPr>
              <w:jc w:val="left"/>
              <w:rPr>
                <w:rFonts w:ascii="仿宋_GB2312" w:eastAsia="仿宋_GB2312"/>
                <w:szCs w:val="21"/>
              </w:rPr>
            </w:pPr>
            <w:r>
              <w:rPr>
                <w:rFonts w:hint="eastAsia" w:ascii="仿宋_GB2312" w:eastAsia="仿宋_GB2312"/>
                <w:szCs w:val="21"/>
              </w:rPr>
              <w:t>2008-02-15</w:t>
            </w:r>
          </w:p>
        </w:tc>
      </w:tr>
      <w:tr w14:paraId="3E7B8CC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2D05CDAE">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539F0EF5">
            <w:pPr>
              <w:ind w:firstLine="420"/>
              <w:jc w:val="left"/>
              <w:rPr>
                <w:rFonts w:ascii="仿宋_GB2312" w:eastAsia="仿宋_GB2312"/>
                <w:szCs w:val="21"/>
              </w:rPr>
            </w:pPr>
            <w:r>
              <w:rPr>
                <w:rFonts w:ascii="仿宋_GB2312" w:eastAsia="仿宋_GB2312"/>
                <w:szCs w:val="21"/>
              </w:rPr>
              <w:t>本基金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14:paraId="280916DD">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1B321C1C">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36C9D27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82F5B29">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50052540">
            <w:pPr>
              <w:ind w:firstLine="420"/>
              <w:jc w:val="left"/>
              <w:rPr>
                <w:rFonts w:ascii="仿宋_GB2312" w:eastAsia="仿宋_GB2312"/>
                <w:szCs w:val="21"/>
              </w:rPr>
            </w:pPr>
            <w:r>
              <w:rPr>
                <w:rFonts w:hint="eastAsia" w:ascii="仿宋_GB2312" w:eastAsia="仿宋_GB2312"/>
                <w:szCs w:val="21"/>
              </w:rPr>
              <w:t>在力求本金安全性和资产充分流动性的前提下，追求超过业绩比较基准的投资收益。</w:t>
            </w:r>
          </w:p>
        </w:tc>
      </w:tr>
      <w:tr w14:paraId="3673C95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BD2A421">
            <w:pPr>
              <w:rPr>
                <w:rFonts w:ascii="仿宋_GB2312" w:eastAsia="仿宋_GB2312"/>
                <w:szCs w:val="21"/>
              </w:rPr>
            </w:pPr>
            <w:r>
              <w:rPr>
                <w:rFonts w:hint="eastAsia" w:ascii="仿宋_GB2312" w:eastAsia="仿宋_GB2312"/>
                <w:szCs w:val="21"/>
              </w:rPr>
              <w:t>投资范围</w:t>
            </w:r>
          </w:p>
        </w:tc>
        <w:tc>
          <w:tcPr>
            <w:tcW w:w="6525" w:type="dxa"/>
            <w:vAlign w:val="center"/>
          </w:tcPr>
          <w:p w14:paraId="00F917CA">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如法律法规或监管机构以后允许货币市场基金投资其他金融工具，基金管理人在履行适当程序后，可以将其纳入投资范围，其投资比例遵循届时有效法律法规或相关规定。</w:t>
            </w:r>
          </w:p>
        </w:tc>
      </w:tr>
      <w:tr w14:paraId="5EBA457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77C91B4">
            <w:pPr>
              <w:rPr>
                <w:rFonts w:ascii="仿宋_GB2312" w:eastAsia="仿宋_GB2312"/>
                <w:szCs w:val="21"/>
              </w:rPr>
            </w:pPr>
            <w:r>
              <w:rPr>
                <w:rFonts w:hint="eastAsia" w:ascii="仿宋_GB2312" w:eastAsia="仿宋_GB2312"/>
                <w:szCs w:val="21"/>
              </w:rPr>
              <w:t>主要投资策略</w:t>
            </w:r>
          </w:p>
        </w:tc>
        <w:tc>
          <w:tcPr>
            <w:tcW w:w="6525" w:type="dxa"/>
            <w:vAlign w:val="center"/>
          </w:tcPr>
          <w:p w14:paraId="322B7102">
            <w:pPr>
              <w:ind w:firstLine="420"/>
              <w:jc w:val="left"/>
              <w:rPr>
                <w:rFonts w:ascii="仿宋_GB2312" w:eastAsia="仿宋_GB2312"/>
                <w:szCs w:val="21"/>
              </w:rPr>
            </w:pPr>
            <w:r>
              <w:rPr>
                <w:rFonts w:hint="eastAsia" w:ascii="仿宋_GB2312" w:eastAsia="仿宋_GB2312"/>
                <w:szCs w:val="21"/>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14:paraId="0A569A77">
            <w:pPr>
              <w:ind w:firstLine="420"/>
              <w:jc w:val="left"/>
              <w:rPr>
                <w:rFonts w:ascii="仿宋_GB2312" w:eastAsia="仿宋_GB2312"/>
                <w:szCs w:val="21"/>
              </w:rPr>
            </w:pPr>
            <w:r>
              <w:rPr>
                <w:rFonts w:hint="eastAsia" w:ascii="仿宋_GB2312" w:eastAsia="仿宋_GB2312"/>
                <w:szCs w:val="21"/>
              </w:rPr>
              <w:t>1、短期利率水平预期策略；2、收益率曲线分析策略；3、组合剩余期限策略、期限配置策略；4、类别品种配置策略；5、流动性管理策略；6、无风险套利策略；7、滚动配置策略；8、其他金融工具投资策略。</w:t>
            </w:r>
          </w:p>
        </w:tc>
      </w:tr>
      <w:tr w14:paraId="7FB48D5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6C3DDFDB">
            <w:pPr>
              <w:rPr>
                <w:rFonts w:ascii="仿宋_GB2312" w:eastAsia="仿宋_GB2312"/>
                <w:szCs w:val="21"/>
              </w:rPr>
            </w:pPr>
            <w:r>
              <w:rPr>
                <w:rFonts w:hint="eastAsia" w:ascii="仿宋_GB2312" w:eastAsia="仿宋_GB2312"/>
                <w:szCs w:val="21"/>
              </w:rPr>
              <w:t>业绩比较基准</w:t>
            </w:r>
          </w:p>
        </w:tc>
        <w:tc>
          <w:tcPr>
            <w:tcW w:w="6525" w:type="dxa"/>
            <w:vAlign w:val="center"/>
          </w:tcPr>
          <w:p w14:paraId="1110A962">
            <w:pPr>
              <w:ind w:firstLine="420"/>
              <w:jc w:val="left"/>
              <w:rPr>
                <w:rFonts w:ascii="仿宋_GB2312" w:eastAsia="仿宋_GB2312"/>
                <w:szCs w:val="21"/>
              </w:rPr>
            </w:pPr>
            <w:r>
              <w:rPr>
                <w:rFonts w:hint="eastAsia" w:ascii="仿宋_GB2312" w:eastAsia="仿宋_GB2312"/>
                <w:szCs w:val="21"/>
              </w:rPr>
              <w:t>活期存款利率（税后）</w:t>
            </w:r>
          </w:p>
        </w:tc>
      </w:tr>
      <w:tr w14:paraId="1E26396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62ECD69A">
            <w:pPr>
              <w:rPr>
                <w:rFonts w:ascii="仿宋_GB2312" w:eastAsia="仿宋_GB2312"/>
                <w:szCs w:val="21"/>
              </w:rPr>
            </w:pPr>
            <w:r>
              <w:rPr>
                <w:rFonts w:hint="eastAsia" w:ascii="仿宋_GB2312" w:eastAsia="仿宋_GB2312"/>
                <w:szCs w:val="21"/>
              </w:rPr>
              <w:t>风险收益特征</w:t>
            </w:r>
          </w:p>
        </w:tc>
        <w:tc>
          <w:tcPr>
            <w:tcW w:w="6525" w:type="dxa"/>
            <w:vAlign w:val="center"/>
          </w:tcPr>
          <w:p w14:paraId="23759285">
            <w:pPr>
              <w:ind w:firstLine="420"/>
              <w:jc w:val="left"/>
              <w:rPr>
                <w:rFonts w:ascii="仿宋_GB2312" w:eastAsia="仿宋_GB2312"/>
                <w:szCs w:val="21"/>
              </w:rPr>
            </w:pPr>
            <w:r>
              <w:rPr>
                <w:rFonts w:hint="eastAsia" w:ascii="仿宋_GB2312" w:eastAsia="仿宋_GB2312"/>
                <w:szCs w:val="21"/>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6073DD5E">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详见《交银施罗德天利宝货币市场基金招募说明书》第十部分“基金的投资”。</w:t>
      </w:r>
    </w:p>
    <w:p w14:paraId="664D37AE">
      <w:pPr>
        <w:jc w:val="left"/>
        <w:rPr>
          <w:rFonts w:ascii="仿宋_GB2312" w:eastAsia="仿宋_GB2312"/>
          <w:b/>
          <w:szCs w:val="21"/>
        </w:rPr>
      </w:pPr>
      <w:r>
        <w:rPr>
          <w:rFonts w:hint="eastAsia" w:ascii="仿宋_GB2312" w:eastAsia="仿宋_GB2312"/>
          <w:b/>
          <w:szCs w:val="21"/>
        </w:rPr>
        <w:t>（二）投资组合资产配置图表/区域配置图表</w:t>
      </w:r>
    </w:p>
    <w:p w14:paraId="3638AF3D">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14:paraId="0210F875">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4AFB4CE7">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14:paraId="4730EB8A">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14:paraId="35718E99">
      <w:pPr>
        <w:ind w:firstLine="420"/>
        <w:jc w:val="left"/>
        <w:rPr>
          <w:rFonts w:ascii="仿宋_GB2312" w:eastAsia="仿宋_GB2312"/>
          <w:szCs w:val="21"/>
        </w:rPr>
      </w:pPr>
      <w:r>
        <w:rPr>
          <w:rFonts w:hint="eastAsia" w:ascii="仿宋_GB2312" w:eastAsia="仿宋_GB2312"/>
          <w:szCs w:val="21"/>
        </w:rPr>
        <w:t>注：1、净值表现数据的截止日为2024年12月31日。</w:t>
      </w:r>
    </w:p>
    <w:p w14:paraId="2B57AB20">
      <w:pPr>
        <w:ind w:left="420" w:firstLine="420" w:firstLineChars="200"/>
        <w:jc w:val="left"/>
        <w:rPr>
          <w:rFonts w:ascii="仿宋_GB2312" w:eastAsia="仿宋_GB2312"/>
          <w:szCs w:val="21"/>
        </w:rPr>
      </w:pPr>
      <w:r>
        <w:rPr>
          <w:rFonts w:hint="eastAsia" w:ascii="仿宋_GB2312" w:eastAsia="仿宋_GB2312"/>
          <w:szCs w:val="21"/>
        </w:rPr>
        <w:t>2、本基金合同于2016年10月19日生效，合同生效当年净值收益率按实际存续期计算。</w:t>
      </w:r>
    </w:p>
    <w:p w14:paraId="2CC77EE5">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14:paraId="3E450610">
      <w:pPr>
        <w:ind w:left="420" w:firstLine="420" w:firstLineChars="200"/>
        <w:jc w:val="left"/>
        <w:rPr>
          <w:rFonts w:ascii="仿宋_GB2312" w:eastAsia="仿宋_GB2312"/>
          <w:szCs w:val="21"/>
        </w:rPr>
      </w:pPr>
    </w:p>
    <w:p w14:paraId="3BBFD2BB">
      <w:pPr>
        <w:ind w:left="420" w:firstLine="420" w:firstLineChars="200"/>
        <w:jc w:val="left"/>
        <w:rPr>
          <w:rFonts w:ascii="仿宋_GB2312" w:eastAsia="仿宋_GB2312"/>
          <w:szCs w:val="21"/>
        </w:rPr>
      </w:pPr>
    </w:p>
    <w:p w14:paraId="76037F80">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02B17663">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464866CB">
      <w:pPr>
        <w:ind w:firstLine="420"/>
        <w:jc w:val="left"/>
        <w:rPr>
          <w:rFonts w:ascii="仿宋_GB2312" w:eastAsia="仿宋_GB2312"/>
          <w:szCs w:val="21"/>
        </w:rPr>
      </w:pPr>
      <w:r>
        <w:rPr>
          <w:rFonts w:hint="eastAsia" w:ascii="仿宋_GB2312" w:eastAsia="仿宋_GB2312"/>
          <w:szCs w:val="21"/>
        </w:rPr>
        <w:t>无。</w:t>
      </w:r>
    </w:p>
    <w:p w14:paraId="106949A2">
      <w:pPr>
        <w:jc w:val="left"/>
        <w:rPr>
          <w:rFonts w:ascii="仿宋_GB2312" w:eastAsia="仿宋_GB2312"/>
          <w:b/>
          <w:szCs w:val="21"/>
        </w:rPr>
      </w:pPr>
      <w:r>
        <w:rPr>
          <w:rFonts w:hint="eastAsia" w:ascii="仿宋_GB2312" w:eastAsia="仿宋_GB2312"/>
          <w:b/>
          <w:szCs w:val="21"/>
        </w:rPr>
        <w:t>（二）基金运作相关费用</w:t>
      </w:r>
    </w:p>
    <w:p w14:paraId="7DF3241F">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063268B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37F4C81">
            <w:pPr>
              <w:rPr>
                <w:rFonts w:ascii="仿宋_GB2312" w:eastAsia="仿宋_GB2312"/>
                <w:b/>
                <w:szCs w:val="21"/>
              </w:rPr>
            </w:pPr>
            <w:r>
              <w:rPr>
                <w:rFonts w:hint="eastAsia" w:ascii="仿宋_GB2312" w:eastAsia="仿宋_GB2312"/>
                <w:b/>
                <w:szCs w:val="21"/>
              </w:rPr>
              <w:t>费用类别</w:t>
            </w:r>
          </w:p>
        </w:tc>
        <w:tc>
          <w:tcPr>
            <w:tcW w:w="5958" w:type="dxa"/>
            <w:vAlign w:val="center"/>
          </w:tcPr>
          <w:p w14:paraId="07A94329">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019962E9">
            <w:pPr>
              <w:rPr>
                <w:rFonts w:ascii="仿宋" w:hAnsi="仿宋" w:eastAsia="仿宋" w:cs="仿宋"/>
                <w:b/>
                <w:sz w:val="24"/>
                <w:szCs w:val="24"/>
              </w:rPr>
            </w:pPr>
            <w:r>
              <w:rPr>
                <w:rFonts w:hint="eastAsia" w:ascii="仿宋" w:hAnsi="仿宋" w:eastAsia="仿宋" w:cs="仿宋"/>
                <w:b/>
                <w:sz w:val="24"/>
                <w:szCs w:val="24"/>
              </w:rPr>
              <w:t>收取方</w:t>
            </w:r>
          </w:p>
        </w:tc>
      </w:tr>
      <w:tr w14:paraId="141436F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609A730">
            <w:pPr>
              <w:rPr>
                <w:rFonts w:ascii="仿宋_GB2312" w:eastAsia="仿宋_GB2312"/>
                <w:szCs w:val="21"/>
              </w:rPr>
            </w:pPr>
            <w:r>
              <w:rPr>
                <w:rFonts w:hint="eastAsia" w:ascii="仿宋_GB2312" w:eastAsia="仿宋_GB2312"/>
                <w:szCs w:val="21"/>
              </w:rPr>
              <w:t>管理费</w:t>
            </w:r>
          </w:p>
        </w:tc>
        <w:tc>
          <w:tcPr>
            <w:tcW w:w="5958" w:type="dxa"/>
            <w:vAlign w:val="center"/>
          </w:tcPr>
          <w:p w14:paraId="79BD5E29">
            <w:pPr>
              <w:rPr>
                <w:rFonts w:ascii="仿宋_GB2312" w:eastAsia="仿宋_GB2312"/>
                <w:szCs w:val="21"/>
              </w:rPr>
            </w:pPr>
            <w:r>
              <w:rPr>
                <w:rFonts w:hint="eastAsia" w:ascii="仿宋_GB2312" w:eastAsia="仿宋_GB2312"/>
                <w:szCs w:val="21"/>
              </w:rPr>
              <w:t>0.15%</w:t>
            </w:r>
          </w:p>
        </w:tc>
        <w:tc>
          <w:tcPr>
            <w:tcW w:w="3078" w:type="dxa"/>
          </w:tcPr>
          <w:p w14:paraId="65BE57A7">
            <w:pPr>
              <w:rPr>
                <w:rFonts w:ascii="仿宋_GB2312" w:eastAsia="仿宋_GB2312"/>
                <w:szCs w:val="21"/>
              </w:rPr>
            </w:pPr>
            <w:r>
              <w:rPr>
                <w:rFonts w:hint="eastAsia" w:ascii="仿宋_GB2312" w:eastAsia="仿宋_GB2312"/>
                <w:szCs w:val="21"/>
              </w:rPr>
              <w:t>基金管理人和销售机构</w:t>
            </w:r>
          </w:p>
        </w:tc>
      </w:tr>
      <w:tr w14:paraId="5C69FDB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D2FDBD6">
            <w:pPr>
              <w:rPr>
                <w:rFonts w:ascii="仿宋_GB2312" w:eastAsia="仿宋_GB2312"/>
                <w:szCs w:val="21"/>
              </w:rPr>
            </w:pPr>
            <w:r>
              <w:rPr>
                <w:rFonts w:hint="eastAsia" w:ascii="仿宋_GB2312" w:eastAsia="仿宋_GB2312"/>
                <w:szCs w:val="21"/>
              </w:rPr>
              <w:t>托管费</w:t>
            </w:r>
          </w:p>
        </w:tc>
        <w:tc>
          <w:tcPr>
            <w:tcW w:w="5958" w:type="dxa"/>
            <w:vAlign w:val="center"/>
          </w:tcPr>
          <w:p w14:paraId="52C2B192">
            <w:pPr>
              <w:rPr>
                <w:rFonts w:ascii="仿宋_GB2312" w:eastAsia="仿宋_GB2312"/>
                <w:szCs w:val="21"/>
              </w:rPr>
            </w:pPr>
            <w:r>
              <w:rPr>
                <w:rFonts w:hint="eastAsia" w:ascii="仿宋_GB2312" w:eastAsia="仿宋_GB2312"/>
                <w:szCs w:val="21"/>
              </w:rPr>
              <w:t>0.0</w:t>
            </w:r>
            <w:r>
              <w:rPr>
                <w:rFonts w:hint="eastAsia" w:ascii="仿宋_GB2312" w:eastAsia="仿宋_GB2312"/>
                <w:szCs w:val="21"/>
                <w:lang w:val="en-US" w:eastAsia="zh-CN"/>
              </w:rPr>
              <w:t>4</w:t>
            </w:r>
            <w:r>
              <w:rPr>
                <w:rFonts w:hint="eastAsia" w:ascii="仿宋_GB2312" w:eastAsia="仿宋_GB2312"/>
                <w:szCs w:val="21"/>
              </w:rPr>
              <w:t>%</w:t>
            </w:r>
          </w:p>
        </w:tc>
        <w:tc>
          <w:tcPr>
            <w:tcW w:w="3078" w:type="dxa"/>
          </w:tcPr>
          <w:p w14:paraId="73429D6C">
            <w:pPr>
              <w:rPr>
                <w:rFonts w:ascii="仿宋_GB2312" w:eastAsia="仿宋_GB2312"/>
                <w:szCs w:val="21"/>
              </w:rPr>
            </w:pPr>
            <w:r>
              <w:rPr>
                <w:rFonts w:hint="eastAsia" w:ascii="仿宋_GB2312" w:eastAsia="仿宋_GB2312"/>
                <w:szCs w:val="21"/>
              </w:rPr>
              <w:t>基金托管人</w:t>
            </w:r>
          </w:p>
        </w:tc>
      </w:tr>
      <w:tr w14:paraId="2548F72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29D9ECA">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11F2DE61">
            <w:pPr>
              <w:rPr>
                <w:rFonts w:ascii="仿宋_GB2312" w:eastAsia="仿宋_GB2312"/>
                <w:szCs w:val="21"/>
              </w:rPr>
            </w:pPr>
            <w:r>
              <w:rPr>
                <w:rFonts w:hint="eastAsia" w:ascii="仿宋_GB2312" w:eastAsia="仿宋_GB2312"/>
                <w:szCs w:val="21"/>
              </w:rPr>
              <w:t>0.01%</w:t>
            </w:r>
          </w:p>
        </w:tc>
        <w:tc>
          <w:tcPr>
            <w:tcW w:w="3078" w:type="dxa"/>
          </w:tcPr>
          <w:p w14:paraId="4D6E1B38">
            <w:pPr>
              <w:rPr>
                <w:rFonts w:ascii="仿宋_GB2312" w:eastAsia="仿宋_GB2312"/>
                <w:szCs w:val="21"/>
              </w:rPr>
            </w:pPr>
            <w:r>
              <w:rPr>
                <w:rFonts w:hint="eastAsia" w:ascii="仿宋_GB2312" w:eastAsia="仿宋_GB2312"/>
                <w:szCs w:val="21"/>
              </w:rPr>
              <w:t>销售机构</w:t>
            </w:r>
          </w:p>
        </w:tc>
      </w:tr>
      <w:tr w14:paraId="35337E0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F77BA52">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283BA8C3">
            <w:pPr>
              <w:rPr>
                <w:rFonts w:ascii="仿宋_GB2312" w:eastAsia="仿宋_GB2312"/>
                <w:szCs w:val="21"/>
              </w:rPr>
            </w:pPr>
            <w:r>
              <w:rPr>
                <w:rFonts w:hint="eastAsia" w:ascii="仿宋_GB2312" w:eastAsia="仿宋_GB2312"/>
                <w:szCs w:val="21"/>
              </w:rPr>
              <w:t>100000.00</w:t>
            </w:r>
          </w:p>
        </w:tc>
        <w:tc>
          <w:tcPr>
            <w:tcW w:w="3078" w:type="dxa"/>
          </w:tcPr>
          <w:p w14:paraId="3D98E53D">
            <w:pPr>
              <w:rPr>
                <w:rFonts w:ascii="仿宋_GB2312" w:eastAsia="仿宋_GB2312"/>
                <w:szCs w:val="21"/>
              </w:rPr>
            </w:pPr>
            <w:r>
              <w:rPr>
                <w:rFonts w:hint="eastAsia" w:ascii="仿宋_GB2312" w:eastAsia="仿宋_GB2312"/>
                <w:szCs w:val="21"/>
              </w:rPr>
              <w:t>会计师事务所</w:t>
            </w:r>
          </w:p>
        </w:tc>
      </w:tr>
      <w:tr w14:paraId="40CD9D3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DF5A2DD">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06388929">
            <w:pPr>
              <w:rPr>
                <w:rFonts w:ascii="仿宋_GB2312" w:eastAsia="仿宋_GB2312"/>
                <w:szCs w:val="21"/>
              </w:rPr>
            </w:pPr>
            <w:r>
              <w:rPr>
                <w:rFonts w:hint="eastAsia" w:ascii="仿宋_GB2312" w:eastAsia="仿宋_GB2312"/>
                <w:szCs w:val="21"/>
              </w:rPr>
              <w:t>120000.00</w:t>
            </w:r>
          </w:p>
        </w:tc>
        <w:tc>
          <w:tcPr>
            <w:tcW w:w="3078" w:type="dxa"/>
          </w:tcPr>
          <w:p w14:paraId="1A1FFCAD">
            <w:pPr>
              <w:rPr>
                <w:rFonts w:ascii="仿宋_GB2312" w:eastAsia="仿宋_GB2312"/>
                <w:szCs w:val="21"/>
              </w:rPr>
            </w:pPr>
            <w:r>
              <w:rPr>
                <w:rFonts w:hint="eastAsia" w:ascii="仿宋_GB2312" w:eastAsia="仿宋_GB2312"/>
                <w:szCs w:val="21"/>
              </w:rPr>
              <w:t>规定披露报刊</w:t>
            </w:r>
          </w:p>
        </w:tc>
      </w:tr>
      <w:tr w14:paraId="24AC8AF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20F32F8">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2180184A">
            <w:pPr>
              <w:rPr>
                <w:rFonts w:ascii="仿宋_GB2312" w:eastAsia="仿宋_GB2312"/>
                <w:szCs w:val="21"/>
              </w:rPr>
            </w:pPr>
            <w:r>
              <w:rPr>
                <w:rFonts w:hint="eastAsia" w:ascii="仿宋_GB2312" w:eastAsia="仿宋_GB2312"/>
                <w:szCs w:val="21"/>
              </w:rPr>
              <w:t>-</w:t>
            </w:r>
          </w:p>
        </w:tc>
        <w:tc>
          <w:tcPr>
            <w:tcW w:w="3078" w:type="dxa"/>
          </w:tcPr>
          <w:p w14:paraId="5AF27B40">
            <w:pPr>
              <w:rPr>
                <w:rFonts w:ascii="仿宋_GB2312" w:eastAsia="仿宋_GB2312"/>
                <w:szCs w:val="21"/>
              </w:rPr>
            </w:pPr>
            <w:r>
              <w:rPr>
                <w:rFonts w:hint="eastAsia" w:ascii="仿宋_GB2312" w:eastAsia="仿宋_GB2312"/>
                <w:szCs w:val="21"/>
              </w:rPr>
              <w:t>指数编制公司</w:t>
            </w:r>
          </w:p>
        </w:tc>
      </w:tr>
      <w:tr w14:paraId="0D2B6B7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3C18AFDD">
            <w:pPr>
              <w:rPr>
                <w:rFonts w:ascii="仿宋_GB2312" w:eastAsia="仿宋_GB2312"/>
                <w:szCs w:val="21"/>
              </w:rPr>
            </w:pPr>
            <w:r>
              <w:rPr>
                <w:rFonts w:hint="eastAsia" w:ascii="仿宋_GB2312" w:eastAsia="仿宋_GB2312"/>
                <w:szCs w:val="21"/>
              </w:rPr>
              <w:t>其他费用</w:t>
            </w:r>
          </w:p>
        </w:tc>
        <w:tc>
          <w:tcPr>
            <w:tcW w:w="3080" w:type="dxa"/>
            <w:vAlign w:val="center"/>
          </w:tcPr>
          <w:p w14:paraId="277A9F81">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74482F21">
            <w:pPr>
              <w:rPr>
                <w:rFonts w:ascii="仿宋_GB2312" w:eastAsia="仿宋_GB2312"/>
                <w:szCs w:val="21"/>
              </w:rPr>
            </w:pPr>
          </w:p>
        </w:tc>
      </w:tr>
    </w:tbl>
    <w:p w14:paraId="04EFE49D">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6603B49F">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647D37D7">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3E26D7B5">
        <w:tblPrEx>
          <w:tblCellMar>
            <w:top w:w="0" w:type="dxa"/>
            <w:left w:w="108" w:type="dxa"/>
            <w:bottom w:w="0" w:type="dxa"/>
            <w:right w:w="108" w:type="dxa"/>
          </w:tblCellMar>
        </w:tblPrEx>
        <w:trPr>
          <w:jc w:val="center"/>
        </w:trPr>
        <w:tc>
          <w:tcPr>
            <w:tcW w:w="3078" w:type="dxa"/>
          </w:tcPr>
          <w:p w14:paraId="31CEDBD6">
            <w:pPr>
              <w:rPr>
                <w:rFonts w:ascii="仿宋_GB2312" w:eastAsia="仿宋_GB2312"/>
                <w:b/>
                <w:szCs w:val="21"/>
              </w:rPr>
            </w:pPr>
          </w:p>
        </w:tc>
        <w:tc>
          <w:tcPr>
            <w:tcW w:w="5342" w:type="dxa"/>
          </w:tcPr>
          <w:p w14:paraId="78B8DCB5">
            <w:pPr>
              <w:rPr>
                <w:rFonts w:ascii="仿宋" w:hAnsi="仿宋" w:eastAsia="仿宋" w:cs="仿宋"/>
                <w:b/>
                <w:szCs w:val="21"/>
              </w:rPr>
            </w:pPr>
            <w:r>
              <w:rPr>
                <w:rFonts w:hint="eastAsia" w:ascii="仿宋" w:hAnsi="仿宋" w:eastAsia="仿宋" w:cs="仿宋"/>
                <w:b/>
                <w:sz w:val="24"/>
                <w:szCs w:val="24"/>
              </w:rPr>
              <w:t>基金运作综合费率（年化）</w:t>
            </w:r>
          </w:p>
        </w:tc>
      </w:tr>
      <w:tr w14:paraId="634E61B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6377754A">
            <w:pPr>
              <w:rPr>
                <w:rFonts w:ascii="仿宋_GB2312" w:eastAsia="仿宋_GB2312"/>
                <w:b/>
                <w:szCs w:val="21"/>
              </w:rPr>
            </w:pPr>
          </w:p>
        </w:tc>
        <w:tc>
          <w:tcPr>
            <w:tcW w:w="3080" w:type="dxa"/>
            <w:vAlign w:val="center"/>
          </w:tcPr>
          <w:p w14:paraId="1C0B5719">
            <w:pPr>
              <w:rPr>
                <w:rFonts w:ascii="仿宋_GB2312" w:eastAsia="仿宋_GB2312"/>
                <w:szCs w:val="21"/>
              </w:rPr>
            </w:pPr>
            <w:r>
              <w:rPr>
                <w:rFonts w:hint="eastAsia" w:ascii="仿宋_GB2312" w:eastAsia="仿宋_GB2312"/>
                <w:szCs w:val="21"/>
              </w:rPr>
              <w:t>0.2</w:t>
            </w:r>
            <w:r>
              <w:rPr>
                <w:rFonts w:hint="eastAsia" w:ascii="仿宋_GB2312" w:eastAsia="仿宋_GB2312"/>
                <w:szCs w:val="21"/>
                <w:lang w:val="en-US" w:eastAsia="zh-CN"/>
              </w:rPr>
              <w:t>0</w:t>
            </w:r>
            <w:r>
              <w:rPr>
                <w:rFonts w:hint="eastAsia" w:ascii="仿宋_GB2312" w:eastAsia="仿宋_GB2312"/>
                <w:szCs w:val="21"/>
              </w:rPr>
              <w:t>%</w:t>
            </w:r>
          </w:p>
        </w:tc>
      </w:tr>
    </w:tbl>
    <w:p w14:paraId="254C01F7">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20DD391A">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34FFC294">
      <w:pPr>
        <w:jc w:val="left"/>
        <w:rPr>
          <w:rFonts w:ascii="仿宋_GB2312" w:eastAsia="仿宋_GB2312"/>
          <w:b/>
          <w:szCs w:val="21"/>
        </w:rPr>
      </w:pPr>
      <w:r>
        <w:rPr>
          <w:rFonts w:hint="eastAsia" w:ascii="仿宋_GB2312" w:eastAsia="仿宋_GB2312"/>
          <w:b/>
          <w:szCs w:val="21"/>
        </w:rPr>
        <w:t>（一）风险揭示</w:t>
      </w:r>
    </w:p>
    <w:p w14:paraId="148B315A">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663D5022">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36B90604">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43828CDD">
      <w:pPr>
        <w:ind w:firstLine="420"/>
        <w:jc w:val="left"/>
        <w:rPr>
          <w:rFonts w:ascii="仿宋_GB2312" w:eastAsia="仿宋_GB2312"/>
          <w:szCs w:val="21"/>
        </w:rPr>
      </w:pPr>
      <w:r>
        <w:rPr>
          <w:rFonts w:hint="eastAsia" w:ascii="仿宋_GB2312" w:eastAsia="仿宋_GB2312"/>
          <w:szCs w:val="21"/>
        </w:rPr>
        <w:t>1、市场风险</w:t>
      </w:r>
    </w:p>
    <w:p w14:paraId="158D24EA">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14:paraId="60EFE4A6">
      <w:pPr>
        <w:ind w:firstLine="420"/>
        <w:jc w:val="left"/>
        <w:rPr>
          <w:rFonts w:ascii="仿宋_GB2312" w:eastAsia="仿宋_GB2312"/>
          <w:szCs w:val="21"/>
        </w:rPr>
      </w:pPr>
      <w:r>
        <w:rPr>
          <w:rFonts w:hint="eastAsia" w:ascii="仿宋_GB2312" w:eastAsia="仿宋_GB2312"/>
          <w:szCs w:val="21"/>
        </w:rPr>
        <w:t>2、管理风险</w:t>
      </w:r>
    </w:p>
    <w:p w14:paraId="703E6667">
      <w:pPr>
        <w:ind w:firstLine="420"/>
        <w:jc w:val="left"/>
        <w:rPr>
          <w:rFonts w:ascii="仿宋_GB2312" w:eastAsia="仿宋_GB2312"/>
          <w:szCs w:val="21"/>
        </w:rPr>
      </w:pPr>
      <w:r>
        <w:rPr>
          <w:rFonts w:hint="eastAsia" w:ascii="仿宋_GB2312" w:eastAsia="仿宋_GB2312"/>
          <w:szCs w:val="21"/>
        </w:rPr>
        <w:t>3、流动性风险</w:t>
      </w:r>
    </w:p>
    <w:p w14:paraId="27E1D9E3">
      <w:pPr>
        <w:ind w:firstLine="420"/>
        <w:jc w:val="left"/>
        <w:rPr>
          <w:rFonts w:ascii="仿宋_GB2312" w:eastAsia="仿宋_GB2312"/>
          <w:szCs w:val="21"/>
        </w:rPr>
      </w:pPr>
      <w:r>
        <w:rPr>
          <w:rFonts w:hint="eastAsia" w:ascii="仿宋_GB2312" w:eastAsia="仿宋_GB2312"/>
          <w:szCs w:val="21"/>
        </w:rPr>
        <w:t>4、交易对手违约风险</w:t>
      </w:r>
    </w:p>
    <w:p w14:paraId="17CCB268">
      <w:pPr>
        <w:ind w:firstLine="420"/>
        <w:jc w:val="left"/>
        <w:rPr>
          <w:rFonts w:ascii="仿宋_GB2312" w:eastAsia="仿宋_GB2312"/>
          <w:szCs w:val="21"/>
        </w:rPr>
      </w:pPr>
      <w:r>
        <w:rPr>
          <w:rFonts w:hint="eastAsia" w:ascii="仿宋_GB2312" w:eastAsia="仿宋_GB2312"/>
          <w:szCs w:val="21"/>
        </w:rPr>
        <w:t>5、货币市场基金的特定风险</w:t>
      </w:r>
    </w:p>
    <w:p w14:paraId="71959093">
      <w:pPr>
        <w:ind w:firstLine="420"/>
        <w:jc w:val="left"/>
        <w:rPr>
          <w:rFonts w:ascii="仿宋_GB2312" w:eastAsia="仿宋_GB2312"/>
          <w:szCs w:val="21"/>
        </w:rPr>
      </w:pPr>
      <w:r>
        <w:rPr>
          <w:rFonts w:hint="eastAsia" w:ascii="仿宋_GB2312" w:eastAsia="仿宋_GB2312"/>
          <w:szCs w:val="21"/>
        </w:rPr>
        <w:t>（1）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14:paraId="6C59B335">
      <w:pPr>
        <w:ind w:firstLine="420"/>
        <w:jc w:val="left"/>
        <w:rPr>
          <w:rFonts w:ascii="仿宋_GB2312" w:eastAsia="仿宋_GB2312"/>
          <w:szCs w:val="21"/>
        </w:rPr>
      </w:pPr>
      <w:r>
        <w:rPr>
          <w:rFonts w:hint="eastAsia" w:ascii="仿宋_GB2312" w:eastAsia="仿宋_GB2312"/>
          <w:szCs w:val="21"/>
        </w:rPr>
        <w:t>（2）当影子定价确定的基金资产净值与摊余成本法计算的基金资产净值的正偏离度绝对值达到0.5%时，基金管理人应当暂停接受申购并在5个交易日内将正偏离度绝对值调整到0.5%以内。故投资者可能面临暂停申购的风险。当负偏离度绝对值连续两个交易日超过0.5%时，基金管理人应当采用公允价值估值方法对持有投资组合的账面价值进行调整，或者采取暂停接受所有赎回申请并终止基金合同进行财产清算等措施。故投资者可能面临上述估值调整或暂停赎回及基金合同提前终止的风险。</w:t>
      </w:r>
    </w:p>
    <w:p w14:paraId="1663EDD6">
      <w:pPr>
        <w:ind w:firstLine="420"/>
        <w:jc w:val="left"/>
        <w:rPr>
          <w:rFonts w:ascii="仿宋_GB2312" w:eastAsia="仿宋_GB2312"/>
          <w:szCs w:val="21"/>
        </w:rPr>
      </w:pPr>
      <w:r>
        <w:rPr>
          <w:rFonts w:hint="eastAsia" w:ascii="仿宋_GB2312" w:eastAsia="仿宋_GB2312"/>
          <w:szCs w:val="21"/>
        </w:rPr>
        <w:t>（3）在满足相关流动性风险管理要求的前提下，当本基金持有的现金、国债、中央银行票据、政策性金融债券以及5个交易日内到期的其他金融工具占基金资产净值的比例合计低于5%且偏离度为负时，当日单个基金份额持有人申请赎回基金份额超过基金总份额1%以上的，该基金份额持有人可能面临被征收1%的强制赎回费用的风险，上述赎回费用全额计入基金财产。此外，单个基金份额持有人在单个开放日申请赎回基金份额超过基金总份额10%的，该基金份额持有人可能面临延期办理部分赎回申请或者延缓支付赎回款项的风险。</w:t>
      </w:r>
    </w:p>
    <w:p w14:paraId="0A947755">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14:paraId="3C6A16C4">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22758B24">
      <w:pPr>
        <w:ind w:firstLine="420"/>
        <w:jc w:val="left"/>
        <w:rPr>
          <w:rFonts w:ascii="仿宋_GB2312" w:eastAsia="仿宋_GB2312"/>
          <w:szCs w:val="21"/>
        </w:rPr>
      </w:pPr>
      <w:r>
        <w:rPr>
          <w:rFonts w:hint="eastAsia" w:ascii="仿宋_GB2312" w:eastAsia="仿宋_GB2312"/>
          <w:szCs w:val="21"/>
        </w:rPr>
        <w:t>7、其他风险</w:t>
      </w:r>
    </w:p>
    <w:p w14:paraId="3401B9E9">
      <w:pPr>
        <w:jc w:val="left"/>
        <w:rPr>
          <w:rFonts w:ascii="仿宋_GB2312" w:eastAsia="仿宋_GB2312"/>
          <w:b/>
          <w:szCs w:val="21"/>
        </w:rPr>
      </w:pPr>
      <w:r>
        <w:rPr>
          <w:rFonts w:hint="eastAsia" w:ascii="仿宋_GB2312" w:eastAsia="仿宋_GB2312"/>
          <w:b/>
          <w:szCs w:val="21"/>
        </w:rPr>
        <w:t>（二）重要提示</w:t>
      </w:r>
    </w:p>
    <w:p w14:paraId="1897DC49">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0E7DF461">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38DEDABB">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2EBBCE1D">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1A48BB02">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345E5B72">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5BA44CFE">
      <w:pPr>
        <w:ind w:firstLine="420"/>
        <w:jc w:val="left"/>
        <w:rPr>
          <w:rFonts w:ascii="仿宋_GB2312" w:eastAsia="仿宋_GB2312"/>
          <w:szCs w:val="21"/>
        </w:rPr>
      </w:pPr>
    </w:p>
    <w:p w14:paraId="38541DDD">
      <w:pPr>
        <w:jc w:val="left"/>
        <w:rPr>
          <w:rFonts w:ascii="仿宋_GB2312" w:eastAsia="仿宋_GB2312"/>
          <w:b/>
          <w:szCs w:val="21"/>
        </w:rPr>
      </w:pPr>
      <w:r>
        <w:rPr>
          <w:rFonts w:hint="eastAsia" w:ascii="仿宋_GB2312" w:eastAsia="仿宋_GB2312"/>
          <w:b/>
          <w:szCs w:val="21"/>
        </w:rPr>
        <w:t>五、其他资料查询方式</w:t>
      </w:r>
    </w:p>
    <w:p w14:paraId="646F44D9">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17ED716E">
      <w:pPr>
        <w:ind w:firstLine="420"/>
        <w:jc w:val="left"/>
        <w:rPr>
          <w:rFonts w:ascii="仿宋_GB2312" w:eastAsia="仿宋_GB2312"/>
          <w:szCs w:val="21"/>
        </w:rPr>
      </w:pPr>
      <w:r>
        <w:rPr>
          <w:rFonts w:hint="eastAsia" w:ascii="仿宋_GB2312" w:eastAsia="仿宋_GB2312"/>
          <w:szCs w:val="21"/>
        </w:rPr>
        <w:t>●《交银施罗德天利宝货币市场基金基金合同》、</w:t>
      </w:r>
    </w:p>
    <w:p w14:paraId="5CC962D6">
      <w:pPr>
        <w:ind w:firstLine="420"/>
        <w:jc w:val="left"/>
        <w:rPr>
          <w:rFonts w:ascii="仿宋_GB2312" w:eastAsia="仿宋_GB2312"/>
          <w:szCs w:val="21"/>
        </w:rPr>
      </w:pPr>
      <w:r>
        <w:rPr>
          <w:rFonts w:hint="eastAsia" w:ascii="仿宋_GB2312" w:eastAsia="仿宋_GB2312"/>
          <w:szCs w:val="21"/>
        </w:rPr>
        <w:t>《交银施罗德天利宝货币市场基金托管协议》、</w:t>
      </w:r>
    </w:p>
    <w:p w14:paraId="7197103B">
      <w:pPr>
        <w:ind w:firstLine="420"/>
        <w:jc w:val="left"/>
        <w:rPr>
          <w:rFonts w:ascii="仿宋_GB2312" w:eastAsia="仿宋_GB2312"/>
          <w:szCs w:val="21"/>
        </w:rPr>
      </w:pPr>
      <w:r>
        <w:rPr>
          <w:rFonts w:hint="eastAsia" w:ascii="仿宋_GB2312" w:eastAsia="仿宋_GB2312"/>
          <w:szCs w:val="21"/>
        </w:rPr>
        <w:t>《交银施罗德天利宝货币市场基金招募说明书》</w:t>
      </w:r>
    </w:p>
    <w:p w14:paraId="7E03B264">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4C9AAED9">
      <w:pPr>
        <w:ind w:firstLine="420"/>
        <w:jc w:val="left"/>
        <w:rPr>
          <w:rFonts w:ascii="仿宋_GB2312" w:eastAsia="仿宋_GB2312"/>
          <w:szCs w:val="21"/>
        </w:rPr>
      </w:pPr>
      <w:r>
        <w:rPr>
          <w:rFonts w:hint="eastAsia" w:ascii="仿宋_GB2312" w:eastAsia="仿宋_GB2312"/>
          <w:szCs w:val="21"/>
        </w:rPr>
        <w:t>●基金份额净值</w:t>
      </w:r>
    </w:p>
    <w:p w14:paraId="2136FB61">
      <w:pPr>
        <w:ind w:firstLine="420"/>
        <w:jc w:val="left"/>
        <w:rPr>
          <w:rFonts w:ascii="仿宋_GB2312" w:eastAsia="仿宋_GB2312"/>
          <w:szCs w:val="21"/>
        </w:rPr>
      </w:pPr>
      <w:r>
        <w:rPr>
          <w:rFonts w:hint="eastAsia" w:ascii="仿宋_GB2312" w:eastAsia="仿宋_GB2312"/>
          <w:szCs w:val="21"/>
        </w:rPr>
        <w:t>●基金销售机构及联系方式</w:t>
      </w:r>
    </w:p>
    <w:p w14:paraId="2BE41DE4">
      <w:pPr>
        <w:ind w:firstLine="420"/>
        <w:jc w:val="left"/>
        <w:rPr>
          <w:rFonts w:ascii="仿宋_GB2312" w:eastAsia="仿宋_GB2312"/>
          <w:szCs w:val="21"/>
        </w:rPr>
      </w:pPr>
      <w:r>
        <w:rPr>
          <w:rFonts w:hint="eastAsia" w:ascii="仿宋_GB2312" w:eastAsia="仿宋_GB2312"/>
          <w:szCs w:val="21"/>
        </w:rPr>
        <w:t>●其他重要资料</w:t>
      </w:r>
    </w:p>
    <w:p w14:paraId="5559AA6F">
      <w:pPr>
        <w:jc w:val="left"/>
        <w:rPr>
          <w:rFonts w:ascii="仿宋_GB2312" w:eastAsia="仿宋_GB2312"/>
          <w:b/>
          <w:szCs w:val="21"/>
        </w:rPr>
      </w:pPr>
      <w:r>
        <w:rPr>
          <w:rFonts w:hint="eastAsia" w:ascii="仿宋_GB2312" w:eastAsia="仿宋_GB2312"/>
          <w:b/>
          <w:szCs w:val="21"/>
        </w:rPr>
        <w:t>六、其他情况说明</w:t>
      </w:r>
    </w:p>
    <w:p w14:paraId="5D4E02F2">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B18C8"/>
    <w:rsid w:val="009C0C41"/>
    <w:rsid w:val="009F4EAE"/>
    <w:rsid w:val="00AB59CB"/>
    <w:rsid w:val="00AF7A1E"/>
    <w:rsid w:val="00C0525C"/>
    <w:rsid w:val="00CD7637"/>
    <w:rsid w:val="00D04A15"/>
    <w:rsid w:val="00D373CC"/>
    <w:rsid w:val="00DB319C"/>
    <w:rsid w:val="00E51B6D"/>
    <w:rsid w:val="00F75715"/>
    <w:rsid w:val="00F811C4"/>
    <w:rsid w:val="00FC2918"/>
    <w:rsid w:val="105F6FF7"/>
    <w:rsid w:val="20D917A5"/>
    <w:rsid w:val="2E8A21AD"/>
    <w:rsid w:val="3D2D3F77"/>
    <w:rsid w:val="64BD4FCC"/>
    <w:rsid w:val="6FFC7CCE"/>
    <w:rsid w:val="7ADF5C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564</Words>
  <Characters>3217</Characters>
  <Lines>26</Lines>
  <Paragraphs>7</Paragraphs>
  <TotalTime>7</TotalTime>
  <ScaleCrop>false</ScaleCrop>
  <LinksUpToDate>false</LinksUpToDate>
  <CharactersWithSpaces>3774</CharactersWithSpaces>
  <Application>WPS Office_12.8.2.19823_F1E327BC-269C-435d-A152-05C5408002CA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2025-11-11T02:43:00Z</dcterms:created>
  <dc:creator>Cc</dc:creator>
  <cp:lastModifiedBy>陈尚清</cp:lastModifiedBy>
  <dcterms:modified xsi:type="dcterms:W3CDTF">2026-09-01T02:03:02Z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F67B772D9D2D44008A72E5DAD6CA21C0</vt:lpwstr>
  </property>
</Properties>
</file>