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交银施罗德定期支付双息平衡混合型证券投资基金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交银定期支付双息平衡混合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2013-09-04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徐嘉辰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2015-12-09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本基金精选具有长期增长潜力和较好分红能力的股票，以及具有较高息票率的债券，力争实现基金资产的长期增值。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上市的股票（含中小板、创业板及其他中国证监会允许基金投资的股票、存托凭证）、债券、货币市场工具、权证以及法律法规或中国证监会允许基金投资的其它金融工具（但须符合中国证监会的相关规定）。</w:t>
            </w:r>
          </w:p>
          <w:p>
            <w:pPr>
              <w:ind w:firstLine="420"/>
              <w:jc w:val="left"/>
              <w:rPr>
                <w:rFonts w:ascii="仿宋_GB2312" w:eastAsia="仿宋_GB2312"/>
                <w:szCs w:val="21"/>
              </w:rPr>
            </w:pPr>
            <w:r>
              <w:rPr>
                <w:rFonts w:hint="eastAsia" w:ascii="仿宋_GB2312" w:eastAsia="仿宋_GB2312"/>
                <w:szCs w:val="21"/>
              </w:rPr>
              <w:t>本基金的投资组合比例为：股票（含存托凭证）、权证等权益类资产占基金资产净值的30%-70%，其中权证的投资比例不超过基金资产净值的3%；债券、资产支持证券、货币市场工具、银行存款等固定收益类资产和现金不低于基金资产净值的30%，其中现金或到期日在一年以内的政府债券投资比例不低于基金资产净值的5%，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如法律法规或监管机构以后允许基金投资其他品种，基金管理人在履行适当程序后，可以将其纳入投资范围，并可依据届时有效的法律法规适时合理地调整投资范围。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精选具有较好现金分红能力、长期增长潜力且估值水平合理的上市公司以及具有较高息票率的债券，通过在股票和债券等不同类别资产中的平衡配置，追求基金资产在风险可控前提下的持续增值，充分享受股票分红和债券利息的双重收益。</w:t>
            </w:r>
          </w:p>
          <w:p>
            <w:pPr>
              <w:ind w:firstLine="420"/>
              <w:jc w:val="left"/>
              <w:rPr>
                <w:rFonts w:ascii="仿宋_GB2312" w:eastAsia="仿宋_GB2312"/>
                <w:szCs w:val="21"/>
              </w:rPr>
            </w:pPr>
            <w:r>
              <w:rPr>
                <w:rFonts w:hint="eastAsia" w:ascii="仿宋_GB2312" w:eastAsia="仿宋_GB2312"/>
                <w:szCs w:val="21"/>
              </w:rPr>
              <w:t>1、资产配置策略；2、股票投资策略；3、债券投资策略。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50%×中证红利指数收益率+50%×中债综合全价指数收益率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在证券投资基金中属于较高风险的品种，其长期平均风险和预期收益高于货币市场基金和债券型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详见《交银施罗德定期支付双息平衡混合型证券投资基金招募说明书》第十一部分“基金的投资”。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 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2、本基金合同于2013年9月4日生效，合同生效当年净值增长率按实际存续期计算。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由于本基金股票投资比例设定了一定上限，因此在股市大幅上涨时本基金也不能完全保证基金净值能够完全跟随或超越大盘走势。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股票资产部分重点投资于红利股票，在选股策略上本基金特有的风险主要来自两个方面：一是对行业及上市公司的基本面研究是否准确、深入，二是对行业和红利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6、本基金定期支付相关的特定风险</w:t>
      </w:r>
    </w:p>
    <w:p>
      <w:pPr>
        <w:ind w:firstLine="420"/>
        <w:jc w:val="left"/>
        <w:rPr>
          <w:rFonts w:ascii="仿宋_GB2312" w:eastAsia="仿宋_GB2312"/>
          <w:szCs w:val="21"/>
        </w:rPr>
      </w:pPr>
      <w:r>
        <w:rPr>
          <w:rFonts w:hint="eastAsia" w:ascii="仿宋_GB2312" w:eastAsia="仿宋_GB2312"/>
          <w:szCs w:val="21"/>
        </w:rPr>
        <w:t>（1）定期支付不等同于收益分配、（2）年化现金支付比率不代表基金实际投资收益率、（3）定期支付被确认失败的风险、（4）年化现金支付比率发生调整的风险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●《交银施罗德定期支付双息平衡混合型证券投资基金基金合同》、</w:t>
      </w:r>
    </w:p>
    <w:p>
      <w:pPr>
        <w:ind w:firstLine="420"/>
        <w:jc w:val="left"/>
        <w:rPr>
          <w:rFonts w:ascii="仿宋_GB2312" w:eastAsia="仿宋_GB2312"/>
          <w:szCs w:val="21"/>
        </w:rPr>
      </w:pPr>
      <w:r>
        <w:rPr>
          <w:rFonts w:hint="eastAsia" w:ascii="仿宋_GB2312" w:eastAsia="仿宋_GB2312"/>
          <w:szCs w:val="21"/>
        </w:rPr>
        <w:t>《交银施罗德定期支付双息平衡混合型证券投资基金托管协议》、</w:t>
      </w:r>
    </w:p>
    <w:p>
      <w:pPr>
        <w:ind w:firstLine="420"/>
        <w:jc w:val="left"/>
        <w:rPr>
          <w:rFonts w:ascii="仿宋_GB2312" w:eastAsia="仿宋_GB2312"/>
          <w:szCs w:val="21"/>
        </w:rPr>
      </w:pPr>
      <w:r>
        <w:rPr>
          <w:rFonts w:hint="eastAsia" w:ascii="仿宋_GB2312" w:eastAsia="仿宋_GB2312"/>
          <w:szCs w:val="21"/>
        </w:rPr>
        <w:t>《交银施罗德定期支付双息平衡混合型证券投资基金招募说明书》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533CA"/>
    <w:rsid w:val="00DB319C"/>
    <w:rsid w:val="00E51B6D"/>
    <w:rsid w:val="00F75715"/>
    <w:rsid w:val="00F811C4"/>
    <w:rsid w:val="00FC2918"/>
    <w:rsid w:val="345A0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688</Words>
  <Characters>3925</Characters>
  <Lines>32</Lines>
  <Paragraphs>9</Paragraphs>
  <TotalTime>3</TotalTime>
  <ScaleCrop>false</ScaleCrop>
  <LinksUpToDate>false</LinksUpToDate>
  <CharactersWithSpaces>4604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2026-08-31T01:35:00Z</dcterms:created>
  <dc:creator>Cc</dc:creator>
  <cp:lastModifiedBy>haotingting</cp:lastModifiedBy>
  <dcterms:modified xsi:type="dcterms:W3CDTF">2026-08-31T05:28:56Z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1E84E392320D4752AF04089B83844027</vt:lpwstr>
  </property>
</Properties>
</file>