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C6659">
      <w:pPr>
        <w:rPr>
          <w:sz w:val="32"/>
        </w:rPr>
      </w:pPr>
    </w:p>
    <w:p w:rsidR="00C92FC0" w:rsidRPr="00EB07BC" w:rsidRDefault="003C6659">
      <w:pPr>
        <w:rPr>
          <w:sz w:val="32"/>
        </w:rPr>
      </w:pPr>
    </w:p>
    <w:p w:rsidR="00C92FC0" w:rsidRPr="00EB07BC" w:rsidRDefault="003C6659">
      <w:pPr>
        <w:rPr>
          <w:sz w:val="32"/>
        </w:rPr>
      </w:pPr>
    </w:p>
    <w:p w:rsidR="007B2E56" w:rsidRDefault="007B2E5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2E56" w:rsidRDefault="007B2E5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2E56" w:rsidRDefault="007B2E5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B2E56" w:rsidRDefault="0025339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交银施罗德启嘉混合型证券投资基金</w:t>
      </w:r>
    </w:p>
    <w:p w:rsidR="007B2E56" w:rsidRDefault="0025339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B2E56" w:rsidRDefault="007B2E56">
      <w:pPr>
        <w:snapToGrid w:val="0"/>
        <w:spacing w:line="360" w:lineRule="auto"/>
        <w:jc w:val="center"/>
        <w:rPr>
          <w:rFonts w:ascii="宋体" w:hAnsi="宋体"/>
          <w:b/>
          <w:sz w:val="30"/>
          <w:szCs w:val="30"/>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25339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B2E56" w:rsidRDefault="0025339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7B2E5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B2E56" w:rsidRDefault="0025339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7B2E56" w:rsidRDefault="007B2E56">
      <w:pPr>
        <w:autoSpaceDE w:val="0"/>
        <w:autoSpaceDN w:val="0"/>
        <w:adjustRightInd w:val="0"/>
        <w:snapToGrid w:val="0"/>
        <w:spacing w:line="360" w:lineRule="auto"/>
        <w:ind w:left="1347" w:rightChars="6" w:right="13"/>
        <w:rPr>
          <w:rFonts w:ascii="宋体" w:hAnsi="宋体"/>
          <w:kern w:val="0"/>
          <w:sz w:val="32"/>
          <w:szCs w:val="32"/>
        </w:rPr>
        <w:sectPr w:rsidR="007B2E5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B2E56" w:rsidRDefault="00253396">
      <w:pPr>
        <w:pStyle w:val="1"/>
        <w:snapToGrid w:val="0"/>
        <w:spacing w:beforeLines="0" w:before="240" w:after="240"/>
        <w:rPr>
          <w:rFonts w:ascii="宋体" w:hAnsi="宋体"/>
          <w:kern w:val="0"/>
        </w:rPr>
      </w:pPr>
      <w:bookmarkStart w:id="0" w:name="_Toc324920538"/>
      <w:bookmarkStart w:id="1" w:name="_Toc496884613"/>
      <w:bookmarkStart w:id="2" w:name="_Toc239067338"/>
      <w:r>
        <w:rPr>
          <w:rFonts w:ascii="Times New Roman" w:hAnsi="Times New Roman"/>
          <w:kern w:val="0"/>
        </w:rPr>
        <w:lastRenderedPageBreak/>
        <w:t>重要提示</w:t>
      </w:r>
      <w:bookmarkEnd w:id="0"/>
      <w:bookmarkEnd w:id="1"/>
      <w:bookmarkEnd w:id="2"/>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交银施罗德启嘉混合型证券投资基金（以下简称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762</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日正式生效。</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港股通标的股票的特定风险；投资科创板股票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w:t>
      </w:r>
      <w:r>
        <w:rPr>
          <w:rFonts w:ascii="Times New Roman" w:hAnsi="Times New Roman"/>
          <w:kern w:val="0"/>
          <w:sz w:val="24"/>
        </w:rPr>
        <w:lastRenderedPageBreak/>
        <w:t>净值变化引致的投资风险，由投资者自行负责。</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7B2E56" w:rsidRDefault="0025339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7B2E56" w:rsidRDefault="007B2E56">
      <w:pPr>
        <w:autoSpaceDE w:val="0"/>
        <w:autoSpaceDN w:val="0"/>
        <w:adjustRightInd w:val="0"/>
        <w:snapToGrid w:val="0"/>
        <w:spacing w:before="51" w:line="360" w:lineRule="auto"/>
        <w:ind w:left="120" w:rightChars="6" w:right="13" w:firstLine="480"/>
        <w:rPr>
          <w:rFonts w:ascii="宋体" w:hAnsi="宋体"/>
          <w:kern w:val="0"/>
          <w:szCs w:val="24"/>
        </w:rPr>
        <w:sectPr w:rsidR="007B2E56">
          <w:headerReference w:type="default" r:id="rId14"/>
          <w:pgSz w:w="11920" w:h="16840"/>
          <w:pgMar w:top="1440" w:right="1680" w:bottom="280" w:left="1680" w:header="0" w:footer="1073" w:gutter="0"/>
          <w:pgNumType w:start="1"/>
          <w:cols w:space="720"/>
        </w:sectPr>
      </w:pPr>
    </w:p>
    <w:p w:rsidR="003C6659" w:rsidRPr="003C6659" w:rsidRDefault="00253396" w:rsidP="003C6659">
      <w:pPr>
        <w:pStyle w:val="ad"/>
        <w:snapToGrid w:val="0"/>
        <w:spacing w:after="240" w:line="360" w:lineRule="auto"/>
        <w:jc w:val="center"/>
        <w:rPr>
          <w:rFonts w:ascii="宋体" w:hAnsi="宋体"/>
          <w:noProof/>
          <w:sz w:val="24"/>
        </w:rPr>
      </w:pPr>
      <w:r w:rsidRPr="003C6659">
        <w:rPr>
          <w:rFonts w:ascii="宋体" w:hAnsi="宋体"/>
          <w:color w:val="000000"/>
          <w:position w:val="-4"/>
          <w:sz w:val="24"/>
          <w:szCs w:val="30"/>
        </w:rPr>
        <w:lastRenderedPageBreak/>
        <w:t>目</w:t>
      </w:r>
      <w:r w:rsidRPr="003C6659">
        <w:rPr>
          <w:rFonts w:ascii="宋体" w:hAnsi="宋体"/>
          <w:color w:val="000000"/>
          <w:position w:val="-4"/>
          <w:sz w:val="24"/>
          <w:szCs w:val="30"/>
        </w:rPr>
        <w:tab/>
        <w:t>录</w:t>
      </w:r>
      <w:r w:rsidR="003C6659" w:rsidRPr="003C6659">
        <w:rPr>
          <w:rFonts w:ascii="宋体" w:hAnsi="宋体"/>
          <w:color w:val="000000"/>
          <w:position w:val="-4"/>
          <w:sz w:val="24"/>
          <w:szCs w:val="30"/>
        </w:rPr>
        <w:fldChar w:fldCharType="begin"/>
      </w:r>
      <w:r w:rsidR="003C6659" w:rsidRPr="003C6659">
        <w:rPr>
          <w:rFonts w:ascii="宋体" w:hAnsi="宋体"/>
          <w:color w:val="000000"/>
          <w:position w:val="-4"/>
          <w:sz w:val="24"/>
          <w:szCs w:val="30"/>
        </w:rPr>
        <w:instrText xml:space="preserve"> TOC \o "1-3" \f - \h \t "-1" </w:instrText>
      </w:r>
      <w:r w:rsidR="003C6659" w:rsidRPr="003C6659">
        <w:rPr>
          <w:rFonts w:ascii="宋体" w:hAnsi="宋体"/>
          <w:color w:val="000000"/>
          <w:position w:val="-4"/>
          <w:sz w:val="24"/>
          <w:szCs w:val="30"/>
        </w:rPr>
        <w:fldChar w:fldCharType="separate"/>
      </w:r>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38" w:history="1">
        <w:r w:rsidRPr="003C6659">
          <w:rPr>
            <w:rStyle w:val="aa"/>
            <w:rFonts w:ascii="宋体" w:hAnsi="宋体" w:hint="eastAsia"/>
            <w:noProof/>
            <w:kern w:val="0"/>
            <w:sz w:val="24"/>
          </w:rPr>
          <w:t>重要提示</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_Toc239067338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39" w:history="1">
        <w:r w:rsidRPr="003C6659">
          <w:rPr>
            <w:rStyle w:val="aa"/>
            <w:rFonts w:ascii="宋体" w:hAnsi="宋体" w:hint="eastAsia"/>
            <w:noProof/>
            <w:sz w:val="24"/>
          </w:rPr>
          <w:t>一、绪言</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_Toc239067339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5</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0" w:history="1">
        <w:r w:rsidRPr="003C6659">
          <w:rPr>
            <w:rStyle w:val="aa"/>
            <w:rFonts w:ascii="宋体" w:hAnsi="宋体" w:hint="eastAsia"/>
            <w:noProof/>
            <w:sz w:val="24"/>
          </w:rPr>
          <w:t>二、释义</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_Toc239067340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6</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1" w:history="1">
        <w:r w:rsidRPr="003C6659">
          <w:rPr>
            <w:rStyle w:val="aa"/>
            <w:rFonts w:ascii="宋体" w:hAnsi="宋体" w:hint="eastAsia"/>
            <w:noProof/>
            <w:sz w:val="24"/>
          </w:rPr>
          <w:t>三、基金管理人</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_Toc239067341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11</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2" w:history="1">
        <w:r w:rsidRPr="003C6659">
          <w:rPr>
            <w:rStyle w:val="aa"/>
            <w:rFonts w:ascii="宋体" w:hAnsi="宋体" w:hint="eastAsia"/>
            <w:noProof/>
            <w:sz w:val="24"/>
          </w:rPr>
          <w:t>四、基金托管人</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_Toc239067342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18</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3" w:history="1">
        <w:r w:rsidRPr="003C6659">
          <w:rPr>
            <w:rStyle w:val="aa"/>
            <w:rFonts w:ascii="宋体" w:hAnsi="宋体" w:hint="eastAsia"/>
            <w:noProof/>
            <w:sz w:val="24"/>
          </w:rPr>
          <w:t>五、相关服务机构</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_Toc239067343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25</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4" w:history="1">
        <w:r w:rsidRPr="003C6659">
          <w:rPr>
            <w:rStyle w:val="aa"/>
            <w:rFonts w:ascii="宋体" w:hAnsi="宋体" w:hint="eastAsia"/>
            <w:noProof/>
            <w:sz w:val="24"/>
          </w:rPr>
          <w:t>六、基金的募集</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_Toc239067344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50</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5" w:history="1">
        <w:r w:rsidRPr="003C6659">
          <w:rPr>
            <w:rStyle w:val="aa"/>
            <w:rFonts w:ascii="宋体" w:hAnsi="宋体" w:hint="eastAsia"/>
            <w:noProof/>
            <w:sz w:val="24"/>
          </w:rPr>
          <w:t>七、基金合同的生效</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_Toc239067345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51</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6" w:history="1">
        <w:r w:rsidRPr="003C6659">
          <w:rPr>
            <w:rStyle w:val="aa"/>
            <w:rFonts w:ascii="宋体" w:hAnsi="宋体" w:hint="eastAsia"/>
            <w:noProof/>
            <w:sz w:val="24"/>
          </w:rPr>
          <w:t>八、基金份额的申购与赎回</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_Toc239067346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52</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7" w:history="1">
        <w:r w:rsidRPr="003C6659">
          <w:rPr>
            <w:rStyle w:val="aa"/>
            <w:rFonts w:ascii="宋体" w:hAnsi="宋体" w:hint="eastAsia"/>
            <w:noProof/>
            <w:sz w:val="24"/>
          </w:rPr>
          <w:t>九、基金的转换</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_Toc239067347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66</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8" w:history="1">
        <w:r w:rsidRPr="003C6659">
          <w:rPr>
            <w:rStyle w:val="aa"/>
            <w:rFonts w:ascii="宋体" w:hAnsi="宋体" w:hint="eastAsia"/>
            <w:noProof/>
            <w:sz w:val="24"/>
          </w:rPr>
          <w:t>十、基金的投资</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_Toc239067348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73</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49" w:history="1">
        <w:r w:rsidRPr="003C6659">
          <w:rPr>
            <w:rStyle w:val="aa"/>
            <w:rFonts w:ascii="宋体" w:hAnsi="宋体" w:hint="eastAsia"/>
            <w:noProof/>
            <w:sz w:val="24"/>
          </w:rPr>
          <w:t>十一、基金的业绩</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_Toc239067349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85</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0" w:history="1">
        <w:r w:rsidRPr="003C6659">
          <w:rPr>
            <w:rStyle w:val="aa"/>
            <w:rFonts w:ascii="宋体" w:hAnsi="宋体" w:hint="eastAsia"/>
            <w:noProof/>
            <w:sz w:val="24"/>
          </w:rPr>
          <w:t>十二、基金的财产</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_Toc239067350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87</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1" w:history="1">
        <w:r w:rsidRPr="003C6659">
          <w:rPr>
            <w:rStyle w:val="aa"/>
            <w:rFonts w:ascii="宋体" w:hAnsi="宋体" w:hint="eastAsia"/>
            <w:noProof/>
            <w:sz w:val="24"/>
          </w:rPr>
          <w:t>十三、基金资产的估值</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_Toc239067351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88</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2" w:history="1">
        <w:r w:rsidRPr="003C6659">
          <w:rPr>
            <w:rStyle w:val="aa"/>
            <w:rFonts w:ascii="宋体" w:hAnsi="宋体" w:hint="eastAsia"/>
            <w:noProof/>
            <w:sz w:val="24"/>
          </w:rPr>
          <w:t>十四、基金收益与分配</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_Toc239067352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95</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3" w:history="1">
        <w:r w:rsidRPr="003C6659">
          <w:rPr>
            <w:rStyle w:val="aa"/>
            <w:rFonts w:ascii="宋体" w:hAnsi="宋体" w:hint="eastAsia"/>
            <w:noProof/>
            <w:sz w:val="24"/>
          </w:rPr>
          <w:t>十五、基金的费用与税收</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_Toc239067353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97</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4" w:history="1">
        <w:r w:rsidRPr="003C6659">
          <w:rPr>
            <w:rStyle w:val="aa"/>
            <w:rFonts w:ascii="宋体" w:hAnsi="宋体" w:hint="eastAsia"/>
            <w:noProof/>
            <w:sz w:val="24"/>
          </w:rPr>
          <w:t>十六、基金的会计与审计</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_Toc239067354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100</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5" w:history="1">
        <w:r w:rsidRPr="003C6659">
          <w:rPr>
            <w:rStyle w:val="aa"/>
            <w:rFonts w:ascii="宋体" w:hAnsi="宋体" w:hint="eastAsia"/>
            <w:noProof/>
            <w:sz w:val="24"/>
          </w:rPr>
          <w:t>十七、基金的信息披露</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_Toc239067355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101</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6" w:history="1">
        <w:r w:rsidRPr="003C6659">
          <w:rPr>
            <w:rStyle w:val="aa"/>
            <w:rFonts w:ascii="宋体" w:hAnsi="宋体" w:hint="eastAsia"/>
            <w:noProof/>
            <w:sz w:val="24"/>
          </w:rPr>
          <w:t>十八、侧袋机制</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_Toc239067356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108</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7" w:history="1">
        <w:r w:rsidRPr="003C6659">
          <w:rPr>
            <w:rStyle w:val="aa"/>
            <w:rFonts w:ascii="宋体" w:hAnsi="宋体" w:hint="eastAsia"/>
            <w:noProof/>
            <w:sz w:val="24"/>
          </w:rPr>
          <w:t>十九、风险揭示</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_Toc239067357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111</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8" w:history="1">
        <w:r w:rsidRPr="003C6659">
          <w:rPr>
            <w:rStyle w:val="aa"/>
            <w:rFonts w:ascii="宋体" w:hAnsi="宋体" w:hint="eastAsia"/>
            <w:noProof/>
            <w:sz w:val="24"/>
          </w:rPr>
          <w:t>二十、基金合同的变更、终止与基金财产的清算</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_Toc239067358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121</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59" w:history="1">
        <w:r w:rsidRPr="003C6659">
          <w:rPr>
            <w:rStyle w:val="aa"/>
            <w:rFonts w:ascii="宋体" w:hAnsi="宋体" w:hint="eastAsia"/>
            <w:noProof/>
            <w:sz w:val="24"/>
          </w:rPr>
          <w:t>二十一、基金合同内容摘要</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_Toc239067359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123</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60" w:history="1">
        <w:r w:rsidRPr="003C6659">
          <w:rPr>
            <w:rStyle w:val="aa"/>
            <w:rFonts w:ascii="宋体" w:hAnsi="宋体" w:hint="eastAsia"/>
            <w:noProof/>
            <w:sz w:val="24"/>
          </w:rPr>
          <w:t>二十二、托管协议的内容摘要</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_Toc239067360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140</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61" w:history="1">
        <w:r w:rsidRPr="003C6659">
          <w:rPr>
            <w:rStyle w:val="aa"/>
            <w:rFonts w:ascii="宋体" w:hAnsi="宋体" w:hint="eastAsia"/>
            <w:noProof/>
            <w:sz w:val="24"/>
          </w:rPr>
          <w:t>二十三、对基金份额持有人的服务</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_Toc239067361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158</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62" w:history="1">
        <w:r w:rsidRPr="003C6659">
          <w:rPr>
            <w:rStyle w:val="aa"/>
            <w:rFonts w:ascii="宋体" w:hAnsi="宋体" w:hint="eastAsia"/>
            <w:noProof/>
            <w:sz w:val="24"/>
          </w:rPr>
          <w:t>二十四、其他应披露事项</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_Toc239067362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160</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63" w:history="1">
        <w:r w:rsidRPr="003C6659">
          <w:rPr>
            <w:rStyle w:val="aa"/>
            <w:rFonts w:ascii="宋体" w:hAnsi="宋体" w:hint="eastAsia"/>
            <w:noProof/>
            <w:sz w:val="24"/>
          </w:rPr>
          <w:t>二十五、招募说明书的存放及查阅方式</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_Toc239067363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162</w:t>
        </w:r>
        <w:r w:rsidRPr="003C6659">
          <w:rPr>
            <w:rFonts w:ascii="宋体" w:hAnsi="宋体"/>
            <w:noProof/>
            <w:sz w:val="24"/>
          </w:rPr>
          <w:fldChar w:fldCharType="end"/>
        </w:r>
      </w:hyperlink>
    </w:p>
    <w:p w:rsidR="003C6659" w:rsidRPr="003C6659" w:rsidRDefault="003C6659" w:rsidP="003C6659">
      <w:pPr>
        <w:pStyle w:val="10"/>
        <w:tabs>
          <w:tab w:val="right" w:leader="dot" w:pos="8550"/>
        </w:tabs>
        <w:spacing w:line="360" w:lineRule="auto"/>
        <w:rPr>
          <w:rFonts w:ascii="宋体" w:hAnsi="宋体" w:cstheme="minorBidi"/>
          <w:noProof/>
          <w:sz w:val="24"/>
        </w:rPr>
      </w:pPr>
      <w:hyperlink w:anchor="_Toc239067364" w:history="1">
        <w:r w:rsidRPr="003C6659">
          <w:rPr>
            <w:rStyle w:val="aa"/>
            <w:rFonts w:ascii="宋体" w:hAnsi="宋体" w:hint="eastAsia"/>
            <w:noProof/>
            <w:sz w:val="24"/>
          </w:rPr>
          <w:t>二十六、备查文件</w:t>
        </w:r>
        <w:r w:rsidRPr="003C6659">
          <w:rPr>
            <w:rFonts w:ascii="宋体" w:hAnsi="宋体"/>
            <w:noProof/>
            <w:sz w:val="24"/>
          </w:rPr>
          <w:tab/>
        </w:r>
        <w:r w:rsidRPr="003C6659">
          <w:rPr>
            <w:rFonts w:ascii="宋体" w:hAnsi="宋体"/>
            <w:noProof/>
            <w:sz w:val="24"/>
          </w:rPr>
          <w:fldChar w:fldCharType="begin"/>
        </w:r>
        <w:r w:rsidRPr="003C6659">
          <w:rPr>
            <w:rFonts w:ascii="宋体" w:hAnsi="宋体"/>
            <w:noProof/>
            <w:sz w:val="24"/>
          </w:rPr>
          <w:instrText xml:space="preserve"> PAGEREF _Toc239067364 \h </w:instrText>
        </w:r>
        <w:r w:rsidRPr="003C6659">
          <w:rPr>
            <w:rFonts w:ascii="宋体" w:hAnsi="宋体"/>
            <w:noProof/>
            <w:sz w:val="24"/>
          </w:rPr>
        </w:r>
        <w:r w:rsidRPr="003C6659">
          <w:rPr>
            <w:rFonts w:ascii="宋体" w:hAnsi="宋体"/>
            <w:noProof/>
            <w:sz w:val="24"/>
          </w:rPr>
          <w:fldChar w:fldCharType="separate"/>
        </w:r>
        <w:r w:rsidRPr="003C6659">
          <w:rPr>
            <w:rFonts w:ascii="宋体" w:hAnsi="宋体"/>
            <w:noProof/>
            <w:sz w:val="24"/>
          </w:rPr>
          <w:t>163</w:t>
        </w:r>
        <w:r w:rsidRPr="003C6659">
          <w:rPr>
            <w:rFonts w:ascii="宋体" w:hAnsi="宋体"/>
            <w:noProof/>
            <w:sz w:val="24"/>
          </w:rPr>
          <w:fldChar w:fldCharType="end"/>
        </w:r>
      </w:hyperlink>
    </w:p>
    <w:p w:rsidR="007B2E56" w:rsidRPr="003C6659" w:rsidRDefault="003C6659" w:rsidP="003C6659">
      <w:pPr>
        <w:pStyle w:val="ad"/>
        <w:snapToGrid w:val="0"/>
        <w:spacing w:after="240" w:line="360" w:lineRule="auto"/>
        <w:jc w:val="center"/>
        <w:rPr>
          <w:rFonts w:ascii="宋体" w:hAnsi="宋体"/>
          <w:color w:val="000000"/>
          <w:sz w:val="24"/>
        </w:rPr>
      </w:pPr>
      <w:r w:rsidRPr="003C6659">
        <w:rPr>
          <w:rFonts w:ascii="宋体" w:hAnsi="宋体"/>
          <w:color w:val="000000"/>
          <w:position w:val="-4"/>
          <w:sz w:val="24"/>
          <w:szCs w:val="30"/>
        </w:rPr>
        <w:fldChar w:fldCharType="end"/>
      </w:r>
      <w:bookmarkStart w:id="3" w:name="_GoBack"/>
      <w:bookmarkEnd w:id="3"/>
    </w:p>
    <w:p w:rsidR="007B2E56" w:rsidRDefault="007B2E56">
      <w:pPr>
        <w:autoSpaceDE w:val="0"/>
        <w:autoSpaceDN w:val="0"/>
        <w:adjustRightInd w:val="0"/>
        <w:snapToGrid w:val="0"/>
        <w:spacing w:line="360" w:lineRule="auto"/>
        <w:ind w:left="120" w:rightChars="6" w:right="13"/>
        <w:rPr>
          <w:rFonts w:ascii="宋体" w:hAnsi="宋体"/>
          <w:kern w:val="0"/>
          <w:szCs w:val="24"/>
        </w:rPr>
        <w:sectPr w:rsidR="007B2E56">
          <w:pgSz w:w="11920" w:h="16840"/>
          <w:pgMar w:top="1480" w:right="1680" w:bottom="280" w:left="1680" w:header="0" w:footer="1073" w:gutter="0"/>
          <w:cols w:space="720"/>
        </w:sectPr>
      </w:pPr>
    </w:p>
    <w:p w:rsidR="007B2E56" w:rsidRDefault="00253396">
      <w:pPr>
        <w:pStyle w:val="1"/>
        <w:snapToGrid w:val="0"/>
        <w:spacing w:beforeLines="0" w:before="240" w:after="240"/>
        <w:rPr>
          <w:rFonts w:ascii="宋体" w:hAnsi="宋体"/>
          <w:szCs w:val="30"/>
        </w:rPr>
      </w:pPr>
      <w:bookmarkStart w:id="4" w:name="_Toc239067339"/>
      <w:r>
        <w:rPr>
          <w:rFonts w:ascii="Times New Roman" w:hAnsi="Times New Roman"/>
          <w:sz w:val="30"/>
        </w:rPr>
        <w:lastRenderedPageBreak/>
        <w:t>一、绪言</w:t>
      </w:r>
      <w:bookmarkEnd w:id="4"/>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启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嘉混合型证券投资基金基金合同》（以下简称“基金合同”）编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5" w:name="_Toc239067340"/>
      <w:r>
        <w:rPr>
          <w:rFonts w:ascii="Times New Roman" w:hAnsi="Times New Roman"/>
          <w:sz w:val="30"/>
        </w:rPr>
        <w:lastRenderedPageBreak/>
        <w:t>二、释义</w:t>
      </w:r>
      <w:bookmarkEnd w:id="5"/>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1、基金或本基金：指交银施罗德启嘉混合型证券投资基金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4、基金合同：指《交银施罗德启嘉混合型证券投资基金基金合同》及对基金合同的任何有效修订和补充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5、托管协议：指基金管理人与基金托管人就本基金签订之《交银施罗德启嘉混合型证券投资基金托管协议》及对该托管协议的任何有效修订和补充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6、招募说明书或本招募说明书：指《交银施罗德启嘉混合型证券投资基金招募说明书》及其更新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7、基金产品资料概要：指《交银施罗德启嘉混合型证券投资基金基金产品资料概要》及其更新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8、基金份额发售公告：指《交银施罗德启嘉混合型证券投资基金基金份额发售公告》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w:t>
      </w:r>
      <w:r>
        <w:rPr>
          <w:rFonts w:ascii="宋体" w:hAnsi="宋体"/>
          <w:sz w:val="24"/>
        </w:rPr>
        <w:lastRenderedPageBreak/>
        <w:t>净值的方式，将基金调整投资组合的市场冲击成本分配给实际申购、赎回的投资者，从而减少对存量基金份额持有人利益的不利影响，确保投资人的合法权益不受损害并得到公平对待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6" w:name="_Toc239067341"/>
      <w:r>
        <w:rPr>
          <w:rFonts w:ascii="Times New Roman" w:hAnsi="Times New Roman"/>
          <w:sz w:val="30"/>
        </w:rPr>
        <w:lastRenderedPageBreak/>
        <w:t>三、基金管理人</w:t>
      </w:r>
      <w:bookmarkEnd w:id="6"/>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基金经理。北京大学经济学硕士，吉林大学经济学学士、理学学士。14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荣鑫灵活配置混合型证券投资基金(2019年11月28日至2023年02月16日)、交银施罗德安心收益债券型证券投资基金(2019年11月28日至2022年01月26日)、交银施罗德优选回报灵活配置混合型证券投资基金(2020年07月09日至2024年12月03日)、交银施罗德优择回报灵活配置混合型证券投资基金(2020年07月09日至2024年12月07日)、交银施罗德稳进回报六个月持有期混合型证券投资基金(2023年02月01日至2025年03月15日)、交银施罗德稳悦回报债券型证券投资基金(2024年03月27日至2026年03月04日)的基金经理。现任交银施罗德新回报灵活配置混合型证券投资基金(2020年07月09日至今)、交银施罗德周期回报灵活配置混合型证券投资基金(2020年07月09日至今)、交银施罗德瑞鑫六个月持有期混合型证券投资基金(2020年07月09日至今)、交银施罗德多策略回报灵活配置混合型证券投资基金(2020年07月09日至今)、交银施罗德恒益灵活配置混合型证券投资基金(2020年07月09日至今)、交银施罗德臻选回报混合型证券投资基金(2020年12月23日至今)、交银施罗德启嘉混合型证券投资基金(2026年08月28日至今)的基金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黄鼎先生(2023年08月02日至2026年08月29日)。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（三）基金管理人的职责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4、基金管理人承诺加强人员管理，强化职业操守，督促和约束员工遵守国家有关法律法规及行业规范，诚实信用、勤勉尽责；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w:t>
      </w:r>
      <w:r>
        <w:rPr>
          <w:rFonts w:ascii="宋体" w:hAnsi="宋体"/>
          <w:sz w:val="24"/>
        </w:rPr>
        <w:lastRenderedPageBreak/>
        <w:t>责监察公司的风险管理措施的执行。具体而言，包括如下组成部分：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（8）业务部门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7" w:name="_Toc239067342"/>
      <w:r>
        <w:rPr>
          <w:rFonts w:ascii="Times New Roman" w:hAnsi="Times New Roman"/>
          <w:sz w:val="30"/>
        </w:rPr>
        <w:lastRenderedPageBreak/>
        <w:t>四、基金托管人</w:t>
      </w:r>
      <w:bookmarkEnd w:id="7"/>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12月31日，本集团总资产130,705.23亿元人民币，高级法下资本充足率18.24%，权重法下资本充足率15.00%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260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w:t>
      </w:r>
      <w:r>
        <w:rPr>
          <w:rFonts w:ascii="宋体" w:hAnsi="宋体"/>
          <w:sz w:val="24"/>
        </w:rPr>
        <w:lastRenderedPageBreak/>
        <w:t>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截至2025年12月31日，招商银行股份有限公司累计托管1759只证券投资基金。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w:t>
      </w:r>
      <w:r>
        <w:rPr>
          <w:rFonts w:ascii="宋体" w:hAnsi="宋体"/>
          <w:sz w:val="24"/>
        </w:rPr>
        <w:lastRenderedPageBreak/>
        <w:t>险、审慎经营为出发点，体现“内控优先”的要求。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8" w:name="_Toc239067343"/>
      <w:r>
        <w:rPr>
          <w:rFonts w:ascii="Times New Roman" w:hAnsi="Times New Roman"/>
          <w:sz w:val="30"/>
        </w:rPr>
        <w:lastRenderedPageBreak/>
        <w:t>五、相关服务机构</w:t>
      </w:r>
      <w:bookmarkEnd w:id="8"/>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（4）名称：中国光大银行股份有限公司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（5）名称：中国邮政储蓄银行股份有限公司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传真：（010）68858117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（7）名称：中国银河证券股份有限公司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（9）名称：中国中金财富证券有限公司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办公地址：深圳市福田区益田路6003号荣超商务中心A栋第04、18层至21层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（10）名称：山西证券股份有限公司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（11）名称：西部证券股份有限公司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（12）名称：国投证券股份有限公司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（13）名称：财通证券股份有限公司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（14）名称：中信建投证券股份有限公司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（15）名称：中原证券股份有限公司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（16）名称：东方财富证券股份有限公司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（17）名称：国信证券股份有限公司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（18）名称：华泰证券股份有限公司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（19）名称：兴业证券股份有限公司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客户服务电话：95562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（20）名称：广发证券股份有限公司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（21）名称：海通证券股份有限公司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（22）名称：华宝证券股份有限公司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（23）名称：大同证券有限责任公司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办公地址：太原市长治路 111 号山西世贸中心 A 座 F12、F13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（24）名称：招商证券股份有限公司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（25）名称：国泰海通证券股份有限公司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（26）名称：中信证券华南股份有限公司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（27）名称：国金证券股份有限公司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（28）名称：中信证券（山东）有限责任公司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（29）名称：平安证券股份有限公司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网址：www.pingan.com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（30）名称：申万宏源证券有限公司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（31）名称：申万宏源西部证券有限公司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（32）名称：东莞证券股份有限公司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（33）名称：深圳市新兰德证券投资咨询有限公司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电话：（010）58325395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（34）名称：济安财富（北京）基金销售有限公司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（35）名称：博时财富基金销售有限公司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（36）名称：大连网金基金销售有限公司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 4000-899-100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（37）名称：阳光人寿保险股份有限公司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（38）名称：玄元保险代理有限公司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（39）名称：京东肯特瑞基金销售有限公司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（40）名称：上海大智慧基金销售有限公司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住所：上海市浦东新区杨高南路428号1号楼10-11层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（41）名称：和耕传承基金销售有限公司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（42）名称：腾安基金销售（深圳）有限公司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（43）名称：珠海盈米基金销售有限公司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（44）名称：上海华夏财富投资管理有限公司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（45）名称：北京度小满基金销售有限公司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（46）名称：南京苏宁基金销售有限公司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（47）名称：嘉实财富管理有限公司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（48）名称：北京汇成基金销售有限公司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（49）名称：上海利得基金销售有限公司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（50）名称：上海挖财基金销售有限公司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（51）名称：万家财富基金销售（天津）有限公司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（52）名称：上海万得基金销售有限公司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（53）名称：格上富信投资顾问有限公司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办公地址：北京市朝阳区东三环北路19号楼701内09室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（54）名称：深圳市金斧子基金销售有限公司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（55）名称：北京雪球基金销售有限公司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（56）名称：中证金牛（北京）基金销售有限公司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传真：（010）59336586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（57）名称：上海证达通基金销售有限公司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（58）名称：北京创金启富基金销售有限公司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（59）名称：奕丰基金销售有限公司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客户服务电话：400-684-0500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（60）名称：上海天天基金销售有限公司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（61）名称：和讯信息科技有限公司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（62）名称：诺亚正行基金销售有限公司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（63）名称：上海好买基金销售有限公司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住所：上海市虹口区场中路685弄37号4号楼449室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（64）名称：上海长量基金销售有限公司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（65）名称：深圳众禄基金销售股份有限公司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（66）名称：蚂蚁（杭州）基金销售有限公司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传真：（0571）26698533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（67）名称：中信期货有限公司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（68）名称：上海基煜基金销售有限公司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（69）名称：浙江同花顺基金销售有限公司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传真：（0571）86800423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（70）名称：宜信普泽（北京）基金销售有限公司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（71）名称：上海联泰基金销售有限公司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（72）名称：泛华普益基金销售有限公司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网址：https://www.puyifund.com/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（73）名称：北京展恒基金销售股份有限公司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（74）名称：上海中欧财富基金销售有限公司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（75）名称：深圳前海微众银行股份有限公司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（76）名称：中国人寿保险股份有限公司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住所：中国北京市西城区金融大街16号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传真：+86 (21) 6288 1889</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9" w:name="_Toc239067344"/>
      <w:r>
        <w:rPr>
          <w:rFonts w:ascii="Times New Roman" w:hAnsi="Times New Roman"/>
          <w:sz w:val="30"/>
        </w:rPr>
        <w:lastRenderedPageBreak/>
        <w:t>六、基金的募集</w:t>
      </w:r>
      <w:bookmarkEnd w:id="9"/>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本基金由基金管理人依照《基金法》、《运作办法》、《销售办法》、基金合同及其他有关规定，并经中国证监会2023年4月10日证监许可【2023】762号文准予募集注册。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本基金2023年7月10日至2023年7月28日进行发售，本基金设立募集期共募集494,103,267.02份基金份额，有效认购户数为6,746户。</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0" w:name="_Toc239067345"/>
      <w:r>
        <w:rPr>
          <w:rFonts w:ascii="Times New Roman" w:hAnsi="Times New Roman"/>
          <w:sz w:val="30"/>
        </w:rPr>
        <w:lastRenderedPageBreak/>
        <w:t>七、基金合同的生效</w:t>
      </w:r>
      <w:bookmarkEnd w:id="10"/>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根据有关规定，本基金满足基金合同生效条件，基金合同已于2023年8月2日正式生效。自基金合同生效之日起，本基金管理人正式开始管理本基金。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1" w:name="_Toc239067346"/>
      <w:r>
        <w:rPr>
          <w:rFonts w:ascii="Times New Roman" w:hAnsi="Times New Roman"/>
          <w:sz w:val="30"/>
        </w:rPr>
        <w:lastRenderedPageBreak/>
        <w:t>八、基金份额的申购与赎回</w:t>
      </w:r>
      <w:bookmarkEnd w:id="11"/>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本基金已于2023年11月1日起开放申购、赎回业务。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w:t>
      </w:r>
      <w:r>
        <w:rPr>
          <w:rFonts w:ascii="宋体" w:hAnsi="宋体"/>
          <w:sz w:val="24"/>
        </w:rPr>
        <w:lastRenderedPageBreak/>
        <w:t>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2E5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B2E5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B2E5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B2E56" w:rsidRDefault="007B2E5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（七）申购和赎回的数额和价格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例五：某养老金客户投资1,000,000元通过基金管理人的直销柜台申购本基金A类基金份额，假设申购当日A类基金份额净值为1.0400元，申购费率为0.6%，则其可得到的申购份额为：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净申购金额=1,000,000/（1+0.6%）=994,035.79元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申购费用=1,000,000-994,035.79=5,964.21元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申购份额=（1,000,000-5,964.21）/1.0400=955,803.64份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即：该养老金客户投资1,000,000元通过基金管理人的直销柜台申购本基金A类基金份额，假设申购当日A类基金份额净值为1.0400元，则其可得到955,803.64份A类基金份额。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例七：某投资者赎回持有的10,000份A类基金份额，持有期限为30日，对应的赎回费率为0.5%，假设赎回当日A类基金份额净值是1.0160元，则其可得到的赎回金额为：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（2）C类基金份额的赎回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例八：某投资者赎回持有的10,000份C类基金份额，持有时间为20日，对应的赎回费率为0.5%，假设赎回当日C类基金份额净值是1.0160元，则其可得到的赎回金额为：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w:t>
      </w:r>
      <w:r>
        <w:rPr>
          <w:rFonts w:ascii="宋体" w:hAnsi="宋体"/>
          <w:sz w:val="24"/>
        </w:rPr>
        <w:lastRenderedPageBreak/>
        <w:t>对基金业绩产生负面影响，或发生其他损害现有基金份额持有人利益的情形。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本基金2023年10月27日刊登公告自2023年11月1日起开通定期定额投资计划业务，具体开通销售机构名单和业务规则参见相关公告。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w:t>
      </w:r>
      <w:r>
        <w:rPr>
          <w:rFonts w:ascii="宋体" w:hAnsi="宋体"/>
          <w:sz w:val="24"/>
        </w:rPr>
        <w:lastRenderedPageBreak/>
        <w:t>有人利益无实质性不利影响的情形下，办理基金份额的质押业务或其他基金业务，基金管理人可制定相应的业务规则，并依照《信息披露办法》的有关规定进行公告。</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2" w:name="_Toc239067347"/>
      <w:r>
        <w:rPr>
          <w:rFonts w:ascii="Times New Roman" w:hAnsi="Times New Roman"/>
          <w:sz w:val="30"/>
        </w:rPr>
        <w:lastRenderedPageBreak/>
        <w:t>九、基金的转换</w:t>
      </w:r>
      <w:bookmarkEnd w:id="12"/>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本基金2023年10月27日刊登公告自2023年11月1日起开放日常转换业务。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3" w:name="_Toc239067348"/>
      <w:r>
        <w:rPr>
          <w:rFonts w:ascii="Times New Roman" w:hAnsi="Times New Roman"/>
          <w:sz w:val="30"/>
        </w:rPr>
        <w:lastRenderedPageBreak/>
        <w:t>十、基金的投资</w:t>
      </w:r>
      <w:bookmarkEnd w:id="13"/>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本基金在严格控制风险的前提下，充分发挥专业研究与管理能力，力争为投资者提供长期稳健的投资回报。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（4）存托凭证的投资策略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基金的投资组合应遵循以下限制：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沪深300指数收益率×70%+恒生指数收益率×5%+中证综合债券指数收益率×25%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w:t>
      </w:r>
      <w:r>
        <w:rPr>
          <w:rFonts w:ascii="宋体" w:hAnsi="宋体"/>
          <w:sz w:val="24"/>
        </w:rPr>
        <w:lastRenderedPageBreak/>
        <w:t>制和管理的经验，编制方法清晰透明，具有独立性和良好的市场流动性；与市场整体表现具有较高的相关度，且指数历史表现强于市场平均收益水平，适合作为本基金A股资产投资的业绩比较基准。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w:t>
      </w:r>
      <w:r>
        <w:rPr>
          <w:rFonts w:ascii="宋体" w:hAnsi="宋体"/>
          <w:sz w:val="24"/>
        </w:rPr>
        <w:lastRenderedPageBreak/>
        <w:t>额持有人利益的原则，基金管理人经与基金托管人协商一致，并咨询会计师事务所意见后，可以依照法律法规及基金合同的约定启用侧袋机制。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本基金托管人招商银行股份有限公司根据本基金合同规定，于2026年04月20日复核了本报告中的财务指标、净值表现和投资组合报告等内容，保证复核内容不存在虚假记载、误导性陈述或者重大遗漏。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151,801,973.67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89.74</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151,801,973.67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89.74</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17,279,020.66</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84,394.57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169,165,388.90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w:t>
      </w:r>
      <w:r>
        <w:rPr>
          <w:rFonts w:ascii="宋体" w:hAnsi="宋体"/>
          <w:sz w:val="24"/>
        </w:rPr>
        <w:lastRenderedPageBreak/>
        <w:t>40,927,140.27元，占基金资产净值比例为24.96%。</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7,570,220.67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4.62</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85,473,577.64</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52.13</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2,003,096.00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1.22</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1,582,443.00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799,468.92</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7,030,970.31</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4.29</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262,817.86</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4,525,129.00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2.76</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1,627,110.00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0.99</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110,874,833.40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67.63</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9,102,049.01</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5.55</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7,832,813.85</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4.78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5,934,568.97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3.62</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5,480,036.23</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4,227,564.60</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2.58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3,780,509.37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2.31</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1,693,056.63</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1,504,490.29</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1,372,051.32</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0.84</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40,927,140.27</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24.96</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31,080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13,763,467.20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8.40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17,400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9,907,734.00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6.04</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600105</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永鼎股份</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165,800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4,599,292.00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2.81</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002384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东山精密</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43,400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4,483,220.00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00883 HK</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中国海洋石油</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4,227,564.60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2.58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06869 HK</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长飞光纤光缆</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24,796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4,006,533.96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75,100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3,954,766.00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2.41</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01347 HK</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华虹半导体</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50,049</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3,431,412.87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01818 HK</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招金矿业</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117,000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3,278,905.46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2.00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300191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潜能恒信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83,500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3,208,905.00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1.96</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 报告期末本基金投资的股指期货持仓和损益明细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64,964.52</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19,430.05</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right"/>
              <w:rPr>
                <w:rFonts w:ascii="宋体" w:hAnsi="宋体"/>
                <w:color w:val="000000"/>
                <w:kern w:val="0"/>
                <w:sz w:val="25"/>
                <w:szCs w:val="24"/>
              </w:rPr>
            </w:pPr>
            <w:r>
              <w:rPr>
                <w:rFonts w:ascii="Times New Roman" w:hAnsi="Times New Roman"/>
                <w:color w:val="000000"/>
                <w:kern w:val="0"/>
                <w:sz w:val="25"/>
                <w:szCs w:val="24"/>
              </w:rPr>
              <w:t>84,394.57</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11.6 投资组合报告附注的其他文字描述部分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4" w:name="_Toc239067349"/>
      <w:r>
        <w:rPr>
          <w:rFonts w:ascii="Times New Roman" w:hAnsi="Times New Roman"/>
          <w:sz w:val="30"/>
        </w:rPr>
        <w:lastRenderedPageBreak/>
        <w:t>十一、基金的业绩</w:t>
      </w:r>
      <w:bookmarkEnd w:id="14"/>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（1）交银启嘉混合A：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5.54%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8.18%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46.04%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32.06%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-10.20%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-5.30%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5.12%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（2）交银启嘉混合C：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5.34%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7.98%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44.88%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30.90%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r>
      <w:tr w:rsidR="007B2E5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B2E56" w:rsidRDefault="0025339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交银施罗德启嘉混合型证券投资基金</w:t>
      </w:r>
    </w:p>
    <w:p w:rsidR="007B2E56" w:rsidRDefault="0025339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（2023年8月2日至2026年03月31日）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（1）交银启嘉混合A</w:t>
      </w:r>
    </w:p>
    <w:p w:rsidR="007B2E56" w:rsidRDefault="003C665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（2）交银启嘉混合C</w:t>
      </w:r>
    </w:p>
    <w:p w:rsidR="007B2E56" w:rsidRDefault="003C665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5" w:name="_Toc239067350"/>
      <w:r>
        <w:rPr>
          <w:rFonts w:ascii="Times New Roman" w:hAnsi="Times New Roman"/>
          <w:sz w:val="30"/>
        </w:rPr>
        <w:lastRenderedPageBreak/>
        <w:t>十二、基金的财产</w:t>
      </w:r>
      <w:bookmarkEnd w:id="15"/>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6" w:name="_Toc239067351"/>
      <w:r>
        <w:rPr>
          <w:rFonts w:ascii="Times New Roman" w:hAnsi="Times New Roman"/>
          <w:sz w:val="30"/>
        </w:rPr>
        <w:lastRenderedPageBreak/>
        <w:t>十三、基金资产的估值</w:t>
      </w:r>
      <w:bookmarkEnd w:id="16"/>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5、估值计算中涉及港币对人民币汇率的，将依据下列信息提供机构所提供的汇率为基准：当日中国人民银行或其授权机构当日公布的人民币与港币的中间价。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w:t>
      </w:r>
      <w:r>
        <w:rPr>
          <w:rFonts w:ascii="宋体" w:hAnsi="宋体"/>
          <w:sz w:val="24"/>
        </w:rPr>
        <w:lastRenderedPageBreak/>
        <w:t>并报中国证监会备案；错误偏差达到基金份额净值的0.5%时，基金管理人应当公告，并报中国证监会备案。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w:t>
      </w:r>
      <w:r>
        <w:rPr>
          <w:rFonts w:ascii="宋体" w:hAnsi="宋体"/>
          <w:sz w:val="24"/>
        </w:rPr>
        <w:lastRenderedPageBreak/>
        <w:t>的基金资产净值和基金份额净值并发送给基金托管人。基金托管人对净值计算结果复核确认后发送给基金管理人，由基金管理人依据基金合同和相关法律法规的规定对基金净值予以公布。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7" w:name="_Toc239067352"/>
      <w:r>
        <w:rPr>
          <w:rFonts w:ascii="Times New Roman" w:hAnsi="Times New Roman"/>
          <w:sz w:val="30"/>
        </w:rPr>
        <w:lastRenderedPageBreak/>
        <w:t>十四、基金收益与分配</w:t>
      </w:r>
      <w:bookmarkEnd w:id="17"/>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8" w:name="_Toc239067353"/>
      <w:r>
        <w:rPr>
          <w:rFonts w:ascii="Times New Roman" w:hAnsi="Times New Roman"/>
          <w:sz w:val="30"/>
        </w:rPr>
        <w:lastRenderedPageBreak/>
        <w:t>十五、基金的费用与税收</w:t>
      </w:r>
      <w:bookmarkEnd w:id="18"/>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本基金A类基金份额不收取销售服务费，C类基金份额的销售服务费按前一日C类基金资产净值的0.8%年费率计提。计算方法如下：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19" w:name="_Toc239067354"/>
      <w:r>
        <w:rPr>
          <w:rFonts w:ascii="Times New Roman" w:hAnsi="Times New Roman"/>
          <w:sz w:val="30"/>
        </w:rPr>
        <w:lastRenderedPageBreak/>
        <w:t>十六、基金的会计与审计</w:t>
      </w:r>
      <w:bookmarkEnd w:id="19"/>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0" w:name="_Toc239067355"/>
      <w:r>
        <w:rPr>
          <w:rFonts w:ascii="Times New Roman" w:hAnsi="Times New Roman"/>
          <w:sz w:val="30"/>
        </w:rPr>
        <w:lastRenderedPageBreak/>
        <w:t>十七、基金的信息披露</w:t>
      </w:r>
      <w:bookmarkEnd w:id="20"/>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w:t>
      </w:r>
      <w:r>
        <w:rPr>
          <w:rFonts w:ascii="宋体" w:hAnsi="宋体"/>
          <w:sz w:val="24"/>
        </w:rPr>
        <w:lastRenderedPageBreak/>
        <w:t>所审计，并由律师事务所出具法律意见书。清算小组应当将清算报告登载在规定网站上，并将清算报告提示性公告登载在规定报刊上。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基金管理人、基金托管人除依法在规定媒介上披露信息外，还可以根据需要在其他公共媒介披露信息，但是其他公共媒介不得早于规定媒介披露信息，并且在不同媒介上披露同一信息的内容应当一致。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1" w:name="_Toc239067356"/>
      <w:r>
        <w:rPr>
          <w:rFonts w:ascii="Times New Roman" w:hAnsi="Times New Roman"/>
          <w:sz w:val="30"/>
        </w:rPr>
        <w:lastRenderedPageBreak/>
        <w:t>十八、侧袋机制</w:t>
      </w:r>
      <w:bookmarkEnd w:id="21"/>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B2E56" w:rsidRDefault="00253396">
      <w:pPr>
        <w:pStyle w:val="1"/>
        <w:snapToGrid w:val="0"/>
        <w:spacing w:beforeLines="0" w:before="240" w:after="240"/>
        <w:rPr>
          <w:rFonts w:ascii="宋体" w:hAnsi="宋体"/>
          <w:szCs w:val="30"/>
        </w:rPr>
      </w:pPr>
      <w:bookmarkStart w:id="22" w:name="_Toc239067357"/>
      <w:r>
        <w:rPr>
          <w:rFonts w:ascii="Times New Roman" w:hAnsi="Times New Roman"/>
          <w:sz w:val="30"/>
        </w:rPr>
        <w:lastRenderedPageBreak/>
        <w:t>十九、风险揭示</w:t>
      </w:r>
      <w:bookmarkEnd w:id="22"/>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w:t>
      </w:r>
      <w:r>
        <w:rPr>
          <w:rFonts w:ascii="宋体" w:hAnsi="宋体"/>
          <w:sz w:val="24"/>
        </w:rPr>
        <w:lastRenderedPageBreak/>
        <w:t>跌幅限制，第六个交易日开始涨跌幅限制比例为20%。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w:t>
      </w:r>
      <w:r>
        <w:rPr>
          <w:rFonts w:ascii="宋体" w:hAnsi="宋体"/>
          <w:sz w:val="24"/>
        </w:rPr>
        <w:lastRenderedPageBreak/>
        <w:t>市场制度以及交易规则等差异带来的特有风险，具体如下：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w:t>
      </w:r>
      <w:r w:rsidRPr="00BB248E">
        <w:rPr>
          <w:rFonts w:ascii="宋体" w:hAnsi="宋体" w:hint="eastAsia"/>
          <w:b/>
          <w:kern w:val="0"/>
          <w:sz w:val="24"/>
        </w:rPr>
        <w:t>投资存托凭证的特定风险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w:t>
      </w:r>
      <w:r>
        <w:rPr>
          <w:rFonts w:ascii="宋体" w:hAnsi="宋体"/>
          <w:sz w:val="24"/>
        </w:rPr>
        <w:lastRenderedPageBreak/>
        <w:t>险；存托凭证退市的风险；已在境外上市的基础证券发行人，在持续信息披露监管方面与境内可能存在差异的风险；境内外法律制度、监管环境差异可能导致的其他风险。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（十一）投资科创板股票的特定风险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w:t>
      </w:r>
      <w:r>
        <w:rPr>
          <w:rFonts w:ascii="宋体" w:hAnsi="宋体"/>
          <w:sz w:val="24"/>
        </w:rPr>
        <w:lastRenderedPageBreak/>
        <w:t>在趋同，所以科创板个股相关性较高，市场表现不佳时，系统性风险将更为显著。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3" w:name="_Toc239067358"/>
      <w:r>
        <w:rPr>
          <w:rFonts w:ascii="Times New Roman" w:hAnsi="Times New Roman"/>
          <w:sz w:val="30"/>
        </w:rPr>
        <w:lastRenderedPageBreak/>
        <w:t>二十、基金合同的变更、终止与基金财产的清算</w:t>
      </w:r>
      <w:bookmarkEnd w:id="23"/>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4" w:name="_Toc239067359"/>
      <w:r>
        <w:rPr>
          <w:rFonts w:ascii="Times New Roman" w:hAnsi="Times New Roman"/>
          <w:sz w:val="30"/>
        </w:rPr>
        <w:lastRenderedPageBreak/>
        <w:t>二十一、基金合同内容摘要</w:t>
      </w:r>
      <w:bookmarkEnd w:id="24"/>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（2）在法律法规规定和《基金合同》约定的范围内且对基金份额持有人利益无实质性不利影响的前提下，以下情况可由基金管理人和基金托管人协商后修改，在履行适当程序后，不需召开基金份额持有人大会：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基金份额持有人大会的各项提案或同一项提案内并列的各项议题应当分开审议、逐项表决。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w:t>
      </w:r>
      <w:r>
        <w:rPr>
          <w:rFonts w:ascii="宋体" w:hAnsi="宋体"/>
          <w:sz w:val="24"/>
        </w:rPr>
        <w:lastRenderedPageBreak/>
        <w:t>将公证书全文、公证机构、公证员姓名等一同公告。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w:t>
      </w:r>
      <w:r>
        <w:rPr>
          <w:rFonts w:ascii="宋体" w:hAnsi="宋体"/>
          <w:sz w:val="24"/>
        </w:rPr>
        <w:lastRenderedPageBreak/>
        <w:t>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w:t>
      </w:r>
      <w:r>
        <w:rPr>
          <w:rFonts w:ascii="宋体" w:hAnsi="宋体"/>
          <w:sz w:val="24"/>
        </w:rPr>
        <w:lastRenderedPageBreak/>
        <w:t>局的，对各方当事人均有约束力，除非仲裁裁决另有规定，仲裁费用由败诉方承担。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5" w:name="_Toc239067360"/>
      <w:r>
        <w:rPr>
          <w:rFonts w:ascii="Times New Roman" w:hAnsi="Times New Roman"/>
          <w:sz w:val="30"/>
        </w:rPr>
        <w:lastRenderedPageBreak/>
        <w:t>二十二、托管协议的内容摘要</w:t>
      </w:r>
      <w:bookmarkEnd w:id="25"/>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w:t>
      </w:r>
      <w:r>
        <w:rPr>
          <w:rFonts w:ascii="宋体" w:hAnsi="宋体"/>
          <w:sz w:val="24"/>
        </w:rPr>
        <w:lastRenderedPageBreak/>
        <w:t>地和香港同时上市的A+H股合计计算），不超过该证券的10％，完全按照有关指数的构成比例进行证券投资的基金品种可以不受此条款规定的比例限制；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a.本基金在任何交易日日终，持有的买入股指期货合约价值，不得超过基金资产净值的10%；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w:t>
      </w:r>
      <w:r>
        <w:rPr>
          <w:rFonts w:ascii="宋体" w:hAnsi="宋体"/>
          <w:sz w:val="24"/>
        </w:rPr>
        <w:lastRenderedPageBreak/>
        <w:t>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1）基金管理人负责控制信用风险。信用风险主要包括存款银行的信用等级、存款银行的支付能力等涉及到存款银行选择方面的风险。因选择存款银行不当造成基金财产损失的，由基金管理人承担责任。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1）基金管理人应与符合资格的存款银行总行或其授权分行签订《存款协议书》。《存款协议书》的格式范本由基金托管人、基金管理人、存款银行总行或其授权分行共同商定。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2）基金托管人依据相关法规对《存款协议书》的内容进行复核，审查存款银行资格等。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1）基金投资于银行存款时，基金管理人应当依据基金管理人与存款银行签订的《存款协议书》等，以基金的名义在存款银行总行或授权分行指定的分支机构开立银行账户。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w:t>
      </w:r>
      <w:r>
        <w:rPr>
          <w:rFonts w:ascii="宋体" w:hAnsi="宋体"/>
          <w:sz w:val="24"/>
        </w:rPr>
        <w:lastRenderedPageBreak/>
        <w:t>金托管人于每季度向存款银行发起查询查复，存款银行应按照人行查询查复的有关时限要求及时回复。因存款银行未及时回复造成的资金被挪用、盗取的责任由存款银行承担。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w:t>
      </w:r>
      <w:r>
        <w:rPr>
          <w:rFonts w:ascii="宋体" w:hAnsi="宋体"/>
          <w:sz w:val="24"/>
        </w:rPr>
        <w:lastRenderedPageBreak/>
        <w:t>任何责任。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与基金托管人协商解决。</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本基金不得投资有锁定期但锁定期不明确的证券。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（5）基金管理人应在基金投资非公开发行股票后两个交易日内，在中国证监</w:t>
      </w:r>
      <w:r>
        <w:rPr>
          <w:rFonts w:ascii="宋体" w:hAnsi="宋体"/>
          <w:sz w:val="24"/>
        </w:rPr>
        <w:lastRenderedPageBreak/>
        <w:t>会规定媒介披露所投资非公开发行股票的名称、数量、总成本、账面价值，以及总成本和账面价值占基金资产净值的比例、锁定期等信息。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w:t>
      </w:r>
      <w:r>
        <w:rPr>
          <w:rFonts w:ascii="宋体" w:hAnsi="宋体"/>
          <w:sz w:val="24"/>
        </w:rPr>
        <w:lastRenderedPageBreak/>
        <w:t>额持有人利益的原则，基金管理人经与基金托管人协商一致，并咨询会计师事务所意见后，可以依照法律法规及基金合同的约定启用侧袋机制。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w:t>
      </w:r>
      <w:r>
        <w:rPr>
          <w:rFonts w:ascii="宋体" w:hAnsi="宋体"/>
          <w:sz w:val="24"/>
        </w:rPr>
        <w:lastRenderedPageBreak/>
        <w:t>户等投资所需的相关账户。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w:t>
      </w:r>
      <w:r>
        <w:rPr>
          <w:rFonts w:ascii="宋体" w:hAnsi="宋体"/>
          <w:sz w:val="24"/>
        </w:rPr>
        <w:lastRenderedPageBreak/>
        <w:t>为“托管账户”），保管基金的银行存款，并根据基金管理人的指令办理资金收付。托管账户名称应为“交银施罗德启嘉混合型证券投资基金”，预留印鉴为基金托管人印章。</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w:t>
      </w:r>
      <w:r>
        <w:rPr>
          <w:rFonts w:ascii="宋体" w:hAnsi="宋体"/>
          <w:sz w:val="24"/>
        </w:rPr>
        <w:lastRenderedPageBreak/>
        <w:t>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1、基金资产净值的计算、复核与完成的时间及程序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基金财务报表由基金管理人编制，基金托管人复核。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w:t>
      </w:r>
      <w:r>
        <w:rPr>
          <w:rFonts w:ascii="宋体" w:hAnsi="宋体"/>
          <w:sz w:val="24"/>
        </w:rPr>
        <w:lastRenderedPageBreak/>
        <w:t>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6" w:name="_Toc239067361"/>
      <w:r>
        <w:rPr>
          <w:rFonts w:ascii="Times New Roman" w:hAnsi="Times New Roman"/>
          <w:sz w:val="30"/>
        </w:rPr>
        <w:lastRenderedPageBreak/>
        <w:t>二十三、对基金份额持有人的服务</w:t>
      </w:r>
      <w:bookmarkEnd w:id="26"/>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7" w:name="_Toc239067362"/>
      <w:r>
        <w:rPr>
          <w:rFonts w:ascii="Times New Roman" w:hAnsi="Times New Roman"/>
          <w:sz w:val="30"/>
        </w:rPr>
        <w:lastRenderedPageBreak/>
        <w:t>二十四、其他应披露事项</w:t>
      </w:r>
      <w:bookmarkEnd w:id="27"/>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B2E5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交银施罗德启嘉混合型证券投资基金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B2E56" w:rsidRDefault="002533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8" w:name="_Toc239067363"/>
      <w:r>
        <w:rPr>
          <w:rFonts w:ascii="Times New Roman" w:hAnsi="Times New Roman"/>
          <w:sz w:val="30"/>
        </w:rPr>
        <w:lastRenderedPageBreak/>
        <w:t>二十五、招募说明书的存放及查阅方式</w:t>
      </w:r>
      <w:bookmarkEnd w:id="28"/>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25339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B2E56" w:rsidRDefault="00253396">
      <w:pPr>
        <w:pStyle w:val="1"/>
        <w:snapToGrid w:val="0"/>
        <w:spacing w:beforeLines="0" w:before="240" w:after="240"/>
        <w:rPr>
          <w:rFonts w:ascii="宋体" w:hAnsi="宋体"/>
          <w:szCs w:val="30"/>
        </w:rPr>
      </w:pPr>
      <w:bookmarkStart w:id="29" w:name="_Toc239067364"/>
      <w:r>
        <w:rPr>
          <w:rFonts w:ascii="Times New Roman" w:hAnsi="Times New Roman"/>
          <w:sz w:val="30"/>
        </w:rPr>
        <w:lastRenderedPageBreak/>
        <w:t>二十六、备查文件</w:t>
      </w:r>
      <w:bookmarkEnd w:id="29"/>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（一）中国证监会准予交银施罗德启嘉混合型证券投资基金募集注册的文件</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（二）《交银施罗德启嘉混合型证券投资基金基金合同》</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（三）《交银施罗德启嘉混合型证券投资基金托管协议》</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B2E56" w:rsidRDefault="0025339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（六）关于申请募集注册交银施罗德启嘉混合型证券投资基金的法律意见书</w:t>
      </w:r>
    </w:p>
    <w:sectPr w:rsidR="007B2E56">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0E4" w:rsidRDefault="00253396">
      <w:r>
        <w:separator/>
      </w:r>
    </w:p>
  </w:endnote>
  <w:endnote w:type="continuationSeparator" w:id="0">
    <w:p w:rsidR="00C370E4" w:rsidRDefault="00253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7B2E5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3C665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B2E56" w:rsidRDefault="0025339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C6659">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7B2E5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3C665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B2E56" w:rsidRDefault="0025339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C6659">
                  <w:rPr>
                    <w:rFonts w:ascii="Times New Roman" w:hAnsi="Times New Roman"/>
                    <w:noProof/>
                    <w:kern w:val="0"/>
                    <w:sz w:val="18"/>
                    <w:szCs w:val="18"/>
                  </w:rPr>
                  <w:t>163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0E4" w:rsidRDefault="00253396">
      <w:r>
        <w:separator/>
      </w:r>
    </w:p>
  </w:footnote>
  <w:footnote w:type="continuationSeparator" w:id="0">
    <w:p w:rsidR="00C370E4" w:rsidRDefault="00253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7B2E5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253396">
    <w:pPr>
      <w:pStyle w:val="a3"/>
      <w:jc w:val="right"/>
      <w:rPr>
        <w:rFonts w:ascii="宋体" w:hAnsi="宋体"/>
      </w:rPr>
    </w:pPr>
    <w:r>
      <w:rPr>
        <w:rFonts w:ascii="宋体" w:hAnsi="宋体" w:hint="eastAsia"/>
      </w:rPr>
      <w:t>交银施罗德启嘉混合型证券投资基金招募说明书更新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7B2E56">
    <w:pPr>
      <w:pStyle w:val="10"/>
      <w:jc w:val="right"/>
    </w:pPr>
  </w:p>
  <w:p w:rsidR="007B2E56" w:rsidRDefault="007B2E56">
    <w:pPr>
      <w:pStyle w:val="10"/>
      <w:jc w:val="right"/>
    </w:pPr>
  </w:p>
  <w:p w:rsidR="007B2E56" w:rsidRDefault="007B2E56">
    <w:pPr>
      <w:pStyle w:val="a3"/>
      <w:jc w:val="right"/>
    </w:pPr>
  </w:p>
  <w:p w:rsidR="007B2E56" w:rsidRDefault="00253396">
    <w:pPr>
      <w:pStyle w:val="a3"/>
      <w:jc w:val="right"/>
      <w:rPr>
        <w:rFonts w:ascii="宋体" w:hAnsi="宋体"/>
      </w:rPr>
    </w:pPr>
    <w:r>
      <w:rPr>
        <w:rFonts w:ascii="宋体" w:hAnsi="宋体" w:hint="eastAsia"/>
      </w:rPr>
      <w:t>交银施罗德启嘉混合型证券投资基金招募说明书更新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E56" w:rsidRDefault="007B2E56">
    <w:pPr>
      <w:pStyle w:val="a3"/>
      <w:jc w:val="right"/>
    </w:pPr>
  </w:p>
  <w:p w:rsidR="007B2E56" w:rsidRDefault="007B2E56">
    <w:pPr>
      <w:pStyle w:val="a3"/>
      <w:jc w:val="right"/>
    </w:pPr>
  </w:p>
  <w:p w:rsidR="007B2E56" w:rsidRDefault="007B2E56">
    <w:pPr>
      <w:pStyle w:val="a3"/>
      <w:jc w:val="right"/>
    </w:pPr>
  </w:p>
  <w:p w:rsidR="007B2E56" w:rsidRDefault="00253396">
    <w:pPr>
      <w:pStyle w:val="a3"/>
      <w:jc w:val="right"/>
      <w:rPr>
        <w:rFonts w:ascii="宋体" w:hAnsi="宋体"/>
      </w:rPr>
    </w:pPr>
    <w:r>
      <w:rPr>
        <w:rFonts w:ascii="宋体" w:hAnsi="宋体" w:hint="eastAsia"/>
      </w:rPr>
      <w:t>交银施罗德启嘉混合型证券投资基金招募说明书更新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53396"/>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659"/>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2E56"/>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370E4"/>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16F348B1-C0AC-4DBE-A410-F94186F2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164</Pages>
  <Words>17404</Words>
  <Characters>99204</Characters>
  <Application>Microsoft Office Word</Application>
  <DocSecurity>0</DocSecurity>
  <Lines>826</Lines>
  <Paragraphs>232</Paragraphs>
  <ScaleCrop>false</ScaleCrop>
  <Company>Microsoft</Company>
  <LinksUpToDate>false</LinksUpToDate>
  <CharactersWithSpaces>116376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2026-08-31T03:15:00Z</dcterms:created>
  <dcterms:modified xsi:type="dcterms:W3CDTF">2026-08-31T03:15:00Z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