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ascii="黑体" w:hAnsi="黑体" w:eastAsia="黑体"/>
          <w:b/>
          <w:sz w:val="36"/>
        </w:rPr>
      </w:pPr>
      <w:r>
        <w:rPr>
          <w:rFonts w:hint="eastAsia" w:ascii="黑体" w:hAnsi="黑体" w:eastAsia="黑体"/>
          <w:b/>
          <w:sz w:val="36"/>
        </w:rPr>
        <w:t>交银施罗德瑞安混合型证券投资基金（C类份额）</w:t>
      </w:r>
    </w:p>
    <w:p>
      <w:pPr>
        <w:jc w:val="center"/>
        <w:rPr>
          <w:rFonts w:ascii="黑体" w:hAnsi="黑体" w:eastAsia="黑体"/>
          <w:b/>
          <w:sz w:val="36"/>
        </w:rPr>
      </w:pPr>
      <w:r>
        <w:rPr>
          <w:rFonts w:hint="eastAsia" w:ascii="黑体" w:hAnsi="黑体" w:eastAsia="黑体"/>
          <w:b/>
          <w:sz w:val="36"/>
        </w:rPr>
        <w:t>基金产品资料概要更新</w:t>
      </w:r>
    </w:p>
    <w:p>
      <w:pPr>
        <w:jc w:val="right"/>
        <w:rPr>
          <w:rFonts w:ascii="仿宋_GB2312" w:hAnsi="宋体" w:eastAsia="仿宋_GB2312" w:cs="宋体"/>
          <w:kern w:val="0"/>
          <w:szCs w:val="21"/>
        </w:rPr>
      </w:pPr>
      <w:r>
        <w:rPr>
          <w:rFonts w:hint="eastAsia" w:ascii="仿宋_GB2312" w:eastAsia="仿宋_GB2312"/>
        </w:rPr>
        <w:t>编制日期：</w:t>
      </w:r>
      <w:r>
        <w:rPr>
          <w:rFonts w:hint="eastAsia" w:ascii="仿宋_GB2312" w:hAnsi="宋体" w:eastAsia="仿宋_GB2312" w:cs="宋体"/>
          <w:kern w:val="0"/>
          <w:szCs w:val="21"/>
        </w:rPr>
        <w:t>2026-08-29</w:t>
      </w:r>
    </w:p>
    <w:p>
      <w:pPr>
        <w:spacing w:line="380" w:lineRule="exact"/>
        <w:jc w:val="center"/>
        <w:rPr>
          <w:rFonts w:ascii="方正仿宋简体" w:hAnsi="方正仿宋简体" w:cs="方正仿宋简体"/>
          <w:b/>
          <w:iCs/>
          <w:szCs w:val="21"/>
        </w:rPr>
      </w:pPr>
      <w:r>
        <w:rPr>
          <w:rFonts w:ascii="方正仿宋简体" w:hAnsi="方正仿宋简体"/>
        </w:rPr>
        <w:t>送出日期：</w:t>
      </w:r>
      <w:r>
        <w:rPr>
          <w:rFonts w:ascii="Times New Roman" w:hAnsi="Times New Roman" w:cs="Times New Roman"/>
        </w:rPr>
        <w:t>2026-08-31</w:t>
      </w:r>
      <w:r>
        <w:rPr>
          <w:rFonts w:hint="eastAsia" w:ascii="方正仿宋简体" w:hAnsi="方正仿宋简体" w:cs="方正仿宋简体"/>
          <w:b/>
          <w:iCs/>
          <w:szCs w:val="21"/>
        </w:rPr>
        <w:t xml:space="preserve"> </w:t>
      </w:r>
    </w:p>
    <w:p>
      <w:pPr>
        <w:autoSpaceDE w:val="0"/>
        <w:autoSpaceDN w:val="0"/>
        <w:adjustRightInd w:val="0"/>
        <w:jc w:val="center"/>
        <w:rPr>
          <w:rFonts w:ascii="黑体" w:hAnsi="黑体" w:eastAsia="黑体" w:cs="FZHTJW--GB1-0"/>
          <w:kern w:val="0"/>
          <w:sz w:val="30"/>
          <w:szCs w:val="30"/>
        </w:rPr>
      </w:pPr>
      <w:r>
        <w:rPr>
          <w:rFonts w:hint="eastAsia" w:ascii="黑体" w:hAnsi="黑体" w:eastAsia="黑体" w:cs="宋体"/>
          <w:kern w:val="0"/>
          <w:sz w:val="30"/>
          <w:szCs w:val="30"/>
        </w:rPr>
        <w:t>本概要提供本基金的重要信息，是招募说明书的一部分。</w:t>
      </w:r>
    </w:p>
    <w:p>
      <w:pPr>
        <w:jc w:val="center"/>
        <w:rPr>
          <w:rFonts w:ascii="黑体" w:hAnsi="黑体" w:eastAsia="黑体" w:cs="宋体"/>
          <w:kern w:val="0"/>
          <w:sz w:val="30"/>
          <w:szCs w:val="30"/>
        </w:rPr>
      </w:pPr>
      <w:r>
        <w:rPr>
          <w:rFonts w:hint="eastAsia" w:ascii="黑体" w:hAnsi="黑体" w:eastAsia="黑体" w:cs="宋体"/>
          <w:kern w:val="0"/>
          <w:sz w:val="30"/>
          <w:szCs w:val="30"/>
        </w:rPr>
        <w:t>作出投资决定前，请阅读完整的招募说明书等销售文件。</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一、产品概况</w:t>
      </w:r>
    </w:p>
    <w:tbl>
      <w:tblPr>
        <w:tblStyle w:val="8"/>
        <w:tblW w:w="9072"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307"/>
        <w:gridCol w:w="1563"/>
        <w:gridCol w:w="3285"/>
        <w:gridCol w:w="1917"/>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widowControl/>
              <w:jc w:val="left"/>
              <w:rPr>
                <w:rFonts w:ascii="仿宋_GB2312" w:eastAsia="仿宋_GB2312"/>
                <w:szCs w:val="21"/>
              </w:rPr>
            </w:pPr>
            <w:r>
              <w:rPr>
                <w:rFonts w:hint="eastAsia" w:ascii="仿宋_GB2312" w:eastAsia="仿宋_GB2312"/>
                <w:szCs w:val="21"/>
              </w:rPr>
              <w:t>基金简称</w:t>
            </w:r>
          </w:p>
        </w:tc>
        <w:tc>
          <w:tcPr>
            <w:tcW w:w="1601" w:type="dxa"/>
            <w:vAlign w:val="center"/>
          </w:tcPr>
          <w:p>
            <w:pPr>
              <w:rPr>
                <w:rFonts w:ascii="仿宋_GB2312" w:eastAsia="仿宋_GB2312"/>
                <w:szCs w:val="21"/>
              </w:rPr>
            </w:pPr>
            <w:r>
              <w:rPr>
                <w:rFonts w:hint="eastAsia" w:ascii="仿宋_GB2312" w:eastAsia="仿宋_GB2312"/>
                <w:szCs w:val="21"/>
              </w:rPr>
              <w:t>交银瑞安混合C</w:t>
            </w:r>
          </w:p>
        </w:tc>
        <w:tc>
          <w:tcPr>
            <w:tcW w:w="3649" w:type="dxa"/>
            <w:vAlign w:val="center"/>
          </w:tcPr>
          <w:p>
            <w:pPr>
              <w:rPr>
                <w:rFonts w:ascii="仿宋_GB2312" w:hAnsi="宋体" w:eastAsia="仿宋_GB2312" w:cs="宋体"/>
                <w:szCs w:val="21"/>
              </w:rPr>
            </w:pPr>
            <w:r>
              <w:rPr>
                <w:rFonts w:hint="eastAsia" w:ascii="仿宋_GB2312" w:eastAsia="仿宋_GB2312"/>
                <w:szCs w:val="21"/>
              </w:rPr>
              <w:t>基金代码</w:t>
            </w:r>
          </w:p>
        </w:tc>
        <w:tc>
          <w:tcPr>
            <w:tcW w:w="1275" w:type="dxa"/>
            <w:vAlign w:val="center"/>
          </w:tcPr>
          <w:p>
            <w:pPr>
              <w:rPr>
                <w:rFonts w:ascii="仿宋_GB2312" w:eastAsia="仿宋_GB2312"/>
                <w:szCs w:val="21"/>
              </w:rPr>
            </w:pPr>
            <w:r>
              <w:rPr>
                <w:rFonts w:hint="eastAsia" w:ascii="仿宋_GB2312" w:eastAsia="仿宋_GB2312"/>
                <w:szCs w:val="21"/>
              </w:rPr>
              <w:t>024440</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基金管理人</w:t>
            </w:r>
          </w:p>
        </w:tc>
        <w:tc>
          <w:tcPr>
            <w:tcW w:w="1601" w:type="dxa"/>
            <w:vAlign w:val="center"/>
          </w:tcPr>
          <w:p>
            <w:pPr>
              <w:rPr>
                <w:rFonts w:ascii="仿宋_GB2312" w:eastAsia="仿宋_GB2312"/>
                <w:szCs w:val="21"/>
              </w:rPr>
            </w:pPr>
            <w:r>
              <w:rPr>
                <w:rFonts w:hint="eastAsia" w:ascii="仿宋_GB2312" w:eastAsia="仿宋_GB2312"/>
                <w:szCs w:val="21"/>
              </w:rPr>
              <w:t>交银施罗德基金管理有限公司</w:t>
            </w:r>
          </w:p>
        </w:tc>
        <w:tc>
          <w:tcPr>
            <w:tcW w:w="3649" w:type="dxa"/>
            <w:vAlign w:val="center"/>
          </w:tcPr>
          <w:p>
            <w:pPr>
              <w:rPr>
                <w:rFonts w:ascii="仿宋_GB2312" w:hAnsi="宋体" w:eastAsia="仿宋_GB2312" w:cs="宋体"/>
                <w:szCs w:val="21"/>
              </w:rPr>
            </w:pPr>
            <w:r>
              <w:rPr>
                <w:rFonts w:hint="eastAsia" w:ascii="仿宋_GB2312" w:eastAsia="仿宋_GB2312"/>
                <w:szCs w:val="21"/>
              </w:rPr>
              <w:t>基金托管人</w:t>
            </w:r>
          </w:p>
        </w:tc>
        <w:tc>
          <w:tcPr>
            <w:tcW w:w="1275" w:type="dxa"/>
            <w:vAlign w:val="center"/>
          </w:tcPr>
          <w:p>
            <w:pPr>
              <w:rPr>
                <w:rFonts w:ascii="仿宋_GB2312" w:eastAsia="仿宋_GB2312"/>
                <w:szCs w:val="21"/>
              </w:rPr>
            </w:pPr>
            <w:r>
              <w:rPr>
                <w:rFonts w:hint="eastAsia" w:ascii="仿宋_GB2312" w:eastAsia="仿宋_GB2312"/>
                <w:szCs w:val="21"/>
              </w:rPr>
              <w:t>上海浦东发展银行股份有限公司</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gridAfter w:val="2"/>
          <w:wAfter w:w="4924" w:type="dxa"/>
          <w:jc w:val="center"/>
        </w:trPr>
        <w:tc>
          <w:tcPr>
            <w:tcW w:w="1843" w:type="dxa"/>
            <w:vAlign w:val="center"/>
          </w:tcPr>
          <w:p>
            <w:pPr>
              <w:rPr>
                <w:rFonts w:ascii="仿宋_GB2312" w:eastAsia="仿宋_GB2312"/>
                <w:szCs w:val="21"/>
              </w:rPr>
            </w:pPr>
            <w:r>
              <w:rPr>
                <w:rFonts w:hint="eastAsia" w:ascii="仿宋_GB2312" w:eastAsia="仿宋_GB2312"/>
                <w:szCs w:val="21"/>
              </w:rPr>
              <w:t>基金合同生效日</w:t>
            </w:r>
          </w:p>
        </w:tc>
        <w:tc>
          <w:tcPr>
            <w:tcW w:w="1601" w:type="dxa"/>
            <w:vAlign w:val="center"/>
          </w:tcPr>
          <w:p>
            <w:pPr>
              <w:rPr>
                <w:rFonts w:ascii="仿宋_GB2312" w:eastAsia="仿宋_GB2312"/>
                <w:szCs w:val="21"/>
              </w:rPr>
            </w:pPr>
            <w:r>
              <w:rPr>
                <w:rFonts w:hint="eastAsia" w:ascii="仿宋_GB2312" w:eastAsia="仿宋_GB2312"/>
                <w:szCs w:val="21"/>
              </w:rPr>
              <w:t>2025-06-24</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基金类型</w:t>
            </w:r>
          </w:p>
        </w:tc>
        <w:tc>
          <w:tcPr>
            <w:tcW w:w="1601" w:type="dxa"/>
            <w:vAlign w:val="center"/>
          </w:tcPr>
          <w:p>
            <w:pPr>
              <w:rPr>
                <w:rFonts w:ascii="仿宋_GB2312" w:eastAsia="仿宋_GB2312"/>
                <w:szCs w:val="21"/>
              </w:rPr>
            </w:pPr>
            <w:r>
              <w:rPr>
                <w:rFonts w:hint="eastAsia" w:ascii="仿宋_GB2312" w:eastAsia="仿宋_GB2312"/>
                <w:szCs w:val="21"/>
              </w:rPr>
              <w:t>混合型</w:t>
            </w:r>
          </w:p>
        </w:tc>
        <w:tc>
          <w:tcPr>
            <w:tcW w:w="3649" w:type="dxa"/>
            <w:vAlign w:val="center"/>
          </w:tcPr>
          <w:p>
            <w:pPr>
              <w:rPr>
                <w:rFonts w:ascii="仿宋_GB2312" w:hAnsi="宋体" w:eastAsia="仿宋_GB2312" w:cs="宋体"/>
                <w:szCs w:val="21"/>
              </w:rPr>
            </w:pPr>
            <w:r>
              <w:rPr>
                <w:rFonts w:hint="eastAsia" w:ascii="仿宋_GB2312" w:eastAsia="仿宋_GB2312"/>
                <w:szCs w:val="21"/>
              </w:rPr>
              <w:t>交易币种</w:t>
            </w:r>
          </w:p>
        </w:tc>
        <w:tc>
          <w:tcPr>
            <w:tcW w:w="1275" w:type="dxa"/>
            <w:vAlign w:val="center"/>
          </w:tcPr>
          <w:p>
            <w:pPr>
              <w:rPr>
                <w:rFonts w:ascii="仿宋_GB2312" w:eastAsia="仿宋_GB2312"/>
                <w:szCs w:val="21"/>
              </w:rPr>
            </w:pPr>
            <w:r>
              <w:rPr>
                <w:rFonts w:hint="eastAsia" w:ascii="仿宋_GB2312" w:eastAsia="仿宋_GB2312"/>
                <w:szCs w:val="21"/>
              </w:rPr>
              <w:t>人民币</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运作方式</w:t>
            </w:r>
          </w:p>
        </w:tc>
        <w:tc>
          <w:tcPr>
            <w:tcW w:w="1601" w:type="dxa"/>
            <w:vAlign w:val="center"/>
          </w:tcPr>
          <w:p>
            <w:pPr>
              <w:rPr>
                <w:rFonts w:ascii="仿宋_GB2312" w:eastAsia="仿宋_GB2312"/>
                <w:szCs w:val="21"/>
              </w:rPr>
            </w:pPr>
            <w:r>
              <w:rPr>
                <w:rFonts w:hint="eastAsia" w:ascii="仿宋_GB2312" w:eastAsia="仿宋_GB2312"/>
                <w:szCs w:val="21"/>
              </w:rPr>
              <w:t>普通开放式</w:t>
            </w:r>
          </w:p>
        </w:tc>
        <w:tc>
          <w:tcPr>
            <w:tcW w:w="3649" w:type="dxa"/>
            <w:vAlign w:val="center"/>
          </w:tcPr>
          <w:p>
            <w:pPr>
              <w:rPr>
                <w:rFonts w:ascii="仿宋_GB2312" w:hAnsi="宋体" w:eastAsia="仿宋_GB2312" w:cs="宋体"/>
                <w:szCs w:val="21"/>
              </w:rPr>
            </w:pPr>
            <w:r>
              <w:rPr>
                <w:rFonts w:hint="eastAsia" w:ascii="仿宋_GB2312" w:eastAsia="仿宋_GB2312"/>
                <w:szCs w:val="21"/>
              </w:rPr>
              <w:t>开放频率</w:t>
            </w:r>
          </w:p>
        </w:tc>
        <w:tc>
          <w:tcPr>
            <w:tcW w:w="1275" w:type="dxa"/>
            <w:vAlign w:val="center"/>
          </w:tcPr>
          <w:p>
            <w:pPr>
              <w:rPr>
                <w:rFonts w:ascii="仿宋_GB2312" w:eastAsia="仿宋_GB2312"/>
                <w:szCs w:val="21"/>
              </w:rPr>
            </w:pPr>
            <w:r>
              <w:rPr>
                <w:rFonts w:hint="eastAsia" w:ascii="仿宋_GB2312" w:eastAsia="仿宋_GB2312"/>
                <w:szCs w:val="21"/>
              </w:rPr>
              <w:t>每个开放日</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Merge w:val="restart"/>
          </w:tcPr>
          <w:p>
            <w:pPr>
              <w:jc w:val="left"/>
              <w:rPr>
                <w:rFonts w:ascii="仿宋_GB2312" w:eastAsia="仿宋_GB2312"/>
                <w:szCs w:val="21"/>
              </w:rPr>
            </w:pPr>
            <w:r>
              <w:rPr>
                <w:rFonts w:hint="eastAsia" w:ascii="仿宋_GB2312" w:eastAsia="仿宋_GB2312"/>
                <w:szCs w:val="21"/>
              </w:rPr>
              <w:t>基金经理</w:t>
            </w:r>
          </w:p>
        </w:tc>
        <w:tc>
          <w:tcPr>
            <w:tcW w:w="1601" w:type="dxa"/>
            <w:vMerge w:val="restart"/>
          </w:tcPr>
          <w:p>
            <w:pPr>
              <w:jc w:val="left"/>
              <w:rPr>
                <w:rFonts w:ascii="仿宋_GB2312" w:eastAsia="仿宋_GB2312"/>
                <w:szCs w:val="21"/>
              </w:rPr>
            </w:pPr>
            <w:r>
              <w:rPr>
                <w:rFonts w:hint="eastAsia" w:ascii="仿宋_GB2312" w:eastAsia="仿宋_GB2312"/>
                <w:szCs w:val="21"/>
              </w:rPr>
              <w:t>孙婕衎</w:t>
            </w:r>
          </w:p>
        </w:tc>
        <w:tc>
          <w:tcPr>
            <w:tcW w:w="3000" w:type="dxa"/>
          </w:tcPr>
          <w:p>
            <w:pPr>
              <w:jc w:val="left"/>
              <w:rPr>
                <w:rFonts w:ascii="仿宋_GB2312" w:eastAsia="仿宋_GB2312"/>
                <w:szCs w:val="21"/>
              </w:rPr>
            </w:pPr>
            <w:r>
              <w:rPr>
                <w:rFonts w:hint="eastAsia" w:ascii="仿宋_GB2312" w:hAnsi="宋体" w:eastAsia="仿宋_GB2312" w:cs="宋体"/>
                <w:kern w:val="0"/>
                <w:szCs w:val="21"/>
              </w:rPr>
              <w:t>开始担任本基金基金经理的日期</w:t>
            </w:r>
          </w:p>
        </w:tc>
        <w:tc>
          <w:tcPr>
            <w:tcW w:w="2000" w:type="dxa"/>
          </w:tcPr>
          <w:p>
            <w:pPr>
              <w:jc w:val="left"/>
              <w:rPr>
                <w:rFonts w:ascii="仿宋_GB2312" w:eastAsia="仿宋_GB2312"/>
                <w:szCs w:val="21"/>
              </w:rPr>
            </w:pPr>
            <w:r>
              <w:rPr>
                <w:rFonts w:hint="eastAsia" w:ascii="仿宋_GB2312" w:eastAsia="仿宋_GB2312"/>
                <w:szCs w:val="21"/>
              </w:rPr>
              <w:t>2026-08-26</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vMerge w:val="continue"/>
          </w:tcPr>
          <w:p>
            <w:pPr>
              <w:jc w:val="left"/>
              <w:rPr>
                <w:rFonts w:ascii="仿宋_GB2312" w:eastAsia="仿宋_GB2312"/>
                <w:szCs w:val="21"/>
              </w:rPr>
            </w:pPr>
          </w:p>
        </w:tc>
        <w:tc>
          <w:tcPr>
            <w:tcW w:w="1601" w:type="dxa"/>
            <w:vMerge w:val="continue"/>
          </w:tcPr>
          <w:p>
            <w:pPr>
              <w:jc w:val="left"/>
              <w:rPr>
                <w:rFonts w:ascii="仿宋_GB2312" w:eastAsia="仿宋_GB2312"/>
                <w:szCs w:val="21"/>
              </w:rPr>
            </w:pPr>
          </w:p>
        </w:tc>
        <w:tc>
          <w:tcPr>
            <w:tcW w:w="3649" w:type="dxa"/>
          </w:tcPr>
          <w:p>
            <w:pPr>
              <w:jc w:val="left"/>
              <w:rPr>
                <w:rFonts w:ascii="仿宋_GB2312" w:eastAsia="仿宋_GB2312"/>
                <w:szCs w:val="21"/>
              </w:rPr>
            </w:pPr>
            <w:r>
              <w:rPr>
                <w:rFonts w:hint="eastAsia" w:ascii="仿宋_GB2312" w:hAnsi="宋体" w:eastAsia="仿宋_GB2312" w:cs="宋体"/>
                <w:kern w:val="0"/>
                <w:szCs w:val="21"/>
              </w:rPr>
              <w:t>证券从业日期</w:t>
            </w:r>
          </w:p>
        </w:tc>
        <w:tc>
          <w:tcPr>
            <w:tcW w:w="1275" w:type="dxa"/>
          </w:tcPr>
          <w:p>
            <w:pPr>
              <w:jc w:val="left"/>
              <w:rPr>
                <w:rFonts w:ascii="仿宋_GB2312" w:eastAsia="仿宋_GB2312"/>
                <w:szCs w:val="21"/>
              </w:rPr>
            </w:pPr>
            <w:r>
              <w:rPr>
                <w:rFonts w:hint="eastAsia" w:ascii="仿宋_GB2312" w:eastAsia="仿宋_GB2312"/>
                <w:szCs w:val="21"/>
              </w:rPr>
              <w:t>2011-05-11</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hAnsi="宋体" w:eastAsia="仿宋_GB2312" w:cs="宋体"/>
                <w:kern w:val="0"/>
                <w:szCs w:val="21"/>
              </w:rPr>
              <w:t>其他</w:t>
            </w:r>
          </w:p>
        </w:tc>
        <w:tc>
          <w:tcPr>
            <w:tcW w:w="6525" w:type="dxa"/>
            <w:gridSpan w:val="3"/>
          </w:tcPr>
          <w:p>
            <w:pPr>
              <w:ind w:firstLine="420"/>
              <w:jc w:val="left"/>
              <w:rPr>
                <w:rFonts w:ascii="仿宋_GB2312" w:eastAsia="仿宋_GB2312"/>
                <w:szCs w:val="21"/>
              </w:rPr>
            </w:pPr>
            <w:r>
              <w:rPr>
                <w:rFonts w:ascii="仿宋_GB2312" w:eastAsia="仿宋_GB2312"/>
                <w:szCs w:val="21"/>
              </w:rPr>
              <w:t>《基金合同》生效后，连续20个工作日出现基金份额持有人数量不满200人或者基金资产净值低于5000万元情形的，基金管理人应当在定期报告中予以披露；连续60个工作日出现前述情形的，基金管理人应当在10个工作日内向中国证监会报告并提出解决方案，如持续运作、转换运作方式、与其他基金合并或者终止基金合同等，并在6个月内召集基金份额持有人大会。</w:t>
            </w:r>
          </w:p>
        </w:tc>
      </w:tr>
    </w:tbl>
    <w:p>
      <w:pPr>
        <w:jc w:val="left"/>
        <w:rPr>
          <w:rFonts w:ascii="仿宋_GB2312" w:hAnsi="宋体" w:eastAsia="仿宋_GB2312" w:cs="宋体"/>
          <w:b/>
          <w:kern w:val="0"/>
          <w:szCs w:val="21"/>
        </w:rPr>
      </w:pPr>
      <w:r>
        <w:rPr>
          <w:rFonts w:hint="eastAsia" w:ascii="仿宋_GB2312" w:hAnsi="宋体" w:eastAsia="仿宋_GB2312" w:cs="宋体"/>
          <w:b/>
          <w:kern w:val="0"/>
          <w:szCs w:val="21"/>
        </w:rPr>
        <w:t>二、基金投资与净值表现</w:t>
      </w:r>
    </w:p>
    <w:p>
      <w:pPr>
        <w:jc w:val="left"/>
        <w:rPr>
          <w:rFonts w:ascii="仿宋_GB2312" w:eastAsia="仿宋_GB2312"/>
          <w:b/>
          <w:szCs w:val="21"/>
        </w:rPr>
      </w:pPr>
      <w:r>
        <w:rPr>
          <w:rFonts w:hint="eastAsia" w:ascii="仿宋_GB2312" w:eastAsia="仿宋_GB2312"/>
          <w:b/>
          <w:szCs w:val="21"/>
        </w:rPr>
        <w:t>（一）投资目标与投资策略</w:t>
      </w:r>
    </w:p>
    <w:tbl>
      <w:tblPr>
        <w:tblStyle w:val="8"/>
        <w:tblW w:w="9072"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1876"/>
        <w:gridCol w:w="7196"/>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widowControl/>
              <w:jc w:val="left"/>
              <w:rPr>
                <w:rFonts w:ascii="仿宋_GB2312" w:eastAsia="仿宋_GB2312"/>
                <w:szCs w:val="21"/>
              </w:rPr>
            </w:pPr>
            <w:r>
              <w:rPr>
                <w:rFonts w:hint="eastAsia" w:ascii="仿宋_GB2312" w:eastAsia="仿宋_GB2312"/>
                <w:szCs w:val="21"/>
              </w:rPr>
              <w:t>投资目标</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本基金在合理控制风险的前提下，充分发挥专业研究与管理能力，力争为投资者提供长期稳健的投资回报。</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投资范围</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的投资范围为具有良好流动性的金融工具，包括国内依法发行上市的股票（含主板、创业板、科创板及其他经中国证监会核准或注册上市的股票、存托凭证）、港股通标的股票、债券（含国债、央行票据、金融债券、政府支持债券、政府支持机构债券、地方政府债券、企业债券、公司债券、可转换债券（含可分离交易可转换债券）、可交换公司债券、次级债券、中期票据、短期融资券、超短期融资券等）、资产支持证券、货币市场工具、债券回购、同业存单、银行存款（含协议存款、定期存款及其他银行存款）、股指期货以及法律法规或中国证监会允许基金投资的其他金融工具（但须符合中国证监会相关规定）。</w:t>
            </w:r>
          </w:p>
          <w:p>
            <w:pPr>
              <w:ind w:firstLine="420"/>
              <w:jc w:val="left"/>
              <w:rPr>
                <w:rFonts w:ascii="仿宋_GB2312" w:eastAsia="仿宋_GB2312"/>
                <w:szCs w:val="21"/>
              </w:rPr>
            </w:pPr>
            <w:r>
              <w:rPr>
                <w:rFonts w:hint="eastAsia" w:ascii="仿宋_GB2312" w:eastAsia="仿宋_GB2312"/>
                <w:szCs w:val="21"/>
              </w:rPr>
              <w:t>如法律法规或监管机构以后允许基金投资其他品种，基金管理人在履行适当程序后，可以将其纳入投资范围。</w:t>
            </w:r>
          </w:p>
          <w:p>
            <w:pPr>
              <w:ind w:firstLine="420"/>
              <w:jc w:val="left"/>
              <w:rPr>
                <w:rFonts w:ascii="仿宋_GB2312" w:eastAsia="仿宋_GB2312"/>
                <w:szCs w:val="21"/>
              </w:rPr>
            </w:pPr>
            <w:r>
              <w:rPr>
                <w:rFonts w:hint="eastAsia" w:ascii="仿宋_GB2312" w:eastAsia="仿宋_GB2312"/>
                <w:szCs w:val="21"/>
              </w:rPr>
              <w:t>基金的投资组合比例为：股票投资（含存托凭证）占基金资产的比例为60%-95%，其中投资于港股通标的股票的比例占股票资产的0%-50%；每个交易日日终在扣除股指期货合约需缴纳的交易保证金后，本基金持有的现金或者到期日在一年以内的政府债券的比例合计不低于基金资产净值的5%，其中现金不包括结算备付金、存出保证金、应收申购款等。</w:t>
            </w:r>
          </w:p>
          <w:p>
            <w:pPr>
              <w:ind w:firstLine="420"/>
              <w:jc w:val="left"/>
              <w:rPr>
                <w:rFonts w:ascii="仿宋_GB2312" w:eastAsia="仿宋_GB2312"/>
                <w:szCs w:val="21"/>
              </w:rPr>
            </w:pPr>
            <w:r>
              <w:rPr>
                <w:rFonts w:hint="eastAsia" w:ascii="仿宋_GB2312" w:eastAsia="仿宋_GB2312"/>
                <w:szCs w:val="21"/>
              </w:rPr>
              <w:t>如果法律法规或中国证监会变更投资品种的投资比例限制，基金管理人在履行适当程序后，可以调整上述投资品种的投资比例。</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主要投资策略</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充分发挥基金管理人的研究优势，在分析和判断宏观经济周期和金融市场运行趋势的基础上，运用修正后的投资时钟分析框架，自上而下调整基金大类资产配置；在严谨深入的股票和债券研究分析基础上，自下而上精选个股和个券；在保持总体风险水平相对稳定的基础上，力争获取投资组合的较高回报。</w:t>
            </w:r>
          </w:p>
          <w:p>
            <w:pPr>
              <w:ind w:firstLine="420"/>
              <w:jc w:val="left"/>
              <w:rPr>
                <w:rFonts w:ascii="仿宋_GB2312" w:eastAsia="仿宋_GB2312"/>
                <w:szCs w:val="21"/>
              </w:rPr>
            </w:pPr>
            <w:r>
              <w:rPr>
                <w:rFonts w:hint="eastAsia" w:ascii="仿宋_GB2312" w:eastAsia="仿宋_GB2312"/>
                <w:szCs w:val="21"/>
              </w:rPr>
              <w:t>1、大类资产配置；2、股票投资策略；3、债券投资策略；4、资产支持证券投资策略；5、股指期货投资策略。</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业绩比较基准</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沪深300指数收益率×70%+恒生指数收益率（人民币计价）×5%+中证综合债券指数收益率×25%</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风险收益特征</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本基金是一只混合型基金，其预期风险和预期收益理论上高于债券型基金和货币市场基金，低于股票型基金。</w:t>
            </w:r>
          </w:p>
          <w:p>
            <w:pPr>
              <w:ind w:firstLine="420"/>
              <w:jc w:val="left"/>
              <w:rPr>
                <w:rFonts w:ascii="仿宋_GB2312" w:eastAsia="仿宋_GB2312"/>
                <w:szCs w:val="21"/>
              </w:rPr>
            </w:pPr>
            <w:r>
              <w:rPr>
                <w:rFonts w:hint="eastAsia" w:ascii="仿宋_GB2312" w:eastAsia="仿宋_GB2312"/>
                <w:szCs w:val="21"/>
              </w:rPr>
              <w:t>本基金可投资港股通标的股票，会面临港股通机制下因投资环境、投资标的、市场制度以及交易规则等差异带来的特有风险。</w:t>
            </w:r>
          </w:p>
        </w:tc>
      </w:tr>
    </w:tbl>
    <w:p>
      <w:pPr>
        <w:jc w:val="left"/>
        <w:rPr>
          <w:rFonts w:ascii="仿宋_GB2312" w:hAnsi="宋体" w:eastAsia="仿宋_GB2312" w:cs="宋体"/>
          <w:kern w:val="0"/>
          <w:szCs w:val="21"/>
        </w:rPr>
      </w:pPr>
      <w:r>
        <w:rPr>
          <w:rFonts w:hint="eastAsia" w:ascii="仿宋_GB2312" w:hAnsi="宋体" w:eastAsia="仿宋_GB2312" w:cs="宋体"/>
          <w:kern w:val="0"/>
          <w:szCs w:val="21"/>
        </w:rPr>
        <w:t>注：</w:t>
      </w:r>
      <w:r>
        <w:rPr>
          <w:rFonts w:hint="eastAsia" w:ascii="仿宋_GB2312" w:eastAsia="仿宋_GB2312"/>
          <w:szCs w:val="21"/>
        </w:rPr>
        <w:t>详见《交银施罗德瑞安混合型证券投资基金招募说明书》“基金的投资”。</w:t>
      </w:r>
    </w:p>
    <w:p>
      <w:pPr>
        <w:jc w:val="left"/>
        <w:rPr>
          <w:rFonts w:ascii="仿宋_GB2312" w:eastAsia="仿宋_GB2312"/>
          <w:b/>
          <w:szCs w:val="21"/>
        </w:rPr>
      </w:pPr>
      <w:r>
        <w:rPr>
          <w:rFonts w:hint="eastAsia" w:ascii="仿宋_GB2312" w:eastAsia="仿宋_GB2312"/>
          <w:b/>
          <w:szCs w:val="21"/>
        </w:rPr>
        <w:t>（二）投资组合资产配置图表/区域配置图表</w:t>
      </w:r>
    </w:p>
    <w:p>
      <w:pPr>
        <w:jc w:val="center"/>
        <w:rPr>
          <w:rFonts w:ascii="仿宋_GB2312" w:eastAsia="仿宋_GB2312"/>
          <w:b/>
          <w:szCs w:val="21"/>
        </w:rPr>
      </w:pPr>
      <w:r>
        <w:rPr>
          <w:rFonts w:ascii="宋体" w:hAnsi="宋体"/>
          <w:kern w:val="0"/>
        </w:rPr>
        <w:pict>
          <v:shape id="_x0000_i1025" o:spt="75" type="#_x0000_t75" style="height:249.75pt;width:330.75pt;" filled="f" o:preferrelative="t" stroked="f" coordsize="21600,21600">
            <v:path/>
            <v:fill on="f" focussize="0,0"/>
            <v:stroke on="f" joinstyle="miter"/>
            <v:imagedata r:id="rId4" o:title="1521256610242020828"/>
            <o:lock v:ext="edit" aspectratio="t"/>
            <w10:wrap type="none"/>
            <w10:anchorlock/>
          </v:shape>
        </w:pict>
      </w:r>
    </w:p>
    <w:p>
      <w:pPr>
        <w:ind w:firstLine="420"/>
        <w:jc w:val="left"/>
        <w:rPr>
          <w:rFonts w:ascii="仿宋_GB2312" w:eastAsia="仿宋_GB2312"/>
          <w:szCs w:val="21"/>
        </w:rPr>
      </w:pPr>
      <w:r>
        <w:rPr>
          <w:rFonts w:hint="eastAsia" w:ascii="仿宋_GB2312" w:eastAsia="仿宋_GB2312"/>
          <w:szCs w:val="21"/>
        </w:rPr>
        <w:t>注：由于四舍五入的原因，分项之和与合计项之间可能存在尾差。</w:t>
      </w:r>
    </w:p>
    <w:p>
      <w:pPr>
        <w:jc w:val="left"/>
        <w:rPr>
          <w:rFonts w:ascii="仿宋_GB2312" w:eastAsia="仿宋_GB2312"/>
          <w:b/>
          <w:szCs w:val="21"/>
        </w:rPr>
      </w:pPr>
      <w:r>
        <w:rPr>
          <w:rFonts w:hint="eastAsia" w:ascii="仿宋_GB2312" w:eastAsia="仿宋_GB2312"/>
          <w:b/>
          <w:szCs w:val="21"/>
        </w:rPr>
        <w:t>（三）自基金合同生效以来/最近十年（孰短）基金每年的净值增长率及与同期业绩比较基准的比较图</w:t>
      </w:r>
    </w:p>
    <w:p>
      <w:pPr>
        <w:jc w:val="center"/>
        <w:rPr>
          <w:rFonts w:ascii="仿宋_GB2312" w:eastAsia="仿宋_GB2312"/>
          <w:b/>
          <w:szCs w:val="21"/>
        </w:rPr>
      </w:pPr>
      <w:r>
        <w:rPr>
          <w:rFonts w:ascii="宋体" w:hAnsi="宋体"/>
          <w:kern w:val="0"/>
        </w:rPr>
        <w:pict>
          <v:shape id="_x0000_i1026" o:spt="75" type="#_x0000_t75" style="height:159.75pt;width:499.5pt;" filled="f" o:preferrelative="t" stroked="f" coordsize="21600,21600">
            <v:path/>
            <v:fill on="f" focussize="0,0"/>
            <v:stroke on="f" joinstyle="miter"/>
            <v:imagedata r:id="rId5" o:title="1521256610242020828"/>
            <o:lock v:ext="edit" aspectratio="t"/>
            <w10:wrap type="none"/>
            <w10:anchorlock/>
          </v:shape>
        </w:pict>
      </w:r>
    </w:p>
    <w:p>
      <w:pPr>
        <w:ind w:firstLine="420"/>
        <w:jc w:val="left"/>
        <w:rPr>
          <w:rFonts w:ascii="仿宋_GB2312" w:eastAsia="仿宋_GB2312"/>
          <w:szCs w:val="21"/>
        </w:rPr>
      </w:pPr>
      <w:r>
        <w:rPr>
          <w:rFonts w:hint="eastAsia" w:ascii="仿宋_GB2312" w:eastAsia="仿宋_GB2312"/>
          <w:szCs w:val="21"/>
        </w:rPr>
        <w:t>注：1、净值表现数据的截止日为2025年12月31日。</w:t>
      </w:r>
    </w:p>
    <w:p>
      <w:pPr>
        <w:ind w:left="420" w:firstLine="420" w:firstLineChars="200"/>
        <w:jc w:val="left"/>
        <w:rPr>
          <w:rFonts w:ascii="仿宋_GB2312" w:eastAsia="仿宋_GB2312"/>
          <w:szCs w:val="21"/>
        </w:rPr>
      </w:pPr>
      <w:r>
        <w:rPr>
          <w:rFonts w:hint="eastAsia" w:ascii="仿宋_GB2312" w:eastAsia="仿宋_GB2312"/>
          <w:szCs w:val="21"/>
        </w:rPr>
        <w:t>2、本基金合同于2025年6月24日生效，合同生效当年净值增长率按实际存续期计算。</w:t>
      </w:r>
    </w:p>
    <w:p>
      <w:pPr>
        <w:ind w:left="420" w:firstLine="420" w:firstLineChars="200"/>
        <w:jc w:val="left"/>
        <w:rPr>
          <w:rFonts w:ascii="仿宋_GB2312" w:eastAsia="仿宋_GB2312"/>
          <w:szCs w:val="21"/>
        </w:rPr>
      </w:pPr>
      <w:r>
        <w:rPr>
          <w:rFonts w:hint="eastAsia" w:ascii="仿宋_GB2312" w:eastAsia="仿宋_GB2312"/>
          <w:szCs w:val="21"/>
        </w:rPr>
        <w:t>3、基金的过往业绩不代表未来表现。</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三、投资本基金涉及的费用</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（一）基金销售相关费用</w:t>
      </w:r>
    </w:p>
    <w:p>
      <w:pPr>
        <w:jc w:val="left"/>
        <w:rPr>
          <w:rFonts w:ascii="仿宋_GB2312" w:eastAsia="仿宋_GB2312"/>
          <w:szCs w:val="21"/>
        </w:rPr>
      </w:pPr>
      <w:r>
        <w:rPr>
          <w:rFonts w:hint="eastAsia" w:ascii="仿宋_GB2312" w:eastAsia="仿宋_GB2312"/>
          <w:szCs w:val="21"/>
        </w:rPr>
        <w:t>以下费用在认购/申购/赎回基金过程中收取：</w:t>
      </w:r>
    </w:p>
    <w:tbl>
      <w:tblPr>
        <w:tblStyle w:val="8"/>
        <w:tblW w:w="9308"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737"/>
        <w:gridCol w:w="2826"/>
        <w:gridCol w:w="1750"/>
        <w:gridCol w:w="1995"/>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Align w:val="center"/>
          </w:tcPr>
          <w:p>
            <w:pPr>
              <w:widowControl/>
              <w:jc w:val="left"/>
              <w:rPr>
                <w:rFonts w:ascii="仿宋_GB2312" w:eastAsia="仿宋_GB2312"/>
                <w:szCs w:val="21"/>
              </w:rPr>
            </w:pPr>
            <w:r>
              <w:rPr>
                <w:rFonts w:hint="eastAsia" w:ascii="仿宋_GB2312" w:hAnsi="宋体" w:eastAsia="仿宋_GB2312" w:cs="宋体"/>
                <w:kern w:val="0"/>
                <w:szCs w:val="21"/>
              </w:rPr>
              <w:t>费用类型</w:t>
            </w:r>
          </w:p>
        </w:tc>
        <w:tc>
          <w:tcPr>
            <w:tcW w:w="2409" w:type="dxa"/>
            <w:vAlign w:val="center"/>
          </w:tcPr>
          <w:p>
            <w:pPr>
              <w:rPr>
                <w:rFonts w:ascii="仿宋_GB2312" w:eastAsia="仿宋_GB2312"/>
                <w:szCs w:val="21"/>
              </w:rPr>
            </w:pPr>
            <w:r>
              <w:rPr>
                <w:rFonts w:hint="eastAsia" w:ascii="仿宋_GB2312" w:eastAsia="仿宋_GB2312"/>
                <w:szCs w:val="21"/>
              </w:rPr>
              <w:t>份额（S）或金额（M）/持有期限（N）</w:t>
            </w:r>
          </w:p>
        </w:tc>
        <w:tc>
          <w:tcPr>
            <w:tcW w:w="1843" w:type="dxa"/>
            <w:vAlign w:val="center"/>
          </w:tcPr>
          <w:p>
            <w:pPr>
              <w:rPr>
                <w:rFonts w:ascii="仿宋_GB2312" w:eastAsia="仿宋_GB2312"/>
                <w:szCs w:val="21"/>
              </w:rPr>
            </w:pPr>
            <w:r>
              <w:rPr>
                <w:rFonts w:hint="eastAsia" w:ascii="仿宋_GB2312" w:eastAsia="仿宋_GB2312"/>
                <w:szCs w:val="21"/>
              </w:rPr>
              <w:t>收费方式/费率</w:t>
            </w:r>
          </w:p>
        </w:tc>
        <w:tc>
          <w:tcPr>
            <w:tcW w:w="2126" w:type="dxa"/>
            <w:vAlign w:val="center"/>
          </w:tcPr>
          <w:p>
            <w:pPr>
              <w:widowControl/>
              <w:jc w:val="left"/>
              <w:rPr>
                <w:rFonts w:ascii="仿宋_GB2312" w:eastAsia="仿宋_GB2312"/>
                <w:szCs w:val="21"/>
              </w:rPr>
            </w:pPr>
            <w:r>
              <w:rPr>
                <w:rFonts w:hint="eastAsia" w:ascii="仿宋_GB2312" w:hAnsi="宋体" w:eastAsia="仿宋_GB2312" w:cs="宋体"/>
                <w:kern w:val="0"/>
                <w:szCs w:val="21"/>
              </w:rPr>
              <w:t>备注</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restart"/>
            <w:vAlign w:val="center"/>
          </w:tcPr>
          <w:p>
            <w:pPr>
              <w:widowControl/>
              <w:jc w:val="left"/>
              <w:rPr>
                <w:rFonts w:ascii="仿宋_GB2312" w:hAnsi="宋体" w:eastAsia="仿宋_GB2312" w:cs="宋体"/>
                <w:kern w:val="0"/>
                <w:szCs w:val="21"/>
              </w:rPr>
            </w:pPr>
            <w:r>
              <w:rPr>
                <w:rFonts w:hint="eastAsia" w:ascii="仿宋_GB2312" w:hAnsi="宋体" w:eastAsia="仿宋_GB2312" w:cs="宋体"/>
                <w:kern w:val="0"/>
                <w:szCs w:val="21"/>
              </w:rPr>
              <w:t>赎回费</w:t>
            </w:r>
          </w:p>
        </w:tc>
        <w:tc>
          <w:tcPr>
            <w:tcW w:w="2409" w:type="dxa"/>
          </w:tcPr>
          <w:p>
            <w:pPr>
              <w:rPr>
                <w:rFonts w:ascii="仿宋_GB2312" w:eastAsia="仿宋_GB2312"/>
                <w:szCs w:val="21"/>
              </w:rPr>
            </w:pPr>
            <w:r>
              <w:rPr>
                <w:rFonts w:hint="eastAsia" w:ascii="仿宋_GB2312" w:eastAsia="仿宋_GB2312"/>
                <w:szCs w:val="21"/>
              </w:rPr>
              <w:t>N＜7天</w:t>
            </w:r>
          </w:p>
        </w:tc>
        <w:tc>
          <w:tcPr>
            <w:tcW w:w="1843" w:type="dxa"/>
            <w:vAlign w:val="center"/>
          </w:tcPr>
          <w:p>
            <w:pPr>
              <w:rPr>
                <w:rFonts w:ascii="仿宋_GB2312" w:eastAsia="仿宋_GB2312"/>
                <w:szCs w:val="21"/>
              </w:rPr>
            </w:pPr>
            <w:r>
              <w:rPr>
                <w:rFonts w:hint="eastAsia" w:ascii="仿宋_GB2312" w:eastAsia="仿宋_GB2312"/>
                <w:szCs w:val="21"/>
              </w:rPr>
              <w:t>1.5%</w:t>
            </w:r>
          </w:p>
        </w:tc>
        <w:tc>
          <w:tcPr>
            <w:tcW w:w="1843" w:type="dxa"/>
            <w:vAlign w:val="center"/>
          </w:tcPr>
          <w:p>
            <w:pPr>
              <w:rPr>
                <w:rFonts w:ascii="仿宋_GB2312" w:eastAsia="仿宋_GB2312"/>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continue"/>
            <w:vAlign w:val="center"/>
          </w:tcPr>
          <w:p>
            <w:pPr>
              <w:widowControl/>
              <w:jc w:val="left"/>
              <w:rPr>
                <w:rFonts w:ascii="仿宋_GB2312" w:hAnsi="宋体" w:eastAsia="仿宋_GB2312" w:cs="宋体"/>
                <w:kern w:val="0"/>
                <w:szCs w:val="21"/>
              </w:rPr>
            </w:pPr>
          </w:p>
        </w:tc>
        <w:tc>
          <w:tcPr>
            <w:tcW w:w="3000" w:type="dxa"/>
          </w:tcPr>
          <w:p>
            <w:pPr>
              <w:rPr>
                <w:rFonts w:ascii="仿宋_GB2312" w:eastAsia="仿宋_GB2312"/>
                <w:szCs w:val="21"/>
              </w:rPr>
            </w:pPr>
            <w:r>
              <w:rPr>
                <w:rFonts w:hint="eastAsia" w:ascii="仿宋_GB2312" w:eastAsia="仿宋_GB2312"/>
                <w:szCs w:val="21"/>
              </w:rPr>
              <w:t>7天≤N＜30天</w:t>
            </w:r>
          </w:p>
        </w:tc>
        <w:tc>
          <w:tcPr>
            <w:tcW w:w="1843" w:type="dxa"/>
            <w:vAlign w:val="center"/>
          </w:tcPr>
          <w:p>
            <w:pPr>
              <w:rPr>
                <w:rFonts w:ascii="仿宋_GB2312" w:eastAsia="仿宋_GB2312"/>
                <w:szCs w:val="21"/>
              </w:rPr>
            </w:pPr>
            <w:r>
              <w:rPr>
                <w:rFonts w:hint="eastAsia" w:ascii="仿宋_GB2312" w:eastAsia="仿宋_GB2312"/>
                <w:szCs w:val="21"/>
              </w:rPr>
              <w:t>0.5%</w:t>
            </w:r>
          </w:p>
        </w:tc>
        <w:tc>
          <w:tcPr>
            <w:tcW w:w="1843" w:type="dxa"/>
            <w:vAlign w:val="center"/>
          </w:tcPr>
          <w:p>
            <w:pPr>
              <w:rPr>
                <w:rFonts w:ascii="仿宋_GB2312" w:eastAsia="仿宋_GB2312"/>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continue"/>
            <w:vAlign w:val="center"/>
          </w:tcPr>
          <w:p>
            <w:pPr>
              <w:widowControl/>
              <w:jc w:val="left"/>
              <w:rPr>
                <w:rFonts w:ascii="仿宋_GB2312" w:hAnsi="宋体" w:eastAsia="仿宋_GB2312" w:cs="宋体"/>
                <w:kern w:val="0"/>
                <w:szCs w:val="21"/>
              </w:rPr>
            </w:pPr>
          </w:p>
        </w:tc>
        <w:tc>
          <w:tcPr>
            <w:tcW w:w="3000" w:type="dxa"/>
          </w:tcPr>
          <w:p>
            <w:pPr>
              <w:rPr>
                <w:rFonts w:ascii="仿宋_GB2312" w:eastAsia="仿宋_GB2312"/>
                <w:szCs w:val="21"/>
              </w:rPr>
            </w:pPr>
            <w:r>
              <w:rPr>
                <w:rFonts w:hint="eastAsia" w:ascii="仿宋_GB2312" w:eastAsia="仿宋_GB2312"/>
                <w:szCs w:val="21"/>
              </w:rPr>
              <w:t>30天≤N</w:t>
            </w:r>
          </w:p>
        </w:tc>
        <w:tc>
          <w:tcPr>
            <w:tcW w:w="1843" w:type="dxa"/>
            <w:vAlign w:val="center"/>
          </w:tcPr>
          <w:p>
            <w:pPr>
              <w:rPr>
                <w:rFonts w:ascii="仿宋_GB2312" w:eastAsia="仿宋_GB2312"/>
                <w:szCs w:val="21"/>
              </w:rPr>
            </w:pPr>
            <w:r>
              <w:rPr>
                <w:rFonts w:hint="eastAsia" w:ascii="仿宋_GB2312" w:eastAsia="仿宋_GB2312"/>
                <w:szCs w:val="21"/>
              </w:rPr>
              <w:t>0</w:t>
            </w:r>
          </w:p>
        </w:tc>
        <w:tc>
          <w:tcPr>
            <w:tcW w:w="1843" w:type="dxa"/>
            <w:vAlign w:val="center"/>
          </w:tcPr>
          <w:p>
            <w:pPr>
              <w:rPr>
                <w:rFonts w:ascii="仿宋_GB2312" w:eastAsia="仿宋_GB2312"/>
                <w:szCs w:val="21"/>
              </w:rPr>
            </w:pPr>
          </w:p>
        </w:tc>
      </w:tr>
    </w:tbl>
    <w:p>
      <w:pPr>
        <w:jc w:val="left"/>
        <w:rPr>
          <w:rFonts w:ascii="仿宋_GB2312" w:eastAsia="仿宋_GB2312"/>
          <w:szCs w:val="21"/>
        </w:rPr>
      </w:pPr>
      <w:r>
        <w:rPr>
          <w:rFonts w:hint="eastAsia" w:ascii="仿宋_GB2312" w:eastAsia="仿宋_GB2312"/>
          <w:szCs w:val="21"/>
        </w:rPr>
        <w:t>注：1、本基金对持续持有期少于7日的投资人收取1.5%的赎回费，请投资人予以关注。2、销售机构若有其他费率优惠请见基金管理人或其他销售机构的有关公告或通知。</w:t>
      </w:r>
    </w:p>
    <w:p>
      <w:pPr>
        <w:jc w:val="left"/>
        <w:rPr>
          <w:rFonts w:ascii="仿宋_GB2312" w:eastAsia="仿宋_GB2312"/>
          <w:b/>
          <w:szCs w:val="21"/>
        </w:rPr>
      </w:pPr>
      <w:r>
        <w:rPr>
          <w:rFonts w:hint="eastAsia" w:ascii="仿宋_GB2312" w:eastAsia="仿宋_GB2312"/>
          <w:b/>
          <w:szCs w:val="21"/>
        </w:rPr>
        <w:t>（二）基金运作相关费用</w:t>
      </w:r>
    </w:p>
    <w:p>
      <w:pPr>
        <w:jc w:val="left"/>
        <w:rPr>
          <w:rFonts w:ascii="仿宋_GB2312" w:hAnsi="宋体" w:eastAsia="仿宋_GB2312" w:cs="宋体"/>
          <w:kern w:val="0"/>
          <w:szCs w:val="21"/>
        </w:rPr>
      </w:pPr>
      <w:r>
        <w:rPr>
          <w:rFonts w:hint="eastAsia" w:ascii="仿宋_GB2312" w:hAnsi="宋体" w:eastAsia="仿宋_GB2312" w:cs="宋体"/>
          <w:kern w:val="0"/>
          <w:szCs w:val="21"/>
        </w:rPr>
        <w:t>以下费用将从基金资产中扣除：</w:t>
      </w:r>
    </w:p>
    <w:tbl>
      <w:tblPr>
        <w:tblStyle w:val="8"/>
        <w:tblW w:w="8505"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127"/>
        <w:gridCol w:w="4239"/>
        <w:gridCol w:w="2139"/>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rPr>
                <w:rFonts w:ascii="仿宋_GB2312" w:eastAsia="仿宋_GB2312"/>
                <w:b/>
                <w:szCs w:val="21"/>
              </w:rPr>
            </w:pPr>
            <w:r>
              <w:rPr>
                <w:rFonts w:hint="eastAsia" w:ascii="仿宋_GB2312" w:eastAsia="仿宋_GB2312"/>
                <w:b/>
                <w:szCs w:val="21"/>
              </w:rPr>
              <w:t>费用类别</w:t>
            </w:r>
          </w:p>
        </w:tc>
        <w:tc>
          <w:tcPr>
            <w:tcW w:w="5958" w:type="dxa"/>
            <w:vAlign w:val="center"/>
          </w:tcPr>
          <w:p>
            <w:pPr>
              <w:rPr>
                <w:rFonts w:ascii="仿宋_GB2312" w:eastAsia="仿宋_GB2312"/>
                <w:b/>
                <w:szCs w:val="21"/>
              </w:rPr>
            </w:pPr>
            <w:r>
              <w:rPr>
                <w:rFonts w:hint="eastAsia" w:ascii="仿宋_GB2312" w:hAnsi="宋体" w:eastAsia="仿宋_GB2312" w:cs="宋体"/>
                <w:b/>
                <w:kern w:val="0"/>
                <w:szCs w:val="21"/>
              </w:rPr>
              <w:t>收费方式</w:t>
            </w:r>
            <w:r>
              <w:rPr>
                <w:rFonts w:hint="eastAsia" w:ascii="仿宋_GB2312" w:eastAsia="仿宋_GB2312" w:cs="FZFSJW--GB1-0"/>
                <w:b/>
                <w:kern w:val="0"/>
                <w:szCs w:val="21"/>
              </w:rPr>
              <w:t>/</w:t>
            </w:r>
            <w:r>
              <w:rPr>
                <w:rFonts w:hint="eastAsia" w:ascii="仿宋_GB2312" w:hAnsi="宋体" w:eastAsia="仿宋_GB2312" w:cs="宋体"/>
                <w:b/>
                <w:kern w:val="0"/>
                <w:szCs w:val="21"/>
              </w:rPr>
              <w:t>年费率或金额</w:t>
            </w:r>
          </w:p>
        </w:tc>
        <w:tc>
          <w:tcPr>
            <w:tcW w:w="2542" w:type="dxa"/>
          </w:tcPr>
          <w:p>
            <w:pPr>
              <w:rPr>
                <w:rFonts w:ascii="仿宋" w:hAnsi="仿宋" w:eastAsia="仿宋" w:cs="仿宋"/>
                <w:b/>
                <w:sz w:val="24"/>
                <w:szCs w:val="24"/>
              </w:rPr>
            </w:pPr>
            <w:r>
              <w:rPr>
                <w:rFonts w:hint="eastAsia" w:ascii="仿宋" w:hAnsi="仿宋" w:eastAsia="仿宋" w:cs="仿宋"/>
                <w:b/>
                <w:sz w:val="24"/>
                <w:szCs w:val="24"/>
              </w:rPr>
              <w:t>收取方</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rPr>
                <w:rFonts w:ascii="仿宋_GB2312" w:eastAsia="仿宋_GB2312"/>
                <w:szCs w:val="21"/>
              </w:rPr>
            </w:pPr>
            <w:r>
              <w:rPr>
                <w:rFonts w:hint="eastAsia" w:ascii="仿宋_GB2312" w:eastAsia="仿宋_GB2312"/>
                <w:szCs w:val="21"/>
              </w:rPr>
              <w:t>固定管理费</w:t>
            </w:r>
          </w:p>
        </w:tc>
        <w:tc>
          <w:tcPr>
            <w:tcW w:w="5958" w:type="dxa"/>
            <w:vAlign w:val="center"/>
          </w:tcPr>
          <w:p>
            <w:pPr>
              <w:rPr>
                <w:rFonts w:ascii="仿宋_GB2312" w:eastAsia="仿宋_GB2312"/>
                <w:szCs w:val="21"/>
              </w:rPr>
            </w:pPr>
            <w:r>
              <w:rPr>
                <w:rFonts w:hint="eastAsia" w:ascii="仿宋_GB2312" w:eastAsia="仿宋_GB2312"/>
                <w:szCs w:val="21"/>
              </w:rPr>
              <w:t>0.60%（具体见下文注释）</w:t>
            </w:r>
          </w:p>
        </w:tc>
        <w:tc>
          <w:tcPr>
            <w:tcW w:w="3078" w:type="dxa"/>
          </w:tcPr>
          <w:p>
            <w:pPr>
              <w:rPr>
                <w:rFonts w:ascii="仿宋_GB2312" w:eastAsia="仿宋_GB2312"/>
                <w:szCs w:val="21"/>
              </w:rPr>
            </w:pPr>
            <w:r>
              <w:rPr>
                <w:rFonts w:hint="eastAsia" w:ascii="仿宋_GB2312" w:eastAsia="仿宋_GB2312"/>
                <w:szCs w:val="21"/>
              </w:rPr>
              <w:t>基金管理人和销售机构</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rPr>
                <w:rFonts w:ascii="仿宋_GB2312" w:eastAsia="仿宋_GB2312"/>
                <w:szCs w:val="21"/>
              </w:rPr>
            </w:pPr>
            <w:r>
              <w:rPr>
                <w:rFonts w:hint="eastAsia" w:ascii="仿宋_GB2312" w:eastAsia="仿宋_GB2312"/>
                <w:szCs w:val="21"/>
              </w:rPr>
              <w:t>或有管理费</w:t>
            </w:r>
          </w:p>
        </w:tc>
        <w:tc>
          <w:tcPr>
            <w:tcW w:w="5958" w:type="dxa"/>
            <w:vAlign w:val="center"/>
          </w:tcPr>
          <w:p>
            <w:pPr>
              <w:rPr>
                <w:rFonts w:ascii="仿宋_GB2312" w:eastAsia="仿宋_GB2312"/>
                <w:szCs w:val="21"/>
              </w:rPr>
            </w:pPr>
            <w:r>
              <w:rPr>
                <w:rFonts w:hint="eastAsia" w:ascii="仿宋_GB2312" w:eastAsia="仿宋_GB2312"/>
                <w:szCs w:val="21"/>
              </w:rPr>
              <w:t>0.60%（具体见下文注释）</w:t>
            </w:r>
          </w:p>
        </w:tc>
        <w:tc>
          <w:tcPr>
            <w:tcW w:w="3078" w:type="dxa"/>
          </w:tcPr>
          <w:p>
            <w:pPr>
              <w:rPr>
                <w:rFonts w:ascii="仿宋_GB2312" w:eastAsia="仿宋_GB2312"/>
                <w:szCs w:val="21"/>
              </w:rPr>
            </w:pPr>
            <w:r>
              <w:rPr>
                <w:rFonts w:hint="eastAsia" w:ascii="仿宋_GB2312" w:eastAsia="仿宋_GB2312"/>
                <w:szCs w:val="21"/>
              </w:rPr>
              <w:t>基金管理人和销售机构</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rPr>
                <w:rFonts w:ascii="仿宋_GB2312" w:eastAsia="仿宋_GB2312"/>
                <w:szCs w:val="21"/>
              </w:rPr>
            </w:pPr>
            <w:r>
              <w:rPr>
                <w:rFonts w:hint="eastAsia" w:ascii="仿宋_GB2312" w:eastAsia="仿宋_GB2312"/>
                <w:szCs w:val="21"/>
              </w:rPr>
              <w:t>超额管理费</w:t>
            </w:r>
          </w:p>
        </w:tc>
        <w:tc>
          <w:tcPr>
            <w:tcW w:w="5958" w:type="dxa"/>
            <w:vAlign w:val="center"/>
          </w:tcPr>
          <w:p>
            <w:pPr>
              <w:rPr>
                <w:rFonts w:ascii="仿宋_GB2312" w:eastAsia="仿宋_GB2312"/>
                <w:szCs w:val="21"/>
              </w:rPr>
            </w:pPr>
            <w:r>
              <w:rPr>
                <w:rFonts w:hint="eastAsia" w:ascii="仿宋_GB2312" w:eastAsia="仿宋_GB2312"/>
                <w:szCs w:val="21"/>
              </w:rPr>
              <w:t>0.30%（收取超额管理费的条件：投资者赎回基金份额或基金合同终止的情形发生时，当且仅当该笔基金份额持有天数达到或超过365天，且该笔基金份额持有期间相对业绩比较基准的年化超额收益率大于6%、且年化收益率大于0时收取。）</w:t>
            </w:r>
          </w:p>
        </w:tc>
        <w:tc>
          <w:tcPr>
            <w:tcW w:w="3078" w:type="dxa"/>
          </w:tcPr>
          <w:p>
            <w:pPr>
              <w:rPr>
                <w:rFonts w:ascii="仿宋_GB2312" w:eastAsia="仿宋_GB2312"/>
                <w:szCs w:val="21"/>
              </w:rPr>
            </w:pPr>
            <w:r>
              <w:rPr>
                <w:rFonts w:hint="eastAsia" w:ascii="仿宋_GB2312" w:eastAsia="仿宋_GB2312"/>
                <w:szCs w:val="21"/>
              </w:rPr>
              <w:t>基金管理人和销售机构</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rPr>
                <w:rFonts w:ascii="仿宋_GB2312" w:eastAsia="仿宋_GB2312"/>
                <w:szCs w:val="21"/>
              </w:rPr>
            </w:pPr>
            <w:r>
              <w:rPr>
                <w:rFonts w:hint="eastAsia" w:ascii="仿宋_GB2312" w:eastAsia="仿宋_GB2312"/>
                <w:szCs w:val="21"/>
              </w:rPr>
              <w:t>托管费</w:t>
            </w:r>
          </w:p>
        </w:tc>
        <w:tc>
          <w:tcPr>
            <w:tcW w:w="5958" w:type="dxa"/>
            <w:vAlign w:val="center"/>
          </w:tcPr>
          <w:p>
            <w:pPr>
              <w:rPr>
                <w:rFonts w:ascii="仿宋_GB2312" w:eastAsia="仿宋_GB2312"/>
                <w:szCs w:val="21"/>
              </w:rPr>
            </w:pPr>
            <w:r>
              <w:rPr>
                <w:rFonts w:hint="eastAsia" w:ascii="仿宋_GB2312" w:eastAsia="仿宋_GB2312"/>
                <w:szCs w:val="21"/>
              </w:rPr>
              <w:t>0.20%</w:t>
            </w:r>
          </w:p>
        </w:tc>
        <w:tc>
          <w:tcPr>
            <w:tcW w:w="3078" w:type="dxa"/>
          </w:tcPr>
          <w:p>
            <w:pPr>
              <w:rPr>
                <w:rFonts w:ascii="仿宋_GB2312" w:eastAsia="仿宋_GB2312"/>
                <w:szCs w:val="21"/>
              </w:rPr>
            </w:pPr>
            <w:r>
              <w:rPr>
                <w:rFonts w:hint="eastAsia" w:ascii="仿宋_GB2312" w:eastAsia="仿宋_GB2312"/>
                <w:szCs w:val="21"/>
              </w:rPr>
              <w:t>基金托管人</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销售服务费</w:t>
            </w:r>
          </w:p>
        </w:tc>
        <w:tc>
          <w:tcPr>
            <w:tcW w:w="3080" w:type="dxa"/>
            <w:vAlign w:val="center"/>
          </w:tcPr>
          <w:p>
            <w:pPr>
              <w:rPr>
                <w:rFonts w:ascii="仿宋_GB2312" w:eastAsia="仿宋_GB2312"/>
                <w:szCs w:val="21"/>
              </w:rPr>
            </w:pPr>
            <w:r>
              <w:rPr>
                <w:rFonts w:hint="eastAsia" w:ascii="仿宋_GB2312" w:eastAsia="仿宋_GB2312"/>
                <w:szCs w:val="21"/>
              </w:rPr>
              <w:t>0.60%</w:t>
            </w:r>
          </w:p>
        </w:tc>
        <w:tc>
          <w:tcPr>
            <w:tcW w:w="3078" w:type="dxa"/>
          </w:tcPr>
          <w:p>
            <w:pPr>
              <w:rPr>
                <w:rFonts w:ascii="仿宋_GB2312" w:eastAsia="仿宋_GB2312"/>
                <w:szCs w:val="21"/>
              </w:rPr>
            </w:pPr>
            <w:r>
              <w:rPr>
                <w:rFonts w:hint="eastAsia" w:ascii="仿宋_GB2312" w:eastAsia="仿宋_GB2312"/>
                <w:szCs w:val="21"/>
              </w:rPr>
              <w:t>销售机构</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审计费用</w:t>
            </w:r>
          </w:p>
        </w:tc>
        <w:tc>
          <w:tcPr>
            <w:tcW w:w="3080" w:type="dxa"/>
            <w:vAlign w:val="center"/>
          </w:tcPr>
          <w:p>
            <w:pPr>
              <w:rPr>
                <w:rFonts w:ascii="仿宋_GB2312" w:eastAsia="仿宋_GB2312"/>
                <w:szCs w:val="21"/>
              </w:rPr>
            </w:pPr>
            <w:r>
              <w:rPr>
                <w:rFonts w:hint="eastAsia" w:ascii="仿宋_GB2312" w:eastAsia="仿宋_GB2312"/>
                <w:szCs w:val="21"/>
              </w:rPr>
              <w:t>40000.00</w:t>
            </w:r>
          </w:p>
        </w:tc>
        <w:tc>
          <w:tcPr>
            <w:tcW w:w="3078" w:type="dxa"/>
          </w:tcPr>
          <w:p>
            <w:pPr>
              <w:rPr>
                <w:rFonts w:ascii="仿宋_GB2312" w:eastAsia="仿宋_GB2312"/>
                <w:szCs w:val="21"/>
              </w:rPr>
            </w:pPr>
            <w:r>
              <w:rPr>
                <w:rFonts w:hint="eastAsia" w:ascii="仿宋_GB2312" w:eastAsia="仿宋_GB2312"/>
                <w:szCs w:val="21"/>
              </w:rPr>
              <w:t>会计师事务所</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信息披露费</w:t>
            </w:r>
          </w:p>
        </w:tc>
        <w:tc>
          <w:tcPr>
            <w:tcW w:w="3080" w:type="dxa"/>
            <w:vAlign w:val="center"/>
          </w:tcPr>
          <w:p>
            <w:pPr>
              <w:rPr>
                <w:rFonts w:ascii="仿宋_GB2312" w:eastAsia="仿宋_GB2312"/>
                <w:szCs w:val="21"/>
              </w:rPr>
            </w:pPr>
            <w:r>
              <w:rPr>
                <w:rFonts w:hint="eastAsia" w:ascii="仿宋_GB2312" w:eastAsia="仿宋_GB2312"/>
                <w:szCs w:val="21"/>
              </w:rPr>
              <w:t>120000.00</w:t>
            </w:r>
          </w:p>
        </w:tc>
        <w:tc>
          <w:tcPr>
            <w:tcW w:w="3078" w:type="dxa"/>
          </w:tcPr>
          <w:p>
            <w:pPr>
              <w:rPr>
                <w:rFonts w:ascii="仿宋_GB2312" w:eastAsia="仿宋_GB2312"/>
                <w:szCs w:val="21"/>
              </w:rPr>
            </w:pPr>
            <w:r>
              <w:rPr>
                <w:rFonts w:hint="eastAsia" w:ascii="仿宋_GB2312" w:eastAsia="仿宋_GB2312"/>
                <w:szCs w:val="21"/>
              </w:rPr>
              <w:t>规定披露报刊</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指数许可使用费</w:t>
            </w:r>
          </w:p>
        </w:tc>
        <w:tc>
          <w:tcPr>
            <w:tcW w:w="3080" w:type="dxa"/>
            <w:vAlign w:val="center"/>
          </w:tcPr>
          <w:p>
            <w:pPr>
              <w:rPr>
                <w:rFonts w:ascii="仿宋_GB2312" w:eastAsia="仿宋_GB2312"/>
                <w:szCs w:val="21"/>
              </w:rPr>
            </w:pPr>
            <w:r>
              <w:rPr>
                <w:rFonts w:hint="eastAsia" w:ascii="仿宋_GB2312" w:eastAsia="仿宋_GB2312"/>
                <w:szCs w:val="21"/>
              </w:rPr>
              <w:t>-</w:t>
            </w:r>
          </w:p>
        </w:tc>
        <w:tc>
          <w:tcPr>
            <w:tcW w:w="3078" w:type="dxa"/>
          </w:tcPr>
          <w:p>
            <w:pPr>
              <w:rPr>
                <w:rFonts w:ascii="仿宋_GB2312" w:eastAsia="仿宋_GB2312"/>
                <w:szCs w:val="21"/>
              </w:rPr>
            </w:pPr>
            <w:r>
              <w:rPr>
                <w:rFonts w:hint="eastAsia" w:ascii="仿宋_GB2312" w:eastAsia="仿宋_GB2312"/>
                <w:szCs w:val="21"/>
              </w:rPr>
              <w:t>指数编制公司</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78" w:type="dxa"/>
          </w:tcPr>
          <w:p>
            <w:pPr>
              <w:rPr>
                <w:rFonts w:ascii="仿宋_GB2312" w:eastAsia="仿宋_GB2312"/>
                <w:szCs w:val="21"/>
              </w:rPr>
            </w:pPr>
            <w:r>
              <w:rPr>
                <w:rFonts w:hint="eastAsia" w:ascii="仿宋_GB2312" w:eastAsia="仿宋_GB2312"/>
                <w:szCs w:val="21"/>
              </w:rPr>
              <w:t>其他费用</w:t>
            </w:r>
          </w:p>
        </w:tc>
        <w:tc>
          <w:tcPr>
            <w:tcW w:w="3080" w:type="dxa"/>
            <w:vAlign w:val="center"/>
          </w:tcPr>
          <w:p>
            <w:pPr>
              <w:rPr>
                <w:rFonts w:ascii="仿宋_GB2312" w:eastAsia="仿宋_GB2312"/>
                <w:szCs w:val="21"/>
              </w:rPr>
            </w:pPr>
            <w:r>
              <w:rPr>
                <w:rFonts w:hint="eastAsia" w:ascii="仿宋_GB2312" w:eastAsia="仿宋_GB2312"/>
                <w:szCs w:val="21"/>
              </w:rPr>
              <w:t>详见本基金招募说明书“基金的费用与税收”部分</w:t>
            </w:r>
          </w:p>
        </w:tc>
        <w:tc>
          <w:tcPr>
            <w:tcW w:w="3078" w:type="dxa"/>
          </w:tcPr>
          <w:p>
            <w:pPr>
              <w:rPr>
                <w:rFonts w:ascii="仿宋_GB2312" w:eastAsia="仿宋_GB2312"/>
                <w:szCs w:val="21"/>
              </w:rPr>
            </w:pPr>
          </w:p>
        </w:tc>
      </w:tr>
    </w:tbl>
    <w:p>
      <w:pPr>
        <w:jc w:val="left"/>
        <w:rPr>
          <w:rFonts w:ascii="仿宋_GB2312" w:eastAsia="仿宋_GB2312"/>
          <w:szCs w:val="21"/>
        </w:rPr>
      </w:pPr>
      <w:r>
        <w:rPr>
          <w:rFonts w:hint="eastAsia" w:ascii="仿宋_GB2312" w:eastAsia="仿宋_GB2312"/>
          <w:b/>
          <w:szCs w:val="21"/>
        </w:rPr>
        <w:t>注：</w:t>
      </w:r>
      <w:r>
        <w:rPr>
          <w:rFonts w:hint="eastAsia" w:ascii="仿宋_GB2312" w:eastAsia="仿宋_GB2312"/>
          <w:szCs w:val="21"/>
        </w:rPr>
        <w:t>1、本基金的管理费包含固定管理费、或有管理费和超额管理费。固定管理费按前一日基金资产净值的0.60%年费率每日计提。或有管理费按前一日基金资产净值的0.60%年费率每日计提，或有管理费将根据投资者赎回基金份额或基金合同终止情形发生时每一基金份额的持有期限与持有期间年化收益率情况分别确认收取或返还。当投资者赎回基金份额或基金合同终止情形发生时，若满足超额管理费的提取条件，则将从该笔基金份额的赎回款（或清算款）中扣除0.30%年费率的超额管理费，并随已计提的或有管理费一同确认为应由管理人收取的管理费。若拟扣除超额管理费后的持有期间相对业绩比较基准的年化超额收益率小于6%、或年化收益率小于等于0，则仍按1.20%年费率收取该笔基金份额的管理费，以使得该笔基金份额在扣除超额管理费后的年化收益率仍需满足本基金收取超额管理费的标准。2、本基金交易证券、基金等产生的费用和税负，按实际发生额从基金资产扣除。</w:t>
      </w:r>
    </w:p>
    <w:p>
      <w:pPr>
        <w:jc w:val="left"/>
        <w:rPr>
          <w:rFonts w:ascii="仿宋" w:hAnsi="仿宋" w:eastAsia="仿宋" w:cs="仿宋"/>
          <w:b/>
          <w:sz w:val="24"/>
          <w:szCs w:val="24"/>
        </w:rPr>
      </w:pPr>
      <w:r>
        <w:rPr>
          <w:rFonts w:hint="eastAsia" w:ascii="仿宋" w:hAnsi="仿宋" w:eastAsia="仿宋" w:cs="仿宋"/>
          <w:b/>
          <w:szCs w:val="21"/>
        </w:rPr>
        <w:t>（三）基金运作综合费用测算</w:t>
      </w:r>
    </w:p>
    <w:p>
      <w:pPr>
        <w:jc w:val="left"/>
        <w:rPr>
          <w:rFonts w:ascii="仿宋" w:hAnsi="仿宋" w:eastAsia="仿宋" w:cs="仿宋"/>
          <w:kern w:val="0"/>
          <w:szCs w:val="21"/>
        </w:rPr>
      </w:pPr>
      <w:r>
        <w:rPr>
          <w:rFonts w:hint="eastAsia" w:ascii="仿宋" w:hAnsi="仿宋" w:eastAsia="仿宋" w:cs="仿宋"/>
          <w:kern w:val="0"/>
          <w:szCs w:val="21"/>
        </w:rPr>
        <w:t>若投资者认购/申购本基金份额，在持有期间，投资者需支出的运作费率如下表：</w:t>
      </w:r>
    </w:p>
    <w:tbl>
      <w:tblPr>
        <w:tblStyle w:val="8"/>
        <w:tblW w:w="8029"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3926"/>
        <w:gridCol w:w="4103"/>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926" w:type="dxa"/>
            <w:tcBorders>
              <w:top w:val="single" w:color="auto" w:sz="8" w:space="0"/>
              <w:left w:val="nil"/>
              <w:bottom w:val="single" w:color="A5A5A5" w:themeColor="background1" w:themeShade="A6" w:sz="6" w:space="0"/>
              <w:right w:val="nil"/>
            </w:tcBorders>
          </w:tcPr>
          <w:p>
            <w:pPr>
              <w:rPr>
                <w:rFonts w:ascii="仿宋" w:hAnsi="仿宋" w:eastAsia="仿宋" w:cs="仿宋"/>
                <w:b/>
                <w:sz w:val="24"/>
                <w:szCs w:val="24"/>
                <w:highlight w:val="none"/>
              </w:rPr>
            </w:pPr>
          </w:p>
        </w:tc>
        <w:tc>
          <w:tcPr>
            <w:tcW w:w="4103" w:type="dxa"/>
            <w:tcBorders>
              <w:top w:val="single" w:color="auto" w:sz="8" w:space="0"/>
              <w:left w:val="nil"/>
              <w:bottom w:val="single" w:color="A5A5A5" w:themeColor="background1" w:themeShade="A6" w:sz="6" w:space="0"/>
              <w:right w:val="nil"/>
            </w:tcBorders>
          </w:tcPr>
          <w:p>
            <w:pPr>
              <w:rPr>
                <w:rFonts w:ascii="仿宋" w:hAnsi="仿宋" w:eastAsia="仿宋" w:cs="仿宋"/>
                <w:b/>
                <w:szCs w:val="21"/>
                <w:highlight w:val="none"/>
              </w:rPr>
            </w:pPr>
            <w:r>
              <w:rPr>
                <w:rFonts w:hint="eastAsia" w:ascii="仿宋" w:hAnsi="仿宋" w:eastAsia="仿宋" w:cs="仿宋"/>
                <w:b/>
                <w:sz w:val="24"/>
                <w:szCs w:val="24"/>
                <w:highlight w:val="none"/>
              </w:rPr>
              <w:t>基金运作综合费率（年化）</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926" w:type="dxa"/>
            <w:tcBorders>
              <w:top w:val="single" w:color="A5A5A5" w:themeColor="background1" w:themeShade="A6" w:sz="6" w:space="0"/>
              <w:left w:val="nil"/>
              <w:bottom w:val="single" w:color="A5A5A5" w:themeColor="background1" w:themeShade="A6" w:sz="6" w:space="0"/>
              <w:right w:val="nil"/>
            </w:tcBorders>
          </w:tcPr>
          <w:p>
            <w:pPr>
              <w:rPr>
                <w:rFonts w:ascii="仿宋_GB2312" w:eastAsia="仿宋_GB2312"/>
                <w:szCs w:val="21"/>
                <w:highlight w:val="none"/>
              </w:rPr>
            </w:pPr>
            <w:r>
              <w:rPr>
                <w:rFonts w:hint="eastAsia" w:ascii="仿宋_GB2312" w:eastAsia="仿宋_GB2312"/>
                <w:szCs w:val="21"/>
                <w:highlight w:val="none"/>
              </w:rPr>
              <w:t>N&lt;365天</w:t>
            </w:r>
          </w:p>
        </w:tc>
        <w:tc>
          <w:tcPr>
            <w:tcW w:w="4103" w:type="dxa"/>
            <w:tcBorders>
              <w:top w:val="single" w:color="A5A5A5" w:themeColor="background1" w:themeShade="A6" w:sz="6" w:space="0"/>
              <w:left w:val="nil"/>
              <w:bottom w:val="single" w:color="A5A5A5" w:themeColor="background1" w:themeShade="A6" w:sz="6" w:space="0"/>
              <w:right w:val="nil"/>
            </w:tcBorders>
            <w:vAlign w:val="center"/>
          </w:tcPr>
          <w:p>
            <w:pPr>
              <w:rPr>
                <w:rFonts w:ascii="仿宋_GB2312" w:eastAsia="仿宋_GB2312"/>
                <w:szCs w:val="21"/>
                <w:highlight w:val="none"/>
              </w:rPr>
            </w:pPr>
            <w:r>
              <w:rPr>
                <w:rFonts w:ascii="仿宋_GB2312" w:eastAsia="仿宋_GB2312"/>
                <w:szCs w:val="21"/>
                <w:highlight w:val="none"/>
              </w:rPr>
              <w:t>2.3</w:t>
            </w:r>
            <w:r>
              <w:rPr>
                <w:rFonts w:hint="eastAsia" w:ascii="仿宋_GB2312" w:eastAsia="仿宋_GB2312"/>
                <w:szCs w:val="21"/>
                <w:highlight w:val="none"/>
              </w:rPr>
              <w:t>1%</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926" w:type="dxa"/>
            <w:tcBorders>
              <w:top w:val="single" w:color="A5A5A5" w:themeColor="background1" w:themeShade="A6" w:sz="6" w:space="0"/>
              <w:left w:val="nil"/>
              <w:bottom w:val="single" w:color="A5A5A5" w:themeColor="background1" w:themeShade="A6" w:sz="6" w:space="0"/>
              <w:right w:val="nil"/>
            </w:tcBorders>
          </w:tcPr>
          <w:p>
            <w:pPr>
              <w:rPr>
                <w:rFonts w:ascii="仿宋_GB2312" w:eastAsia="仿宋_GB2312"/>
                <w:szCs w:val="21"/>
                <w:highlight w:val="none"/>
              </w:rPr>
            </w:pPr>
            <w:r>
              <w:rPr>
                <w:rFonts w:hint="eastAsia" w:ascii="仿宋_GB2312" w:eastAsia="仿宋_GB2312"/>
                <w:szCs w:val="21"/>
                <w:highlight w:val="none"/>
              </w:rPr>
              <w:t>N≥365天，且R（扣除超额管理费后）＞Rb+6%且R（扣除超额管理费后）＞0</w:t>
            </w:r>
          </w:p>
        </w:tc>
        <w:tc>
          <w:tcPr>
            <w:tcW w:w="4103" w:type="dxa"/>
            <w:tcBorders>
              <w:top w:val="single" w:color="A5A5A5" w:themeColor="background1" w:themeShade="A6" w:sz="6" w:space="0"/>
              <w:left w:val="nil"/>
              <w:bottom w:val="single" w:color="A5A5A5" w:themeColor="background1" w:themeShade="A6" w:sz="6" w:space="0"/>
              <w:right w:val="nil"/>
            </w:tcBorders>
            <w:vAlign w:val="center"/>
          </w:tcPr>
          <w:p>
            <w:pPr>
              <w:rPr>
                <w:rFonts w:ascii="仿宋_GB2312" w:eastAsia="仿宋_GB2312"/>
                <w:szCs w:val="21"/>
                <w:highlight w:val="none"/>
              </w:rPr>
            </w:pPr>
            <w:r>
              <w:rPr>
                <w:rFonts w:hint="eastAsia" w:ascii="仿宋_GB2312" w:eastAsia="仿宋_GB2312"/>
                <w:szCs w:val="21"/>
                <w:highlight w:val="none"/>
              </w:rPr>
              <w:t>2.</w:t>
            </w:r>
            <w:r>
              <w:rPr>
                <w:rFonts w:ascii="仿宋_GB2312" w:eastAsia="仿宋_GB2312"/>
                <w:szCs w:val="21"/>
                <w:highlight w:val="none"/>
              </w:rPr>
              <w:t>6</w:t>
            </w:r>
            <w:r>
              <w:rPr>
                <w:rFonts w:hint="eastAsia" w:ascii="仿宋_GB2312" w:eastAsia="仿宋_GB2312"/>
                <w:szCs w:val="21"/>
                <w:highlight w:val="none"/>
              </w:rPr>
              <w:t>1%</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926" w:type="dxa"/>
            <w:tcBorders>
              <w:top w:val="single" w:color="A5A5A5" w:themeColor="background1" w:themeShade="A6" w:sz="6" w:space="0"/>
              <w:left w:val="nil"/>
              <w:bottom w:val="single" w:color="A5A5A5" w:themeColor="background1" w:themeShade="A6" w:sz="6" w:space="0"/>
              <w:right w:val="nil"/>
            </w:tcBorders>
          </w:tcPr>
          <w:p>
            <w:pPr>
              <w:rPr>
                <w:rFonts w:ascii="仿宋_GB2312" w:eastAsia="仿宋_GB2312"/>
                <w:szCs w:val="21"/>
                <w:highlight w:val="none"/>
              </w:rPr>
            </w:pPr>
            <w:r>
              <w:rPr>
                <w:rFonts w:hint="eastAsia" w:ascii="仿宋_GB2312" w:eastAsia="仿宋_GB2312"/>
                <w:szCs w:val="21"/>
                <w:highlight w:val="none"/>
              </w:rPr>
              <w:t>N≥365天，且R≤Rb-3%</w:t>
            </w:r>
          </w:p>
        </w:tc>
        <w:tc>
          <w:tcPr>
            <w:tcW w:w="4103" w:type="dxa"/>
            <w:tcBorders>
              <w:top w:val="single" w:color="A5A5A5" w:themeColor="background1" w:themeShade="A6" w:sz="6" w:space="0"/>
              <w:left w:val="nil"/>
              <w:bottom w:val="single" w:color="A5A5A5" w:themeColor="background1" w:themeShade="A6" w:sz="6" w:space="0"/>
              <w:right w:val="nil"/>
            </w:tcBorders>
            <w:vAlign w:val="center"/>
          </w:tcPr>
          <w:p>
            <w:pPr>
              <w:rPr>
                <w:rFonts w:ascii="仿宋_GB2312" w:eastAsia="仿宋_GB2312"/>
                <w:szCs w:val="21"/>
                <w:highlight w:val="none"/>
              </w:rPr>
            </w:pPr>
            <w:r>
              <w:rPr>
                <w:rFonts w:hint="eastAsia" w:ascii="仿宋_GB2312" w:eastAsia="仿宋_GB2312"/>
                <w:szCs w:val="21"/>
                <w:highlight w:val="none"/>
              </w:rPr>
              <w:t>1.</w:t>
            </w:r>
            <w:r>
              <w:rPr>
                <w:rFonts w:ascii="仿宋_GB2312" w:eastAsia="仿宋_GB2312"/>
                <w:szCs w:val="21"/>
                <w:highlight w:val="none"/>
              </w:rPr>
              <w:t>7</w:t>
            </w:r>
            <w:r>
              <w:rPr>
                <w:rFonts w:hint="eastAsia" w:ascii="仿宋_GB2312" w:eastAsia="仿宋_GB2312"/>
                <w:szCs w:val="21"/>
                <w:highlight w:val="none"/>
              </w:rPr>
              <w:t>1%</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926" w:type="dxa"/>
            <w:tcBorders>
              <w:top w:val="single" w:color="A5A5A5" w:themeColor="background1" w:themeShade="A6" w:sz="6" w:space="0"/>
              <w:left w:val="nil"/>
              <w:bottom w:val="single" w:color="auto" w:sz="8" w:space="0"/>
              <w:right w:val="nil"/>
            </w:tcBorders>
          </w:tcPr>
          <w:p>
            <w:pPr>
              <w:rPr>
                <w:rFonts w:ascii="仿宋_GB2312" w:eastAsia="仿宋_GB2312"/>
                <w:szCs w:val="21"/>
                <w:highlight w:val="none"/>
              </w:rPr>
            </w:pPr>
            <w:r>
              <w:rPr>
                <w:rFonts w:hint="eastAsia" w:ascii="仿宋_GB2312" w:eastAsia="仿宋_GB2312"/>
                <w:szCs w:val="21"/>
                <w:highlight w:val="none"/>
              </w:rPr>
              <w:t>N≥365天，其他情形</w:t>
            </w:r>
          </w:p>
        </w:tc>
        <w:tc>
          <w:tcPr>
            <w:tcW w:w="4103" w:type="dxa"/>
            <w:tcBorders>
              <w:top w:val="single" w:color="A5A5A5" w:themeColor="background1" w:themeShade="A6" w:sz="6" w:space="0"/>
              <w:left w:val="nil"/>
              <w:bottom w:val="single" w:color="auto" w:sz="8" w:space="0"/>
              <w:right w:val="nil"/>
            </w:tcBorders>
            <w:vAlign w:val="center"/>
          </w:tcPr>
          <w:p>
            <w:pPr>
              <w:rPr>
                <w:rFonts w:ascii="仿宋_GB2312" w:eastAsia="仿宋_GB2312"/>
                <w:szCs w:val="21"/>
                <w:highlight w:val="none"/>
              </w:rPr>
            </w:pPr>
            <w:r>
              <w:rPr>
                <w:rFonts w:ascii="仿宋_GB2312" w:eastAsia="仿宋_GB2312"/>
                <w:szCs w:val="21"/>
                <w:highlight w:val="none"/>
              </w:rPr>
              <w:t>2.3</w:t>
            </w:r>
            <w:r>
              <w:rPr>
                <w:rFonts w:hint="eastAsia" w:ascii="仿宋_GB2312" w:eastAsia="仿宋_GB2312"/>
                <w:szCs w:val="21"/>
                <w:highlight w:val="none"/>
              </w:rPr>
              <w:t>1%</w:t>
            </w:r>
          </w:p>
        </w:tc>
      </w:tr>
    </w:tbl>
    <w:p>
      <w:pPr>
        <w:jc w:val="left"/>
        <w:rPr>
          <w:rFonts w:hint="eastAsia" w:ascii="仿宋_GB2312" w:eastAsia="仿宋_GB2312"/>
          <w:b/>
          <w:szCs w:val="21"/>
        </w:rPr>
      </w:pPr>
    </w:p>
    <w:p>
      <w:pPr>
        <w:jc w:val="left"/>
        <w:rPr>
          <w:rFonts w:ascii="仿宋" w:hAnsi="仿宋" w:eastAsia="仿宋" w:cs="仿宋"/>
          <w:sz w:val="24"/>
          <w:szCs w:val="24"/>
        </w:rPr>
      </w:pPr>
      <w:r>
        <w:rPr>
          <w:rFonts w:hint="eastAsia" w:ascii="仿宋_GB2312" w:eastAsia="仿宋_GB2312"/>
          <w:b/>
          <w:szCs w:val="21"/>
        </w:rPr>
        <w:t>注：</w:t>
      </w:r>
      <w:r>
        <w:rPr>
          <w:rFonts w:hint="eastAsia" w:ascii="仿宋_GB2312" w:eastAsia="仿宋_GB2312"/>
          <w:szCs w:val="21"/>
        </w:rPr>
        <w:t>1、N为持有期限，R为该笔基金份额的年化收益率，Rb为本基金业绩比较基准同期年化收益率。 2、基金托管费率、销售服务费率（若有）为基金现行费率，其他运作费用以最近一次基金年报披露的相关数据为基准测算。本基金根据每笔基金份额的持有期限与持有期间年化收益率，在赎回、转换转出基金份额或基金合同终止的情形发生时确定该笔基金份额对应的管理费，具体管理费率规则可见本概要“基金运作相关费用”部分或招募说明书“基金的费用与税收”章节。</w:t>
      </w:r>
    </w:p>
    <w:p>
      <w:pPr>
        <w:jc w:val="left"/>
        <w:rPr>
          <w:rFonts w:ascii="仿宋_GB2312" w:hAnsi="宋体" w:eastAsia="仿宋_GB2312" w:cs="宋体"/>
          <w:b/>
          <w:kern w:val="0"/>
          <w:szCs w:val="21"/>
        </w:rPr>
      </w:pPr>
      <w:r>
        <w:rPr>
          <w:rFonts w:hint="eastAsia" w:ascii="仿宋_GB2312" w:hAnsi="宋体" w:eastAsia="仿宋_GB2312" w:cs="宋体"/>
          <w:b/>
          <w:kern w:val="0"/>
          <w:szCs w:val="21"/>
        </w:rPr>
        <w:t>四、风险揭示与重要提示</w:t>
      </w:r>
    </w:p>
    <w:p>
      <w:pPr>
        <w:jc w:val="left"/>
        <w:rPr>
          <w:rFonts w:ascii="仿宋_GB2312" w:eastAsia="仿宋_GB2312"/>
          <w:b/>
          <w:szCs w:val="21"/>
        </w:rPr>
      </w:pPr>
      <w:r>
        <w:rPr>
          <w:rFonts w:hint="eastAsia" w:ascii="仿宋_GB2312" w:eastAsia="仿宋_GB2312"/>
          <w:b/>
          <w:szCs w:val="21"/>
        </w:rPr>
        <w:t>（一）风险揭示</w:t>
      </w:r>
    </w:p>
    <w:p>
      <w:pPr>
        <w:ind w:firstLine="420"/>
        <w:jc w:val="left"/>
        <w:rPr>
          <w:rFonts w:ascii="仿宋_GB2312" w:eastAsia="仿宋_GB2312"/>
          <w:szCs w:val="21"/>
        </w:rPr>
      </w:pPr>
      <w:r>
        <w:rPr>
          <w:rFonts w:hint="eastAsia" w:ascii="仿宋_GB2312" w:eastAsia="仿宋_GB2312"/>
          <w:szCs w:val="21"/>
        </w:rPr>
        <w:t>本基金不提供任何保证。投资者可能损失投资本金。</w:t>
      </w:r>
    </w:p>
    <w:p>
      <w:pPr>
        <w:ind w:firstLine="420"/>
        <w:jc w:val="left"/>
        <w:rPr>
          <w:rFonts w:ascii="仿宋_GB2312" w:eastAsia="仿宋_GB2312"/>
          <w:szCs w:val="21"/>
        </w:rPr>
      </w:pPr>
      <w:r>
        <w:rPr>
          <w:rFonts w:hint="eastAsia" w:ascii="仿宋_GB2312" w:eastAsia="仿宋_GB2312"/>
          <w:szCs w:val="21"/>
        </w:rPr>
        <w:t>投资有风险，投资者购买基金时应认真阅读本基金的《招募说明书》等销售文件。</w:t>
      </w:r>
    </w:p>
    <w:p>
      <w:pPr>
        <w:ind w:firstLine="420"/>
        <w:jc w:val="left"/>
        <w:rPr>
          <w:rFonts w:ascii="仿宋_GB2312" w:eastAsia="仿宋_GB2312"/>
          <w:szCs w:val="21"/>
        </w:rPr>
      </w:pPr>
      <w:r>
        <w:rPr>
          <w:rFonts w:hint="eastAsia" w:ascii="仿宋_GB2312" w:eastAsia="仿宋_GB2312"/>
          <w:szCs w:val="21"/>
        </w:rPr>
        <w:t>基金份额持有人须了解并承受以下风险：</w:t>
      </w:r>
    </w:p>
    <w:p>
      <w:pPr>
        <w:ind w:firstLine="420"/>
        <w:jc w:val="left"/>
        <w:rPr>
          <w:rFonts w:ascii="仿宋_GB2312" w:eastAsia="仿宋_GB2312"/>
          <w:szCs w:val="21"/>
        </w:rPr>
      </w:pPr>
      <w:r>
        <w:rPr>
          <w:rFonts w:hint="eastAsia" w:ascii="仿宋_GB2312" w:eastAsia="仿宋_GB2312"/>
          <w:szCs w:val="21"/>
        </w:rPr>
        <w:t>1、市场风险</w:t>
      </w:r>
    </w:p>
    <w:p>
      <w:pPr>
        <w:ind w:firstLine="420"/>
        <w:jc w:val="left"/>
        <w:rPr>
          <w:rFonts w:ascii="仿宋_GB2312" w:eastAsia="仿宋_GB2312"/>
          <w:szCs w:val="21"/>
        </w:rPr>
      </w:pPr>
      <w:r>
        <w:rPr>
          <w:rFonts w:hint="eastAsia" w:ascii="仿宋_GB2312" w:eastAsia="仿宋_GB2312"/>
          <w:szCs w:val="21"/>
        </w:rPr>
        <w:t>（1）政策风险（2）经济周期风险（3）利率风险（4）上市公司经营风险（5）购买力风险。</w:t>
      </w:r>
    </w:p>
    <w:p>
      <w:pPr>
        <w:ind w:firstLine="420"/>
        <w:jc w:val="left"/>
        <w:rPr>
          <w:rFonts w:ascii="仿宋_GB2312" w:eastAsia="仿宋_GB2312"/>
          <w:szCs w:val="21"/>
        </w:rPr>
      </w:pPr>
      <w:r>
        <w:rPr>
          <w:rFonts w:hint="eastAsia" w:ascii="仿宋_GB2312" w:eastAsia="仿宋_GB2312"/>
          <w:szCs w:val="21"/>
        </w:rPr>
        <w:t>2、管理风险</w:t>
      </w:r>
    </w:p>
    <w:p>
      <w:pPr>
        <w:ind w:firstLine="420"/>
        <w:jc w:val="left"/>
        <w:rPr>
          <w:rFonts w:ascii="仿宋_GB2312" w:eastAsia="仿宋_GB2312"/>
          <w:szCs w:val="21"/>
        </w:rPr>
      </w:pPr>
      <w:r>
        <w:rPr>
          <w:rFonts w:hint="eastAsia" w:ascii="仿宋_GB2312" w:eastAsia="仿宋_GB2312"/>
          <w:szCs w:val="21"/>
        </w:rPr>
        <w:t>3、流动性风险</w:t>
      </w:r>
    </w:p>
    <w:p>
      <w:pPr>
        <w:ind w:firstLine="420"/>
        <w:jc w:val="left"/>
        <w:rPr>
          <w:rFonts w:ascii="仿宋_GB2312" w:eastAsia="仿宋_GB2312"/>
          <w:szCs w:val="21"/>
        </w:rPr>
      </w:pPr>
      <w:r>
        <w:rPr>
          <w:rFonts w:hint="eastAsia" w:ascii="仿宋_GB2312" w:eastAsia="仿宋_GB2312"/>
          <w:szCs w:val="21"/>
        </w:rPr>
        <w:t>4、信用风险</w:t>
      </w:r>
    </w:p>
    <w:p>
      <w:pPr>
        <w:ind w:firstLine="420"/>
        <w:jc w:val="left"/>
        <w:rPr>
          <w:rFonts w:ascii="仿宋_GB2312" w:eastAsia="仿宋_GB2312"/>
          <w:szCs w:val="21"/>
        </w:rPr>
      </w:pPr>
      <w:r>
        <w:rPr>
          <w:rFonts w:hint="eastAsia" w:ascii="仿宋_GB2312" w:eastAsia="仿宋_GB2312"/>
          <w:szCs w:val="21"/>
        </w:rPr>
        <w:t>5、本基金的特有风险</w:t>
      </w:r>
    </w:p>
    <w:p>
      <w:pPr>
        <w:ind w:firstLine="420"/>
        <w:jc w:val="left"/>
        <w:rPr>
          <w:rFonts w:ascii="仿宋_GB2312" w:eastAsia="仿宋_GB2312"/>
          <w:szCs w:val="21"/>
        </w:rPr>
      </w:pPr>
      <w:r>
        <w:rPr>
          <w:rFonts w:hint="eastAsia" w:ascii="仿宋_GB2312" w:eastAsia="仿宋_GB2312"/>
          <w:szCs w:val="21"/>
        </w:rPr>
        <w:t>（1）本基金属于混合型基金，通过在股票、债券等各类资产之间进行配置来降低风险，提高收益。如果股票市场和债券市场同时出现下跌，本基金将不能完全抵御两个市场同时下跌的风险，基金净值将出现下降。此外，本基金在调整资产配置比例时，可能由于基金经理的预判与市场的实际表现存在较大差异，出现资产配置不合理的风险，从而对基金收益造成不利影响。</w:t>
      </w:r>
    </w:p>
    <w:p>
      <w:pPr>
        <w:ind w:firstLine="420"/>
        <w:jc w:val="left"/>
        <w:rPr>
          <w:rFonts w:ascii="仿宋_GB2312" w:eastAsia="仿宋_GB2312"/>
          <w:szCs w:val="21"/>
        </w:rPr>
      </w:pPr>
      <w:r>
        <w:rPr>
          <w:rFonts w:hint="eastAsia" w:ascii="仿宋_GB2312" w:eastAsia="仿宋_GB2312"/>
          <w:szCs w:val="21"/>
        </w:rPr>
        <w:t>（2）对宏观经济趋势、政策以及上市公司基本面研究是否准确、深入，以及对股票的优选和判断是否科学、准确将影响本基金的收益。基本面研究及上市公司分析的错误均可能导致所选择的证券不能完全符合本基金的预期目标。</w:t>
      </w:r>
    </w:p>
    <w:p>
      <w:pPr>
        <w:ind w:firstLine="420"/>
        <w:jc w:val="left"/>
        <w:rPr>
          <w:rFonts w:ascii="仿宋_GB2312" w:eastAsia="仿宋_GB2312"/>
          <w:szCs w:val="21"/>
        </w:rPr>
      </w:pPr>
      <w:r>
        <w:rPr>
          <w:rFonts w:hint="eastAsia" w:ascii="仿宋_GB2312" w:eastAsia="仿宋_GB2312"/>
          <w:szCs w:val="21"/>
        </w:rPr>
        <w:t>（3）浮动管理费模式相关风险</w:t>
      </w:r>
    </w:p>
    <w:p>
      <w:pPr>
        <w:ind w:firstLine="420"/>
        <w:jc w:val="left"/>
        <w:rPr>
          <w:rFonts w:ascii="仿宋_GB2312" w:eastAsia="仿宋_GB2312"/>
          <w:szCs w:val="21"/>
        </w:rPr>
      </w:pPr>
      <w:r>
        <w:rPr>
          <w:rFonts w:hint="eastAsia" w:ascii="仿宋_GB2312" w:eastAsia="仿宋_GB2312"/>
          <w:szCs w:val="21"/>
        </w:rPr>
        <w:t>1）本基金的管理费由固定管理费、或有管理费和超额管理费组成，其中或有管理费和超额管理费取决于每笔基金份额的持有时长和持有期间年化收益率水平（详见基金合同“第十五部分 基金费用与税收”），因此投资者在认/申购本基金时无法预先确定本基金的整体管理费水平。</w:t>
      </w:r>
    </w:p>
    <w:p>
      <w:pPr>
        <w:ind w:firstLine="420"/>
        <w:jc w:val="left"/>
        <w:rPr>
          <w:rFonts w:ascii="仿宋_GB2312" w:eastAsia="仿宋_GB2312"/>
          <w:szCs w:val="21"/>
        </w:rPr>
      </w:pPr>
      <w:r>
        <w:rPr>
          <w:rFonts w:hint="eastAsia" w:ascii="仿宋_GB2312" w:eastAsia="仿宋_GB2312"/>
          <w:szCs w:val="21"/>
        </w:rPr>
        <w:t>2）由于本基金在计算基金份额净值时，按前一日基金资产净值的1.20%年费率计算管理费，该费率可能高于或低于不同投资者最终适用的管理费率。在基金份额赎回或基金合同终止的情形发生时，基金投资者实际收到的赎回款项或清算款项的金额可能与按披露的基金份额净值计算的结果存在差异。投资者的实际赎回金额和清算资金以登记机构确认数据为准。</w:t>
      </w:r>
    </w:p>
    <w:p>
      <w:pPr>
        <w:ind w:firstLine="420"/>
        <w:jc w:val="left"/>
        <w:rPr>
          <w:rFonts w:ascii="仿宋_GB2312" w:eastAsia="仿宋_GB2312"/>
          <w:szCs w:val="21"/>
        </w:rPr>
      </w:pPr>
      <w:r>
        <w:rPr>
          <w:rFonts w:hint="eastAsia" w:ascii="仿宋_GB2312" w:eastAsia="仿宋_GB2312"/>
          <w:szCs w:val="21"/>
        </w:rPr>
        <w:t>3）本基金采用浮动管理费的收费模式，不代表基金管理人对基金收益的保证。</w:t>
      </w:r>
    </w:p>
    <w:p>
      <w:pPr>
        <w:ind w:firstLine="420"/>
        <w:jc w:val="left"/>
        <w:rPr>
          <w:rFonts w:ascii="仿宋_GB2312" w:eastAsia="仿宋_GB2312"/>
          <w:szCs w:val="21"/>
        </w:rPr>
      </w:pPr>
      <w:r>
        <w:rPr>
          <w:rFonts w:hint="eastAsia" w:ascii="仿宋_GB2312" w:eastAsia="仿宋_GB2312"/>
          <w:szCs w:val="21"/>
        </w:rPr>
        <w:t>（4）本基金可投资创业板股票，创业板个股上市后的前五个交易日不设价格涨跌幅限制，第六个交易日开始涨跌幅限制比例为20%。</w:t>
      </w:r>
    </w:p>
    <w:p>
      <w:pPr>
        <w:ind w:firstLine="420"/>
        <w:jc w:val="left"/>
        <w:rPr>
          <w:rFonts w:ascii="仿宋_GB2312" w:eastAsia="仿宋_GB2312"/>
          <w:szCs w:val="21"/>
        </w:rPr>
      </w:pPr>
      <w:r>
        <w:rPr>
          <w:rFonts w:hint="eastAsia" w:ascii="仿宋_GB2312" w:eastAsia="仿宋_GB2312"/>
          <w:szCs w:val="21"/>
        </w:rPr>
        <w:t>（5）投资股指期货的特定风险</w:t>
      </w:r>
    </w:p>
    <w:p>
      <w:pPr>
        <w:ind w:firstLine="420"/>
        <w:jc w:val="left"/>
        <w:rPr>
          <w:rFonts w:ascii="仿宋_GB2312" w:eastAsia="仿宋_GB2312"/>
          <w:szCs w:val="21"/>
        </w:rPr>
      </w:pPr>
      <w:r>
        <w:rPr>
          <w:rFonts w:hint="eastAsia" w:ascii="仿宋_GB2312" w:eastAsia="仿宋_GB2312"/>
          <w:szCs w:val="21"/>
        </w:rPr>
        <w:t>本基金可投资于股指期货，股指期货作为一种金融衍生品，其价值取决于一种或多种基础资产或指数，其评价主要源自于对挂钩资产的价格与价格波动的预期。投资股指期货所面临的风险主要是市场风险、流动性风险、基差风险、保证金风险、信用风险和操作风险。</w:t>
      </w:r>
    </w:p>
    <w:p>
      <w:pPr>
        <w:ind w:firstLine="420"/>
        <w:jc w:val="left"/>
        <w:rPr>
          <w:rFonts w:ascii="仿宋_GB2312" w:eastAsia="仿宋_GB2312"/>
          <w:szCs w:val="21"/>
        </w:rPr>
      </w:pPr>
      <w:r>
        <w:rPr>
          <w:rFonts w:hint="eastAsia" w:ascii="仿宋_GB2312" w:eastAsia="仿宋_GB2312"/>
          <w:szCs w:val="21"/>
        </w:rPr>
        <w:t>此外，由于衍生品通常具有杠杆效应，价格波动比标的工具更为剧烈，并且其定价相当复杂，不适当的估值也有可能使基金资产面临损失风险。</w:t>
      </w:r>
    </w:p>
    <w:p>
      <w:pPr>
        <w:ind w:firstLine="420"/>
        <w:jc w:val="left"/>
        <w:rPr>
          <w:rFonts w:ascii="仿宋_GB2312" w:eastAsia="仿宋_GB2312"/>
          <w:szCs w:val="21"/>
        </w:rPr>
      </w:pPr>
      <w:r>
        <w:rPr>
          <w:rFonts w:hint="eastAsia" w:ascii="仿宋_GB2312" w:eastAsia="仿宋_GB2312"/>
          <w:szCs w:val="21"/>
        </w:rPr>
        <w:t>（6）投资资产支持证券的特定风险</w:t>
      </w:r>
    </w:p>
    <w:p>
      <w:pPr>
        <w:ind w:firstLine="420"/>
        <w:jc w:val="left"/>
        <w:rPr>
          <w:rFonts w:ascii="仿宋_GB2312" w:eastAsia="仿宋_GB2312"/>
          <w:szCs w:val="21"/>
        </w:rPr>
      </w:pPr>
      <w:r>
        <w:rPr>
          <w:rFonts w:hint="eastAsia" w:ascii="仿宋_GB2312" w:eastAsia="仿宋_GB2312"/>
          <w:szCs w:val="21"/>
        </w:rPr>
        <w:t>本基金可投资资产支持证券，资产支持证券具有一定的价格波动风险、流动性风险、信用风险等风险，基金管理人将本着谨慎和控制风险的原则进行资产支持证券投资，请基金份额持有人关注包括投资资产支持证券可能导致的基金净值波动在内的各项风险。</w:t>
      </w:r>
    </w:p>
    <w:p>
      <w:pPr>
        <w:ind w:firstLine="420"/>
        <w:jc w:val="left"/>
        <w:rPr>
          <w:rFonts w:ascii="仿宋_GB2312" w:eastAsia="仿宋_GB2312"/>
          <w:szCs w:val="21"/>
        </w:rPr>
      </w:pPr>
      <w:r>
        <w:rPr>
          <w:rFonts w:hint="eastAsia" w:ascii="仿宋_GB2312" w:eastAsia="仿宋_GB2312"/>
          <w:szCs w:val="21"/>
        </w:rPr>
        <w:t>（7）投资流通受限证券的特定风险</w:t>
      </w:r>
    </w:p>
    <w:p>
      <w:pPr>
        <w:ind w:firstLine="420"/>
        <w:jc w:val="left"/>
        <w:rPr>
          <w:rFonts w:ascii="仿宋_GB2312" w:eastAsia="仿宋_GB2312"/>
          <w:szCs w:val="21"/>
        </w:rPr>
      </w:pPr>
      <w:r>
        <w:rPr>
          <w:rFonts w:hint="eastAsia" w:ascii="仿宋_GB2312" w:eastAsia="仿宋_GB2312"/>
          <w:szCs w:val="21"/>
        </w:rPr>
        <w:t>本基金若投资流动受限证券将面临证券市场流动性风险，主要表现在几个方面：基金建仓困难，或建仓成本很高；基金资产不能迅速转变成现金，或变现成本很高；不能应付可能出现的投资者大额赎回的风险；证券投资中个券和个股的流动性风险等。</w:t>
      </w:r>
    </w:p>
    <w:p>
      <w:pPr>
        <w:ind w:firstLine="420"/>
        <w:jc w:val="left"/>
        <w:rPr>
          <w:rFonts w:ascii="仿宋_GB2312" w:eastAsia="仿宋_GB2312"/>
          <w:szCs w:val="21"/>
        </w:rPr>
      </w:pPr>
      <w:r>
        <w:rPr>
          <w:rFonts w:hint="eastAsia" w:ascii="仿宋_GB2312" w:eastAsia="仿宋_GB2312"/>
          <w:szCs w:val="21"/>
        </w:rPr>
        <w:t>（8）投资港股通标的股票的特定风险</w:t>
      </w:r>
    </w:p>
    <w:p>
      <w:pPr>
        <w:ind w:firstLine="420"/>
        <w:jc w:val="left"/>
        <w:rPr>
          <w:rFonts w:ascii="仿宋_GB2312" w:eastAsia="仿宋_GB2312"/>
          <w:szCs w:val="21"/>
        </w:rPr>
      </w:pPr>
      <w:r>
        <w:rPr>
          <w:rFonts w:hint="eastAsia" w:ascii="仿宋_GB2312" w:eastAsia="仿宋_GB2312"/>
          <w:szCs w:val="21"/>
        </w:rPr>
        <w:t>本基金可投资港股通标的股票，会面临港股通机制下因投资环境、投资标的、市场制度以及交易规则等差异带来的特有风险，具体如下：1）港股交易失败风险2）汇率风险3）境外市场的风险4）本基金可根据投资策略需要或不同配置地市场环境的变化，选择将部分基金资产投资于港股通标的股票或选择不将基金资产投资于港股通标的股票，基金资产并非必然投资港股通标的股票。</w:t>
      </w:r>
    </w:p>
    <w:p>
      <w:pPr>
        <w:ind w:firstLine="420"/>
        <w:jc w:val="left"/>
        <w:rPr>
          <w:rFonts w:ascii="仿宋_GB2312" w:eastAsia="仿宋_GB2312"/>
          <w:szCs w:val="21"/>
        </w:rPr>
      </w:pPr>
      <w:r>
        <w:rPr>
          <w:rFonts w:hint="eastAsia" w:ascii="仿宋_GB2312" w:eastAsia="仿宋_GB2312"/>
          <w:szCs w:val="21"/>
        </w:rPr>
        <w:t>（9）投资存托凭证的特定风险</w:t>
      </w:r>
    </w:p>
    <w:p>
      <w:pPr>
        <w:ind w:firstLine="420"/>
        <w:jc w:val="left"/>
        <w:rPr>
          <w:rFonts w:ascii="仿宋_GB2312" w:eastAsia="仿宋_GB2312"/>
          <w:szCs w:val="21"/>
        </w:rPr>
      </w:pPr>
      <w:r>
        <w:rPr>
          <w:rFonts w:hint="eastAsia" w:ascii="仿宋_GB2312" w:eastAsia="仿宋_GB2312"/>
          <w:szCs w:val="21"/>
        </w:rPr>
        <w:t>本基金可投资国内依法发行上市的存托凭证，基金净值可能受到存托凭证的境外基础证券价格波动影响，与存托凭证的境外基础证券、境外基础证券的发行人及境内外交易机制相关的风险可能直接或间接成为本基金风险。</w:t>
      </w:r>
    </w:p>
    <w:p>
      <w:pPr>
        <w:ind w:firstLine="420"/>
        <w:jc w:val="left"/>
        <w:rPr>
          <w:rFonts w:ascii="仿宋_GB2312" w:eastAsia="仿宋_GB2312"/>
          <w:szCs w:val="21"/>
        </w:rPr>
      </w:pPr>
      <w:r>
        <w:rPr>
          <w:rFonts w:hint="eastAsia" w:ascii="仿宋_GB2312" w:eastAsia="仿宋_GB2312"/>
          <w:szCs w:val="21"/>
        </w:rPr>
        <w:t>具体风险包括：存托凭证持有人与境外基础证券发行人的股东在法律地位、享有权利等方面存在差异可能引发的风险；存托凭证持有人在分红派息、行使表决权等方面的特殊安排可能引发的风险；存托协议自动约束存托凭证持有人的风险；因多地上市造成存托凭证价格差异以及波动的风险；存托凭证持有人权益被摊薄的风险；存托凭证退市的风险；已在境外上市的基础证券发行人，在持续信息披露监管方面与境内可能存在差异的风险；境内外法律制度、监管环境差异可能导致的其他风险。</w:t>
      </w:r>
    </w:p>
    <w:p>
      <w:pPr>
        <w:ind w:firstLine="420"/>
        <w:jc w:val="left"/>
        <w:rPr>
          <w:rFonts w:ascii="仿宋_GB2312" w:eastAsia="仿宋_GB2312"/>
          <w:szCs w:val="21"/>
        </w:rPr>
      </w:pPr>
      <w:r>
        <w:rPr>
          <w:rFonts w:hint="eastAsia" w:ascii="仿宋_GB2312" w:eastAsia="仿宋_GB2312"/>
          <w:szCs w:val="21"/>
        </w:rPr>
        <w:t>本基金可根据投资策略需要或市场环境的变化，选择将部分基金资产投资于存托凭证或选择不将基金资产投资于存托凭证，基金资产并非必然投资存托凭证。</w:t>
      </w:r>
    </w:p>
    <w:p>
      <w:pPr>
        <w:ind w:firstLine="420"/>
        <w:jc w:val="left"/>
        <w:rPr>
          <w:rFonts w:ascii="仿宋_GB2312" w:eastAsia="仿宋_GB2312"/>
          <w:szCs w:val="21"/>
        </w:rPr>
      </w:pPr>
      <w:r>
        <w:rPr>
          <w:rFonts w:hint="eastAsia" w:ascii="仿宋_GB2312" w:eastAsia="仿宋_GB2312"/>
          <w:szCs w:val="21"/>
        </w:rPr>
        <w:t>（10）投资科创板股票的特定风险</w:t>
      </w:r>
    </w:p>
    <w:p>
      <w:pPr>
        <w:ind w:firstLine="420"/>
        <w:jc w:val="left"/>
        <w:rPr>
          <w:rFonts w:ascii="仿宋_GB2312" w:eastAsia="仿宋_GB2312"/>
          <w:szCs w:val="21"/>
        </w:rPr>
      </w:pPr>
      <w:r>
        <w:rPr>
          <w:rFonts w:hint="eastAsia" w:ascii="仿宋_GB2312" w:eastAsia="仿宋_GB2312"/>
          <w:szCs w:val="21"/>
        </w:rPr>
        <w:t>本基金可根据投资策略需要或市场环境的变化，选择将部分基金资产投资于科创板股票或选择不将基金资产投资于科创板股票，基金资产并非必然投资于科创板股票。基金资产投资于科创板股票，会面临科创板机制下因投资标的、市场制度以及交易规则等差异带来的特有风险，包括但不限于市场风险、流动性风险、退市风险、系统性风险、政策风险等。</w:t>
      </w:r>
    </w:p>
    <w:p>
      <w:pPr>
        <w:ind w:firstLine="420"/>
        <w:jc w:val="left"/>
        <w:rPr>
          <w:rFonts w:ascii="仿宋_GB2312" w:eastAsia="仿宋_GB2312"/>
          <w:szCs w:val="21"/>
        </w:rPr>
      </w:pPr>
      <w:r>
        <w:rPr>
          <w:rFonts w:hint="eastAsia" w:ascii="仿宋_GB2312" w:eastAsia="仿宋_GB2312"/>
          <w:szCs w:val="21"/>
        </w:rPr>
        <w:t>6、本基金法律文件风险收益特征表述与销售机构基金风险评价可能不一致的风险</w:t>
      </w:r>
    </w:p>
    <w:p>
      <w:pPr>
        <w:ind w:firstLine="420"/>
        <w:jc w:val="left"/>
        <w:rPr>
          <w:rFonts w:ascii="仿宋_GB2312" w:eastAsia="仿宋_GB2312"/>
          <w:szCs w:val="21"/>
        </w:rPr>
      </w:pPr>
      <w:r>
        <w:rPr>
          <w:rFonts w:hint="eastAsia" w:ascii="仿宋_GB2312" w:eastAsia="仿宋_GB2312"/>
          <w:szCs w:val="21"/>
        </w:rPr>
        <w:t>本基金法律文件投资章节有关风险收益特征的表述是基于投资范围、投资比例、证券市场普遍规律等做出的概述性描述，代表了一般市场情况下本基金的长期风险收益特征。销售机构(包括基金管理人直销机构和其他销售机构)根据相关法律法规对本基金进行风险评价，不同的销售机构采用的评价方法不同，因此销售机构的风险等级评价与基金法律文件中风险收益特征的表述可能存在不同，投资者在购买本基金时需按照销售机构的要求完成风险承受能力与产品风险之间的匹配检验。</w:t>
      </w:r>
    </w:p>
    <w:p>
      <w:pPr>
        <w:ind w:firstLine="420"/>
        <w:jc w:val="left"/>
        <w:rPr>
          <w:rFonts w:ascii="仿宋_GB2312" w:eastAsia="仿宋_GB2312"/>
          <w:szCs w:val="21"/>
        </w:rPr>
      </w:pPr>
      <w:r>
        <w:rPr>
          <w:rFonts w:hint="eastAsia" w:ascii="仿宋_GB2312" w:eastAsia="仿宋_GB2312"/>
          <w:szCs w:val="21"/>
        </w:rPr>
        <w:t>7、其他风险</w:t>
      </w:r>
    </w:p>
    <w:p>
      <w:pPr>
        <w:jc w:val="left"/>
        <w:rPr>
          <w:rFonts w:ascii="仿宋_GB2312" w:eastAsia="仿宋_GB2312"/>
          <w:b/>
          <w:szCs w:val="21"/>
        </w:rPr>
      </w:pPr>
      <w:r>
        <w:rPr>
          <w:rFonts w:hint="eastAsia" w:ascii="仿宋_GB2312" w:eastAsia="仿宋_GB2312"/>
          <w:b/>
          <w:szCs w:val="21"/>
        </w:rPr>
        <w:t>（二）重要提示</w:t>
      </w:r>
    </w:p>
    <w:p>
      <w:pPr>
        <w:ind w:firstLine="420"/>
        <w:jc w:val="left"/>
        <w:rPr>
          <w:rFonts w:ascii="仿宋_GB2312" w:eastAsia="仿宋_GB2312"/>
          <w:szCs w:val="21"/>
        </w:rPr>
      </w:pPr>
      <w:r>
        <w:rPr>
          <w:rFonts w:hint="eastAsia" w:ascii="仿宋_GB2312" w:eastAsia="仿宋_GB2312"/>
          <w:szCs w:val="21"/>
        </w:rPr>
        <w:t>中国证监会对本基金募集的核准或注册，并不表明其对本基金的价值和收益作出实质性判断或保证，也不表明投资于本基金没有风险。</w:t>
      </w:r>
    </w:p>
    <w:p>
      <w:pPr>
        <w:ind w:firstLine="420"/>
        <w:jc w:val="left"/>
        <w:rPr>
          <w:rFonts w:ascii="仿宋_GB2312" w:eastAsia="仿宋_GB2312"/>
          <w:szCs w:val="21"/>
        </w:rPr>
      </w:pPr>
      <w:r>
        <w:rPr>
          <w:rFonts w:hint="eastAsia" w:ascii="仿宋_GB2312" w:eastAsia="仿宋_GB2312"/>
          <w:szCs w:val="21"/>
        </w:rPr>
        <w:t>基金管理人依照恪尽职守、诚实信用、谨慎勤勉的原则管理和运用基金财产，但不保证基金一定盈利，也不保证最低收益。</w:t>
      </w:r>
    </w:p>
    <w:p>
      <w:pPr>
        <w:ind w:firstLine="420"/>
        <w:jc w:val="left"/>
        <w:rPr>
          <w:rFonts w:ascii="仿宋_GB2312" w:eastAsia="仿宋_GB2312"/>
          <w:szCs w:val="21"/>
        </w:rPr>
      </w:pPr>
      <w:r>
        <w:rPr>
          <w:rFonts w:hint="eastAsia" w:ascii="仿宋_GB2312" w:eastAsia="仿宋_GB2312"/>
          <w:szCs w:val="21"/>
        </w:rPr>
        <w:t>基金投资者自依基金合同取得基金份额，即成为基金份额持有人和基金合同的当事人，其持有基金份额的行为本身即表明其对基金合同的承认和接受。基金合同可在基金管理人网站（www.fund001.com）及中国证监会基金电子披露网站（http://eid.csrc.gov.cn/fund/index.html）获取，请阅读本基金法律文件后再进行认/申购等交易。</w:t>
      </w:r>
    </w:p>
    <w:p>
      <w:pPr>
        <w:ind w:firstLine="420"/>
        <w:jc w:val="left"/>
        <w:rPr>
          <w:rFonts w:ascii="仿宋_GB2312" w:eastAsia="仿宋_GB2312"/>
          <w:szCs w:val="21"/>
        </w:rPr>
      </w:pPr>
      <w:r>
        <w:rPr>
          <w:rFonts w:hint="eastAsia" w:ascii="仿宋_GB2312" w:eastAsia="仿宋_GB2312"/>
          <w:szCs w:val="21"/>
        </w:rPr>
        <w:t>销售机构的风险等级评价与基金法律文件中风险收益特征的表述可能存在不同，投资人在购买本基金时需按照销售机构的要求完成风险承受能力与产品风险之间的匹配检验。</w:t>
      </w:r>
    </w:p>
    <w:p>
      <w:pPr>
        <w:ind w:firstLine="420"/>
        <w:jc w:val="left"/>
        <w:rPr>
          <w:rFonts w:ascii="仿宋_GB2312" w:eastAsia="仿宋_GB2312"/>
          <w:szCs w:val="21"/>
        </w:rPr>
      </w:pPr>
      <w:r>
        <w:rPr>
          <w:rFonts w:hint="eastAsia" w:ascii="仿宋_GB2312" w:eastAsia="仿宋_GB2312"/>
          <w:szCs w:val="21"/>
        </w:rPr>
        <w:t>▲▲</w:t>
      </w:r>
      <w:bookmarkStart w:id="0" w:name="_GoBack"/>
      <w:r>
        <w:rPr>
          <w:rFonts w:hint="eastAsia" w:ascii="仿宋_GB2312" w:eastAsia="仿宋_GB2312"/>
          <w:b/>
          <w:bCs/>
          <w:szCs w:val="21"/>
        </w:rPr>
        <w:t>因基金合同而产生的或与基金合同有关的一切争议，如经友好协商未能解决的，任何一方均有权将争议提交上海国际经济贸易仲裁委员会，按其届时有效的仲裁规则进行仲裁。仲裁地点为上海市。</w:t>
      </w:r>
      <w:bookmarkEnd w:id="0"/>
    </w:p>
    <w:p>
      <w:pPr>
        <w:ind w:firstLine="420"/>
        <w:jc w:val="left"/>
        <w:rPr>
          <w:rFonts w:ascii="仿宋_GB2312" w:eastAsia="仿宋_GB2312"/>
          <w:szCs w:val="21"/>
        </w:rPr>
      </w:pPr>
      <w:r>
        <w:rPr>
          <w:rFonts w:hint="eastAsia" w:ascii="仿宋_GB2312" w:eastAsia="仿宋_GB2312"/>
          <w:szCs w:val="21"/>
        </w:rPr>
        <w:t>基金产品资料概要信息发生重大变更的，基金管理人将在三个工作日内更新，其他信息发生变更的，基金管理人每年更新一次。因此，本文件内容相比基金的实际情况可能存在一定的滞后，如需及时、准确获取基金的相关信息，敬请同时关注基金管理人发布的相关临时公告等。</w:t>
      </w:r>
    </w:p>
    <w:p>
      <w:pPr>
        <w:jc w:val="left"/>
        <w:rPr>
          <w:rFonts w:ascii="仿宋_GB2312" w:eastAsia="仿宋_GB2312"/>
          <w:b/>
          <w:szCs w:val="21"/>
        </w:rPr>
      </w:pPr>
      <w:r>
        <w:rPr>
          <w:rFonts w:hint="eastAsia" w:ascii="仿宋_GB2312" w:eastAsia="仿宋_GB2312"/>
          <w:b/>
          <w:szCs w:val="21"/>
        </w:rPr>
        <w:t>五、其他资料查询方式</w:t>
      </w:r>
    </w:p>
    <w:p>
      <w:pPr>
        <w:ind w:firstLine="420"/>
        <w:jc w:val="left"/>
        <w:rPr>
          <w:rFonts w:ascii="仿宋_GB2312" w:eastAsia="仿宋_GB2312"/>
          <w:szCs w:val="21"/>
        </w:rPr>
      </w:pPr>
      <w:r>
        <w:rPr>
          <w:rFonts w:hint="eastAsia" w:ascii="仿宋_GB2312" w:eastAsia="仿宋_GB2312"/>
          <w:szCs w:val="21"/>
        </w:rPr>
        <w:t>以下资料详见交银施罗德基金官方网站[www.fund001.com][客服电话：400-700-5000]</w:t>
      </w:r>
    </w:p>
    <w:p>
      <w:pPr>
        <w:ind w:firstLine="420"/>
        <w:jc w:val="left"/>
        <w:rPr>
          <w:rFonts w:ascii="仿宋_GB2312" w:eastAsia="仿宋_GB2312"/>
          <w:szCs w:val="21"/>
        </w:rPr>
      </w:pPr>
      <w:r>
        <w:rPr>
          <w:rFonts w:hint="eastAsia" w:ascii="仿宋_GB2312" w:eastAsia="仿宋_GB2312"/>
          <w:szCs w:val="21"/>
        </w:rPr>
        <w:t>●《交银施罗德瑞安混合型证券投资基金基金合同》、</w:t>
      </w:r>
    </w:p>
    <w:p>
      <w:pPr>
        <w:ind w:firstLine="420"/>
        <w:jc w:val="left"/>
        <w:rPr>
          <w:rFonts w:ascii="仿宋_GB2312" w:eastAsia="仿宋_GB2312"/>
          <w:szCs w:val="21"/>
        </w:rPr>
      </w:pPr>
      <w:r>
        <w:rPr>
          <w:rFonts w:hint="eastAsia" w:ascii="仿宋_GB2312" w:eastAsia="仿宋_GB2312"/>
          <w:szCs w:val="21"/>
        </w:rPr>
        <w:t>《交银施罗德瑞安混合型证券投资基金托管协议》、</w:t>
      </w:r>
    </w:p>
    <w:p>
      <w:pPr>
        <w:ind w:firstLine="420"/>
        <w:jc w:val="left"/>
        <w:rPr>
          <w:rFonts w:ascii="仿宋_GB2312" w:eastAsia="仿宋_GB2312"/>
          <w:szCs w:val="21"/>
        </w:rPr>
      </w:pPr>
      <w:r>
        <w:rPr>
          <w:rFonts w:hint="eastAsia" w:ascii="仿宋_GB2312" w:eastAsia="仿宋_GB2312"/>
          <w:szCs w:val="21"/>
        </w:rPr>
        <w:t>《交银施罗德瑞安混合型证券投资基金招募说明书》</w:t>
      </w:r>
    </w:p>
    <w:p>
      <w:pPr>
        <w:ind w:firstLine="420"/>
        <w:jc w:val="left"/>
        <w:rPr>
          <w:rFonts w:ascii="仿宋_GB2312" w:eastAsia="仿宋_GB2312"/>
          <w:szCs w:val="21"/>
        </w:rPr>
      </w:pPr>
      <w:r>
        <w:rPr>
          <w:rFonts w:hint="eastAsia" w:ascii="仿宋_GB2312" w:eastAsia="仿宋_GB2312"/>
          <w:szCs w:val="21"/>
        </w:rPr>
        <w:t>●定期报告，包括基金季度报告、中期报告和年度报告</w:t>
      </w:r>
    </w:p>
    <w:p>
      <w:pPr>
        <w:ind w:firstLine="420"/>
        <w:jc w:val="left"/>
        <w:rPr>
          <w:rFonts w:ascii="仿宋_GB2312" w:eastAsia="仿宋_GB2312"/>
          <w:szCs w:val="21"/>
        </w:rPr>
      </w:pPr>
      <w:r>
        <w:rPr>
          <w:rFonts w:hint="eastAsia" w:ascii="仿宋_GB2312" w:eastAsia="仿宋_GB2312"/>
          <w:szCs w:val="21"/>
        </w:rPr>
        <w:t>●基金份额净值</w:t>
      </w:r>
    </w:p>
    <w:p>
      <w:pPr>
        <w:ind w:firstLine="420"/>
        <w:jc w:val="left"/>
        <w:rPr>
          <w:rFonts w:ascii="仿宋_GB2312" w:eastAsia="仿宋_GB2312"/>
          <w:szCs w:val="21"/>
        </w:rPr>
      </w:pPr>
      <w:r>
        <w:rPr>
          <w:rFonts w:hint="eastAsia" w:ascii="仿宋_GB2312" w:eastAsia="仿宋_GB2312"/>
          <w:szCs w:val="21"/>
        </w:rPr>
        <w:t>●基金销售机构及联系方式</w:t>
      </w:r>
    </w:p>
    <w:p>
      <w:pPr>
        <w:ind w:firstLine="420"/>
        <w:jc w:val="left"/>
        <w:rPr>
          <w:rFonts w:ascii="仿宋_GB2312" w:eastAsia="仿宋_GB2312"/>
          <w:szCs w:val="21"/>
        </w:rPr>
      </w:pPr>
      <w:r>
        <w:rPr>
          <w:rFonts w:hint="eastAsia" w:ascii="仿宋_GB2312" w:eastAsia="仿宋_GB2312"/>
          <w:szCs w:val="21"/>
        </w:rPr>
        <w:t>●其他重要资料</w:t>
      </w:r>
    </w:p>
    <w:p>
      <w:pPr>
        <w:jc w:val="left"/>
        <w:rPr>
          <w:rFonts w:ascii="仿宋_GB2312" w:eastAsia="仿宋_GB2312"/>
          <w:b/>
          <w:szCs w:val="21"/>
        </w:rPr>
      </w:pPr>
      <w:r>
        <w:rPr>
          <w:rFonts w:hint="eastAsia" w:ascii="仿宋_GB2312" w:eastAsia="仿宋_GB2312"/>
          <w:b/>
          <w:szCs w:val="21"/>
        </w:rPr>
        <w:t>六、其他情况说明</w:t>
      </w:r>
    </w:p>
    <w:p>
      <w:pPr>
        <w:ind w:firstLine="420"/>
        <w:jc w:val="left"/>
        <w:rPr>
          <w:rFonts w:ascii="仿宋_GB2312" w:eastAsia="仿宋_GB2312"/>
          <w:szCs w:val="21"/>
        </w:rPr>
      </w:pPr>
      <w:r>
        <w:rPr>
          <w:rFonts w:hint="eastAsia" w:ascii="仿宋_GB2312" w:eastAsia="仿宋_GB2312"/>
          <w:szCs w:val="21"/>
        </w:rPr>
        <w:t>无。</w:t>
      </w:r>
    </w:p>
    <w:sectPr>
      <w:pgSz w:w="11906" w:h="16838"/>
      <w:pgMar w:top="720" w:right="720" w:bottom="720" w:left="720" w:header="851" w:footer="992" w:gutter="0"/>
      <w:cols w:space="425" w:num="1"/>
      <w:docGrid w:type="lines" w:linePitch="326"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roman"/>
    <w:pitch w:val="default"/>
    <w:sig w:usb0="00000001" w:usb1="080E0000" w:usb2="00000000" w:usb3="00000000" w:csb0="00040000" w:csb1="00000000"/>
  </w:font>
  <w:font w:name="方正仿宋简体">
    <w:altName w:val="微软雅黑"/>
    <w:panose1 w:val="00000000000000000000"/>
    <w:charset w:val="86"/>
    <w:family w:val="auto"/>
    <w:pitch w:val="default"/>
    <w:sig w:usb0="00000000" w:usb1="00000000" w:usb2="00000010" w:usb3="00000000" w:csb0="00040000" w:csb1="00000000"/>
  </w:font>
  <w:font w:name="FZHTJW--GB1-0">
    <w:altName w:val="Segoe Print"/>
    <w:panose1 w:val="00000000000000000000"/>
    <w:charset w:val="00"/>
    <w:family w:val="roman"/>
    <w:pitch w:val="default"/>
    <w:sig w:usb0="00000000" w:usb1="00000000" w:usb2="00000000" w:usb3="00000000" w:csb0="00000000" w:csb1="00000000"/>
  </w:font>
  <w:font w:name="FZFSJW--GB1-0">
    <w:altName w:val="Segoe Print"/>
    <w:panose1 w:val="00000000000000000000"/>
    <w:charset w:val="00"/>
    <w:family w:val="roman"/>
    <w:pitch w:val="default"/>
    <w:sig w:usb0="00000000" w:usb1="00000000" w:usb2="00000000" w:usb3="00000000" w:csb0="00000000" w:csb1="00000000"/>
  </w:font>
  <w:font w:name="仿宋">
    <w:panose1 w:val="02010609060101010101"/>
    <w:charset w:val="86"/>
    <w:family w:val="modern"/>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Segoe Print">
    <w:panose1 w:val="02000600000000000000"/>
    <w:charset w:val="00"/>
    <w:family w:val="auto"/>
    <w:pitch w:val="default"/>
    <w:sig w:usb0="0000028F" w:usb1="00000000" w:usb2="00000000" w:usb3="00000000" w:csb0="2000009F" w:csb1="4701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87210"/>
    <w:rsid w:val="00094816"/>
    <w:rsid w:val="00131F08"/>
    <w:rsid w:val="0019752C"/>
    <w:rsid w:val="001E402A"/>
    <w:rsid w:val="00287210"/>
    <w:rsid w:val="002F5DBC"/>
    <w:rsid w:val="00335FE8"/>
    <w:rsid w:val="003E751E"/>
    <w:rsid w:val="00401C56"/>
    <w:rsid w:val="00447692"/>
    <w:rsid w:val="004A275D"/>
    <w:rsid w:val="006240B9"/>
    <w:rsid w:val="006A53E7"/>
    <w:rsid w:val="007A64C5"/>
    <w:rsid w:val="00846EFA"/>
    <w:rsid w:val="00880454"/>
    <w:rsid w:val="008A6FA6"/>
    <w:rsid w:val="00902522"/>
    <w:rsid w:val="0090269C"/>
    <w:rsid w:val="009728DC"/>
    <w:rsid w:val="009C0C41"/>
    <w:rsid w:val="009F4EAE"/>
    <w:rsid w:val="00AB59CB"/>
    <w:rsid w:val="00AF7A1E"/>
    <w:rsid w:val="00C0525C"/>
    <w:rsid w:val="00CD7637"/>
    <w:rsid w:val="00D04A15"/>
    <w:rsid w:val="00D373CC"/>
    <w:rsid w:val="00DB319C"/>
    <w:rsid w:val="00E51B6D"/>
    <w:rsid w:val="00F20C11"/>
    <w:rsid w:val="00F75715"/>
    <w:rsid w:val="00F811C4"/>
    <w:rsid w:val="00FC2918"/>
    <w:rsid w:val="32DF594B"/>
    <w:rsid w:val="47051C2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9">
    <w:name w:val="Default Paragraph Font"/>
    <w:semiHidden/>
    <w:unhideWhenUsed/>
    <w:uiPriority w:val="1"/>
  </w:style>
  <w:style w:type="table" w:default="1" w:styleId="7">
    <w:name w:val="Normal Table"/>
    <w:semiHidden/>
    <w:unhideWhenUsed/>
    <w:uiPriority w:val="99"/>
    <w:tblPr>
      <w:tblCellMar>
        <w:top w:w="0" w:type="dxa"/>
        <w:left w:w="108" w:type="dxa"/>
        <w:bottom w:w="0" w:type="dxa"/>
        <w:right w:w="108" w:type="dxa"/>
      </w:tblCellMar>
    </w:tblPr>
  </w:style>
  <w:style w:type="paragraph" w:styleId="2">
    <w:name w:val="annotation text"/>
    <w:basedOn w:val="1"/>
    <w:link w:val="14"/>
    <w:semiHidden/>
    <w:unhideWhenUsed/>
    <w:uiPriority w:val="99"/>
    <w:pPr>
      <w:jc w:val="left"/>
    </w:pPr>
  </w:style>
  <w:style w:type="paragraph" w:styleId="3">
    <w:name w:val="Balloon Text"/>
    <w:basedOn w:val="1"/>
    <w:link w:val="16"/>
    <w:semiHidden/>
    <w:unhideWhenUsed/>
    <w:uiPriority w:val="99"/>
    <w:rPr>
      <w:sz w:val="18"/>
      <w:szCs w:val="18"/>
    </w:rPr>
  </w:style>
  <w:style w:type="paragraph" w:styleId="4">
    <w:name w:val="footer"/>
    <w:basedOn w:val="1"/>
    <w:link w:val="12"/>
    <w:unhideWhenUsed/>
    <w:uiPriority w:val="99"/>
    <w:pPr>
      <w:tabs>
        <w:tab w:val="center" w:pos="4153"/>
        <w:tab w:val="right" w:pos="8306"/>
      </w:tabs>
      <w:snapToGrid w:val="0"/>
      <w:jc w:val="left"/>
    </w:pPr>
    <w:rPr>
      <w:sz w:val="18"/>
      <w:szCs w:val="18"/>
    </w:rPr>
  </w:style>
  <w:style w:type="paragraph" w:styleId="5">
    <w:name w:val="header"/>
    <w:basedOn w:val="1"/>
    <w:link w:val="11"/>
    <w:unhideWhenUsed/>
    <w:uiPriority w:val="99"/>
    <w:pPr>
      <w:pBdr>
        <w:bottom w:val="single" w:color="auto" w:sz="6" w:space="1"/>
      </w:pBdr>
      <w:tabs>
        <w:tab w:val="center" w:pos="4153"/>
        <w:tab w:val="right" w:pos="8306"/>
      </w:tabs>
      <w:snapToGrid w:val="0"/>
      <w:jc w:val="center"/>
    </w:pPr>
    <w:rPr>
      <w:sz w:val="18"/>
      <w:szCs w:val="18"/>
    </w:rPr>
  </w:style>
  <w:style w:type="paragraph" w:styleId="6">
    <w:name w:val="annotation subject"/>
    <w:basedOn w:val="2"/>
    <w:next w:val="2"/>
    <w:link w:val="15"/>
    <w:semiHidden/>
    <w:unhideWhenUsed/>
    <w:uiPriority w:val="99"/>
    <w:rPr>
      <w:b/>
      <w:bCs/>
    </w:rPr>
  </w:style>
  <w:style w:type="table" w:styleId="8">
    <w:name w:val="Table Grid"/>
    <w:basedOn w:val="7"/>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0">
    <w:name w:val="annotation reference"/>
    <w:basedOn w:val="9"/>
    <w:semiHidden/>
    <w:unhideWhenUsed/>
    <w:uiPriority w:val="99"/>
    <w:rPr>
      <w:sz w:val="21"/>
      <w:szCs w:val="21"/>
    </w:rPr>
  </w:style>
  <w:style w:type="character" w:customStyle="1" w:styleId="11">
    <w:name w:val="页眉 Char"/>
    <w:basedOn w:val="9"/>
    <w:link w:val="5"/>
    <w:uiPriority w:val="99"/>
    <w:rPr>
      <w:sz w:val="18"/>
      <w:szCs w:val="18"/>
    </w:rPr>
  </w:style>
  <w:style w:type="character" w:customStyle="1" w:styleId="12">
    <w:name w:val="页脚 Char"/>
    <w:basedOn w:val="9"/>
    <w:link w:val="4"/>
    <w:uiPriority w:val="99"/>
    <w:rPr>
      <w:sz w:val="18"/>
      <w:szCs w:val="18"/>
    </w:rPr>
  </w:style>
  <w:style w:type="paragraph" w:styleId="13">
    <w:name w:val="List Paragraph"/>
    <w:basedOn w:val="1"/>
    <w:qFormat/>
    <w:uiPriority w:val="34"/>
    <w:pPr>
      <w:ind w:firstLine="420" w:firstLineChars="200"/>
    </w:pPr>
  </w:style>
  <w:style w:type="character" w:customStyle="1" w:styleId="14">
    <w:name w:val="批注文字 Char"/>
    <w:basedOn w:val="9"/>
    <w:link w:val="2"/>
    <w:semiHidden/>
    <w:uiPriority w:val="99"/>
  </w:style>
  <w:style w:type="character" w:customStyle="1" w:styleId="15">
    <w:name w:val="批注主题 Char"/>
    <w:basedOn w:val="14"/>
    <w:link w:val="6"/>
    <w:semiHidden/>
    <w:uiPriority w:val="99"/>
    <w:rPr>
      <w:b/>
      <w:bCs/>
    </w:rPr>
  </w:style>
  <w:style w:type="character" w:customStyle="1" w:styleId="16">
    <w:name w:val="批注框文本 Char"/>
    <w:basedOn w:val="9"/>
    <w:link w:val="3"/>
    <w:semiHidden/>
    <w:uiPriority w:val="99"/>
    <w:rPr>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image" Target="media/image2.png"/><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911</Words>
  <Characters>5198</Characters>
  <Lines>43</Lines>
  <Paragraphs>12</Paragraphs>
  <TotalTime>1</TotalTime>
  <ScaleCrop>false</ScaleCrop>
  <LinksUpToDate>false</LinksUpToDate>
  <CharactersWithSpaces>6097</CharactersWithSpaces>
  <Application>WPS Office_11.8.2.12085_F1E327BC-269C-435d-A152-05C5408002CA</Application>
  <DocSecurity>4</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2026-08-28T06:42:00Z</dcterms:created>
  <dc:creator>Cc</dc:creator>
  <cp:lastModifiedBy>haotingting</cp:lastModifiedBy>
  <dcterms:modified xsi:type="dcterms:W3CDTF">2026-08-28T06:51:50Z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6BAB1F638B5B40ACB6E9F72BEE880A9E</vt:lpwstr>
  </property>
</Properties>
</file>