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交银施罗德瑞安混合型证券投资基金（A类份额）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2026-08-29</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2026-08-31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交银瑞安混合A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024439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2025-06-24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孙婕衎</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2011-05-11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本基金在合理控制风险的前提下，充分发挥专业研究与管理能力，力争为投资者提供长期稳健的投资回报。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主板、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沪深300指数收益率×70%+恒生指数收益率（人民币计价）×5%+中证综合债券指数收益率×25%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详见《交银施罗德瑞安混合型证券投资基金招募说明书》“基金的投资”。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2、本基金合同于2025年6月24日生效，合同生效当年净值增长率按实际存续期计算。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固定管理费</w:t>
            </w:r>
          </w:p>
        </w:tc>
        <w:tc>
          <w:tcPr>
            <w:tcW w:w="5958" w:type="dxa"/>
            <w:vAlign w:val="center"/>
          </w:tcPr>
          <w:p>
            <w:pPr>
              <w:rPr>
                <w:rFonts w:ascii="仿宋_GB2312" w:eastAsia="仿宋_GB2312"/>
                <w:szCs w:val="21"/>
              </w:rPr>
            </w:pPr>
            <w:r>
              <w:rPr>
                <w:rFonts w:hint="eastAsia" w:ascii="仿宋_GB2312" w:eastAsia="仿宋_GB2312"/>
                <w:szCs w:val="21"/>
              </w:rPr>
              <w:t>0.60%（具体见下文注释）</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或有管理费</w:t>
            </w:r>
          </w:p>
        </w:tc>
        <w:tc>
          <w:tcPr>
            <w:tcW w:w="5958" w:type="dxa"/>
            <w:vAlign w:val="center"/>
          </w:tcPr>
          <w:p>
            <w:pPr>
              <w:rPr>
                <w:rFonts w:ascii="仿宋_GB2312" w:eastAsia="仿宋_GB2312"/>
                <w:szCs w:val="21"/>
              </w:rPr>
            </w:pPr>
            <w:r>
              <w:rPr>
                <w:rFonts w:hint="eastAsia" w:ascii="仿宋_GB2312" w:eastAsia="仿宋_GB2312"/>
                <w:szCs w:val="21"/>
              </w:rPr>
              <w:t>0.60%（具体见下文注释）</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超额管理费</w:t>
            </w:r>
          </w:p>
        </w:tc>
        <w:tc>
          <w:tcPr>
            <w:tcW w:w="5958" w:type="dxa"/>
            <w:vAlign w:val="center"/>
          </w:tcPr>
          <w:p>
            <w:pPr>
              <w:rPr>
                <w:rFonts w:ascii="仿宋_GB2312" w:eastAsia="仿宋_GB2312"/>
                <w:szCs w:val="21"/>
              </w:rPr>
            </w:pPr>
            <w:r>
              <w:rPr>
                <w:rFonts w:hint="eastAsia" w:ascii="仿宋_GB2312" w:eastAsia="仿宋_GB2312"/>
                <w:szCs w:val="21"/>
              </w:rPr>
              <w:t>0.30%（收取超额管理费的条件：投资者赎回基金份额或基金合同终止的情形发生时，当且仅当该笔基金份额持有天数达到或超过365天，且该笔基金份额持有期间相对业绩比较基准的年化超额收益率大于6%、且年化收益率大于0时收取。）</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的管理费包含固定管理费、或有管理费和超额管理费。固定管理费按前一日基金资产净值的0.60%年费率每日计提。或有管理费按前一日基金资产净值的0.60%年费率每日计提，或有管理费将根据投资者赎回基金份额或基金合同终止情形发生时每一基金份额的持有期限与持有期间年化收益率情况分别确认收取或返还。当投资者赎回基金份额或基金合同终止情形发生时，若满足超额管理费的提取条件，则将从该笔基金份额的赎回款（或清算款）中扣除0.30%年费率的超额管理费，并随已计提的或有管理费一同确认为应由管理人收取的管理费。若拟扣除超额管理费后的持有期间相对业绩比较基准的年化超额收益率小于6%、或年化收益率小于等于0，则仍按1.20%年费率收取该笔基金份额的管理费，以使得该笔基金份额在扣除超额管理费后的年化收益率仍需满足本基金收取超额管理费的标准。2、本基金交易证券、基金等产生的费用和税负，按实际发生额从基金资产扣除。</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p>
      <w:pPr>
        <w:jc w:val="left"/>
        <w:rPr>
          <w:rFonts w:hint="eastAsia" w:ascii="仿宋_GB2312" w:eastAsia="仿宋_GB2312"/>
          <w:b/>
          <w:szCs w:val="21"/>
        </w:rPr>
      </w:pPr>
    </w:p>
    <w:tbl>
      <w:tblPr>
        <w:tblStyle w:val="8"/>
        <w:tblW w:w="8029"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926"/>
        <w:gridCol w:w="4103"/>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926" w:type="dxa"/>
          </w:tcPr>
          <w:p>
            <w:pPr>
              <w:rPr>
                <w:rFonts w:ascii="仿宋" w:hAnsi="仿宋" w:eastAsia="仿宋" w:cs="仿宋"/>
                <w:b/>
                <w:sz w:val="24"/>
                <w:szCs w:val="24"/>
              </w:rPr>
            </w:pPr>
          </w:p>
        </w:tc>
        <w:tc>
          <w:tcPr>
            <w:tcW w:w="4103"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926" w:type="dxa"/>
          </w:tcPr>
          <w:p>
            <w:pPr>
              <w:rPr>
                <w:rFonts w:ascii="仿宋_GB2312" w:eastAsia="仿宋_GB2312"/>
                <w:szCs w:val="21"/>
              </w:rPr>
            </w:pPr>
            <w:r>
              <w:rPr>
                <w:rFonts w:hint="eastAsia" w:ascii="仿宋_GB2312" w:eastAsia="仿宋_GB2312"/>
                <w:szCs w:val="21"/>
              </w:rPr>
              <w:t>N&lt;</w:t>
            </w:r>
            <w:r>
              <w:rPr>
                <w:rFonts w:ascii="仿宋_GB2312" w:eastAsia="仿宋_GB2312"/>
                <w:szCs w:val="21"/>
              </w:rPr>
              <w:t>365</w:t>
            </w:r>
            <w:r>
              <w:rPr>
                <w:rFonts w:hint="eastAsia" w:ascii="仿宋_GB2312" w:eastAsia="仿宋_GB2312"/>
                <w:szCs w:val="21"/>
              </w:rPr>
              <w:t>天</w:t>
            </w:r>
          </w:p>
        </w:tc>
        <w:tc>
          <w:tcPr>
            <w:tcW w:w="4103" w:type="dxa"/>
            <w:vAlign w:val="center"/>
          </w:tcPr>
          <w:p>
            <w:pPr>
              <w:rPr>
                <w:rFonts w:ascii="仿宋_GB2312" w:eastAsia="仿宋_GB2312"/>
                <w:szCs w:val="21"/>
              </w:rPr>
            </w:pPr>
            <w:r>
              <w:rPr>
                <w:rFonts w:hint="eastAsia" w:ascii="仿宋_GB2312" w:eastAsia="仿宋_GB2312"/>
                <w:szCs w:val="21"/>
              </w:rPr>
              <w:t>1.</w:t>
            </w:r>
            <w:r>
              <w:rPr>
                <w:rFonts w:ascii="仿宋_GB2312" w:eastAsia="仿宋_GB2312"/>
                <w:szCs w:val="21"/>
              </w:rPr>
              <w:t>7</w:t>
            </w:r>
            <w:r>
              <w:rPr>
                <w:rFonts w:hint="eastAsia" w:ascii="仿宋_GB2312" w:eastAsia="仿宋_GB2312"/>
                <w:szCs w:val="21"/>
              </w:rPr>
              <w:t>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926" w:type="dxa"/>
          </w:tcPr>
          <w:p>
            <w:pPr>
              <w:rPr>
                <w:rFonts w:ascii="仿宋_GB2312" w:eastAsia="仿宋_GB2312"/>
                <w:szCs w:val="21"/>
                <w:highlight w:val="none"/>
              </w:rPr>
            </w:pPr>
            <w:r>
              <w:rPr>
                <w:rFonts w:hint="eastAsia" w:ascii="仿宋_GB2312" w:eastAsia="仿宋_GB2312"/>
                <w:szCs w:val="21"/>
                <w:highlight w:val="none"/>
              </w:rPr>
              <w:t>N≥</w:t>
            </w:r>
            <w:r>
              <w:rPr>
                <w:rFonts w:ascii="仿宋_GB2312" w:eastAsia="仿宋_GB2312"/>
                <w:szCs w:val="21"/>
                <w:highlight w:val="none"/>
              </w:rPr>
              <w:t>365</w:t>
            </w:r>
            <w:r>
              <w:rPr>
                <w:rFonts w:hint="eastAsia" w:ascii="仿宋_GB2312" w:eastAsia="仿宋_GB2312"/>
                <w:szCs w:val="21"/>
                <w:highlight w:val="none"/>
              </w:rPr>
              <w:t>天，且</w:t>
            </w:r>
            <w:r>
              <w:rPr>
                <w:rFonts w:ascii="仿宋_GB2312" w:eastAsia="仿宋_GB2312"/>
                <w:szCs w:val="21"/>
                <w:highlight w:val="none"/>
              </w:rPr>
              <w:t>R</w:t>
            </w:r>
            <w:r>
              <w:rPr>
                <w:rFonts w:hint="eastAsia" w:ascii="仿宋_GB2312" w:eastAsia="仿宋_GB2312"/>
                <w:szCs w:val="21"/>
                <w:highlight w:val="none"/>
              </w:rPr>
              <w:t>（扣除超额管理费后）＞</w:t>
            </w:r>
            <w:r>
              <w:rPr>
                <w:rFonts w:ascii="仿宋_GB2312" w:eastAsia="仿宋_GB2312"/>
                <w:szCs w:val="21"/>
                <w:highlight w:val="none"/>
              </w:rPr>
              <w:t>Rb+6%</w:t>
            </w:r>
            <w:r>
              <w:rPr>
                <w:rFonts w:hint="eastAsia" w:ascii="仿宋_GB2312" w:eastAsia="仿宋_GB2312"/>
                <w:szCs w:val="21"/>
                <w:highlight w:val="none"/>
              </w:rPr>
              <w:t>且R（扣除超额管理费后）＞</w:t>
            </w:r>
            <w:r>
              <w:rPr>
                <w:rFonts w:ascii="仿宋_GB2312" w:eastAsia="仿宋_GB2312"/>
                <w:szCs w:val="21"/>
                <w:highlight w:val="none"/>
              </w:rPr>
              <w:t>0</w:t>
            </w:r>
          </w:p>
        </w:tc>
        <w:tc>
          <w:tcPr>
            <w:tcW w:w="4103" w:type="dxa"/>
            <w:vAlign w:val="center"/>
          </w:tcPr>
          <w:p>
            <w:pPr>
              <w:rPr>
                <w:rFonts w:ascii="仿宋_GB2312" w:eastAsia="仿宋_GB2312"/>
                <w:szCs w:val="21"/>
                <w:highlight w:val="none"/>
              </w:rPr>
            </w:pPr>
            <w:r>
              <w:rPr>
                <w:rFonts w:hint="eastAsia" w:ascii="仿宋_GB2312" w:eastAsia="仿宋_GB2312"/>
                <w:szCs w:val="21"/>
                <w:highlight w:val="none"/>
              </w:rPr>
              <w:t>2</w:t>
            </w:r>
            <w:r>
              <w:rPr>
                <w:rFonts w:ascii="仿宋_GB2312" w:eastAsia="仿宋_GB2312"/>
                <w:szCs w:val="21"/>
                <w:highlight w:val="none"/>
              </w:rPr>
              <w:t>.01</w:t>
            </w:r>
            <w:r>
              <w:rPr>
                <w:rFonts w:hint="eastAsia" w:ascii="仿宋_GB2312" w:eastAsia="仿宋_GB2312"/>
                <w:szCs w:val="21"/>
                <w:highlight w:val="none"/>
              </w:rPr>
              <w:t>%</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926" w:type="dxa"/>
          </w:tcPr>
          <w:p>
            <w:pPr>
              <w:rPr>
                <w:rFonts w:ascii="仿宋_GB2312" w:eastAsia="仿宋_GB2312"/>
                <w:szCs w:val="21"/>
                <w:highlight w:val="none"/>
              </w:rPr>
            </w:pPr>
            <w:r>
              <w:rPr>
                <w:rFonts w:hint="eastAsia" w:ascii="仿宋_GB2312" w:eastAsia="仿宋_GB2312"/>
                <w:szCs w:val="21"/>
                <w:highlight w:val="none"/>
              </w:rPr>
              <w:t>N≥</w:t>
            </w:r>
            <w:r>
              <w:rPr>
                <w:rFonts w:ascii="仿宋_GB2312" w:eastAsia="仿宋_GB2312"/>
                <w:szCs w:val="21"/>
                <w:highlight w:val="none"/>
              </w:rPr>
              <w:t>365</w:t>
            </w:r>
            <w:r>
              <w:rPr>
                <w:rFonts w:hint="eastAsia" w:ascii="仿宋_GB2312" w:eastAsia="仿宋_GB2312"/>
                <w:szCs w:val="21"/>
                <w:highlight w:val="none"/>
              </w:rPr>
              <w:t>天，且</w:t>
            </w:r>
            <w:r>
              <w:rPr>
                <w:rFonts w:ascii="仿宋_GB2312" w:eastAsia="仿宋_GB2312"/>
                <w:szCs w:val="21"/>
                <w:highlight w:val="none"/>
              </w:rPr>
              <w:t>R</w:t>
            </w:r>
            <w:r>
              <w:rPr>
                <w:rFonts w:hint="eastAsia" w:ascii="仿宋_GB2312" w:eastAsia="仿宋_GB2312"/>
                <w:szCs w:val="21"/>
                <w:highlight w:val="none"/>
              </w:rPr>
              <w:t>≤</w:t>
            </w:r>
            <w:r>
              <w:rPr>
                <w:rFonts w:ascii="仿宋_GB2312" w:eastAsia="仿宋_GB2312"/>
                <w:szCs w:val="21"/>
                <w:highlight w:val="none"/>
              </w:rPr>
              <w:t>Rb-3%</w:t>
            </w:r>
          </w:p>
        </w:tc>
        <w:tc>
          <w:tcPr>
            <w:tcW w:w="4103" w:type="dxa"/>
            <w:vAlign w:val="center"/>
          </w:tcPr>
          <w:p>
            <w:pPr>
              <w:rPr>
                <w:rFonts w:ascii="仿宋_GB2312" w:eastAsia="仿宋_GB2312"/>
                <w:szCs w:val="21"/>
                <w:highlight w:val="none"/>
              </w:rPr>
            </w:pPr>
            <w:r>
              <w:rPr>
                <w:rFonts w:hint="eastAsia" w:ascii="仿宋_GB2312" w:eastAsia="仿宋_GB2312"/>
                <w:szCs w:val="21"/>
                <w:highlight w:val="none"/>
              </w:rPr>
              <w:t>1</w:t>
            </w:r>
            <w:r>
              <w:rPr>
                <w:rFonts w:ascii="仿宋_GB2312" w:eastAsia="仿宋_GB2312"/>
                <w:szCs w:val="21"/>
                <w:highlight w:val="none"/>
              </w:rPr>
              <w:t>.01</w:t>
            </w:r>
            <w:r>
              <w:rPr>
                <w:rFonts w:hint="eastAsia" w:ascii="仿宋_GB2312" w:eastAsia="仿宋_GB2312"/>
                <w:szCs w:val="21"/>
                <w:highlight w:val="none"/>
              </w:rPr>
              <w:t>%</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926" w:type="dxa"/>
          </w:tcPr>
          <w:p>
            <w:pPr>
              <w:rPr>
                <w:rFonts w:ascii="仿宋_GB2312" w:eastAsia="仿宋_GB2312"/>
                <w:szCs w:val="21"/>
                <w:highlight w:val="none"/>
              </w:rPr>
            </w:pPr>
            <w:r>
              <w:rPr>
                <w:rFonts w:ascii="仿宋_GB2312" w:eastAsia="仿宋_GB2312"/>
                <w:szCs w:val="21"/>
                <w:highlight w:val="none"/>
              </w:rPr>
              <w:t>N</w:t>
            </w:r>
            <w:r>
              <w:rPr>
                <w:rFonts w:hint="eastAsia" w:ascii="仿宋_GB2312" w:eastAsia="仿宋_GB2312"/>
                <w:szCs w:val="21"/>
                <w:highlight w:val="none"/>
              </w:rPr>
              <w:t>≥</w:t>
            </w:r>
            <w:r>
              <w:rPr>
                <w:rFonts w:ascii="仿宋_GB2312" w:eastAsia="仿宋_GB2312"/>
                <w:szCs w:val="21"/>
                <w:highlight w:val="none"/>
              </w:rPr>
              <w:t>365</w:t>
            </w:r>
            <w:r>
              <w:rPr>
                <w:rFonts w:hint="eastAsia" w:ascii="仿宋_GB2312" w:eastAsia="仿宋_GB2312"/>
                <w:szCs w:val="21"/>
                <w:highlight w:val="none"/>
              </w:rPr>
              <w:t>天，其他情形</w:t>
            </w:r>
          </w:p>
        </w:tc>
        <w:tc>
          <w:tcPr>
            <w:tcW w:w="4103" w:type="dxa"/>
            <w:vAlign w:val="center"/>
          </w:tcPr>
          <w:p>
            <w:pPr>
              <w:rPr>
                <w:rFonts w:ascii="仿宋_GB2312" w:eastAsia="仿宋_GB2312"/>
                <w:szCs w:val="21"/>
                <w:highlight w:val="none"/>
              </w:rPr>
            </w:pPr>
            <w:r>
              <w:rPr>
                <w:rFonts w:hint="eastAsia" w:ascii="仿宋_GB2312" w:eastAsia="仿宋_GB2312"/>
                <w:szCs w:val="21"/>
                <w:highlight w:val="none"/>
              </w:rPr>
              <w:t>1.</w:t>
            </w:r>
            <w:r>
              <w:rPr>
                <w:rFonts w:ascii="仿宋_GB2312" w:eastAsia="仿宋_GB2312"/>
                <w:szCs w:val="21"/>
                <w:highlight w:val="none"/>
              </w:rPr>
              <w:t>7</w:t>
            </w:r>
            <w:r>
              <w:rPr>
                <w:rFonts w:hint="eastAsia" w:ascii="仿宋_GB2312" w:eastAsia="仿宋_GB2312"/>
                <w:szCs w:val="21"/>
                <w:highlight w:val="none"/>
              </w:rPr>
              <w:t>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1、N为持有期限，R为该笔基金份额的年化收益率，Rb为本基金业绩比较基准同期年化收益率。 2、基金托管费率、销售服务费率（若有）为基金现行费率，其他运作费用以最近一次基金年报披露的相关数据为基准测算。本基金根据每笔基金份额的持有期限与持有期间年化收益率，在赎回、转换转出基金份额或基金合同终止的情形发生时确定该笔基金份额对应的管理费，具体管理费率规则可见本概要“基金运作相关费用”部分或招募说明书“基金的费用与税收”章节。</w:t>
      </w:r>
      <w:bookmarkStart w:id="0" w:name="_GoBack"/>
      <w:bookmarkEnd w:id="0"/>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（3）浮动管理费模式相关风险</w:t>
      </w:r>
    </w:p>
    <w:p>
      <w:pPr>
        <w:ind w:firstLine="420"/>
        <w:jc w:val="left"/>
        <w:rPr>
          <w:rFonts w:ascii="仿宋_GB2312" w:eastAsia="仿宋_GB2312"/>
          <w:szCs w:val="21"/>
        </w:rPr>
      </w:pPr>
      <w:r>
        <w:rPr>
          <w:rFonts w:hint="eastAsia" w:ascii="仿宋_GB2312" w:eastAsia="仿宋_GB2312"/>
          <w:szCs w:val="21"/>
        </w:rPr>
        <w:t>1）本基金的管理费由固定管理费、或有管理费和超额管理费组成，其中或有管理费和超额管理费取决于每笔基金份额的持有时长和持有期间年化收益率水平（详见基金合同“第十五部分 基金费用与税收”），因此投资者在认/申购本基金时无法预先确定本基金的整体管理费水平。</w:t>
      </w:r>
    </w:p>
    <w:p>
      <w:pPr>
        <w:ind w:firstLine="420"/>
        <w:jc w:val="left"/>
        <w:rPr>
          <w:rFonts w:ascii="仿宋_GB2312" w:eastAsia="仿宋_GB2312"/>
          <w:szCs w:val="21"/>
        </w:rPr>
      </w:pPr>
      <w:r>
        <w:rPr>
          <w:rFonts w:hint="eastAsia" w:ascii="仿宋_GB2312" w:eastAsia="仿宋_GB2312"/>
          <w:szCs w:val="21"/>
        </w:rPr>
        <w:t>2）由于本基金在计算基金份额净值时，按前一日基金资产净值的1.20%年费率计算管理费，该费率可能高于或低于不同投资者最终适用的管理费率。在基金份额赎回或基金合同终止的情形发生时，基金投资者实际收到的赎回款项或清算款项的金额可能与按披露的基金份额净值计算的结果存在差异。投资者的实际赎回金额和清算资金以登记机构确认数据为准。</w:t>
      </w:r>
    </w:p>
    <w:p>
      <w:pPr>
        <w:ind w:firstLine="420"/>
        <w:jc w:val="left"/>
        <w:rPr>
          <w:rFonts w:ascii="仿宋_GB2312" w:eastAsia="仿宋_GB2312"/>
          <w:szCs w:val="21"/>
        </w:rPr>
      </w:pPr>
      <w:r>
        <w:rPr>
          <w:rFonts w:hint="eastAsia" w:ascii="仿宋_GB2312" w:eastAsia="仿宋_GB2312"/>
          <w:szCs w:val="21"/>
        </w:rPr>
        <w:t>3）本基金采用浮动管理费的收费模式，不代表基金管理人对基金收益的保证。</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（5）投资股指期货的特定风险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本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通标的股票或选择不将基金资产投资于港股通标的股票，基金资产并非必然投资港股通标的股票。</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●《交银施罗德瑞安混合型证券投资基金基金合同》、</w:t>
      </w:r>
    </w:p>
    <w:p>
      <w:pPr>
        <w:ind w:firstLine="420"/>
        <w:jc w:val="left"/>
        <w:rPr>
          <w:rFonts w:ascii="仿宋_GB2312" w:eastAsia="仿宋_GB2312"/>
          <w:szCs w:val="21"/>
        </w:rPr>
      </w:pPr>
      <w:r>
        <w:rPr>
          <w:rFonts w:hint="eastAsia" w:ascii="仿宋_GB2312" w:eastAsia="仿宋_GB2312"/>
          <w:szCs w:val="21"/>
        </w:rPr>
        <w:t>《交银施罗德瑞安混合型证券投资基金托管协议》、</w:t>
      </w:r>
    </w:p>
    <w:p>
      <w:pPr>
        <w:ind w:firstLine="420"/>
        <w:jc w:val="left"/>
        <w:rPr>
          <w:rFonts w:ascii="仿宋_GB2312" w:eastAsia="仿宋_GB2312"/>
          <w:szCs w:val="21"/>
        </w:rPr>
      </w:pPr>
      <w:r>
        <w:rPr>
          <w:rFonts w:hint="eastAsia" w:ascii="仿宋_GB2312" w:eastAsia="仿宋_GB2312"/>
          <w:szCs w:val="21"/>
        </w:rPr>
        <w:t>《交银施罗德瑞安混合型证券投资基金招募说明书》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3790"/>
    <w:rsid w:val="00F75715"/>
    <w:rsid w:val="00F811C4"/>
    <w:rsid w:val="00FC2918"/>
    <w:rsid w:val="60F00895"/>
    <w:rsid w:val="629468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925</Words>
  <Characters>5279</Characters>
  <Lines>43</Lines>
  <Paragraphs>12</Paragraphs>
  <TotalTime>1</TotalTime>
  <ScaleCrop>false</ScaleCrop>
  <LinksUpToDate>false</LinksUpToDate>
  <CharactersWithSpaces>6192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2026-08-28T06:42:00Z</dcterms:created>
  <dc:creator>Cc</dc:creator>
  <cp:lastModifiedBy>haotingting</cp:lastModifiedBy>
  <dcterms:modified xsi:type="dcterms:W3CDTF">2026-08-28T06:48:40Z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E2E5804630144F03BA2779B7ABF65547</vt:lpwstr>
  </property>
</Properties>
</file>