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9150B">
      <w:pPr>
        <w:rPr>
          <w:sz w:val="32"/>
        </w:rPr>
      </w:pPr>
    </w:p>
    <w:p w:rsidR="00C92FC0" w:rsidRPr="00EB07BC" w:rsidRDefault="00F9150B">
      <w:pPr>
        <w:rPr>
          <w:sz w:val="32"/>
        </w:rPr>
      </w:pPr>
    </w:p>
    <w:p w:rsidR="00C92FC0" w:rsidRPr="00EB07BC" w:rsidRDefault="00F9150B">
      <w:pPr>
        <w:rPr>
          <w:sz w:val="32"/>
        </w:rPr>
      </w:pPr>
    </w:p>
    <w:p w:rsidR="008D17AE" w:rsidRDefault="008D17A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D17AE" w:rsidRDefault="008D17A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D17AE" w:rsidRDefault="008D17A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D17AE" w:rsidRDefault="00E2214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交银施罗德瑞安混合型证券投资基金</w:t>
      </w:r>
    </w:p>
    <w:p w:rsidR="008D17AE" w:rsidRDefault="00E2214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8D17AE" w:rsidRDefault="008D17AE">
      <w:pPr>
        <w:snapToGrid w:val="0"/>
        <w:spacing w:line="360" w:lineRule="auto"/>
        <w:jc w:val="center"/>
        <w:rPr>
          <w:rFonts w:ascii="宋体" w:hAnsi="宋体"/>
          <w:b/>
          <w:sz w:val="30"/>
          <w:szCs w:val="30"/>
        </w:rPr>
      </w:pPr>
    </w:p>
    <w:p w:rsidR="008D17AE" w:rsidRDefault="008D17A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7AE" w:rsidRDefault="008D17A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7AE" w:rsidRDefault="008D17A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7AE" w:rsidRDefault="008D17A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7AE" w:rsidRDefault="008D17A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7AE" w:rsidRDefault="008D17A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7AE" w:rsidRDefault="00E2214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8D17AE" w:rsidRDefault="00E2214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基金托管人：上海浦东发展银行股份有限公司</w:t>
      </w:r>
    </w:p>
    <w:p w:rsidR="008D17AE" w:rsidRDefault="008D17A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7AE" w:rsidRDefault="008D17A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D17AE" w:rsidRDefault="00E2214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二〇二六年八月</w:t>
      </w:r>
    </w:p>
    <w:p w:rsidR="008D17AE" w:rsidRDefault="008D17AE">
      <w:pPr>
        <w:autoSpaceDE w:val="0"/>
        <w:autoSpaceDN w:val="0"/>
        <w:adjustRightInd w:val="0"/>
        <w:snapToGrid w:val="0"/>
        <w:spacing w:line="360" w:lineRule="auto"/>
        <w:ind w:left="1347" w:rightChars="6" w:right="13"/>
        <w:rPr>
          <w:rFonts w:ascii="宋体" w:hAnsi="宋体"/>
          <w:kern w:val="0"/>
          <w:sz w:val="32"/>
          <w:szCs w:val="32"/>
        </w:rPr>
        <w:sectPr w:rsidR="008D17A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8D17AE" w:rsidRDefault="00E2214A">
      <w:pPr>
        <w:pStyle w:val="1"/>
        <w:snapToGrid w:val="0"/>
        <w:spacing w:beforeLines="0" w:before="240" w:after="240"/>
        <w:rPr>
          <w:rFonts w:ascii="宋体" w:hAnsi="宋体"/>
          <w:kern w:val="0"/>
        </w:rPr>
      </w:pPr>
      <w:bookmarkStart w:id="0" w:name="_Toc324920538"/>
      <w:bookmarkStart w:id="1" w:name="_Toc496884613"/>
      <w:bookmarkStart w:id="2" w:name="_Toc238820574"/>
      <w:r>
        <w:rPr>
          <w:rFonts w:ascii="Times New Roman" w:hAnsi="Times New Roman"/>
          <w:kern w:val="0"/>
        </w:rPr>
        <w:lastRenderedPageBreak/>
        <w:t>重要提示</w:t>
      </w:r>
      <w:bookmarkEnd w:id="0"/>
      <w:bookmarkEnd w:id="1"/>
      <w:bookmarkEnd w:id="2"/>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交银施罗德瑞安混合型证券投资基金（以下简称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23</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2025</w:t>
      </w:r>
      <w:r>
        <w:rPr>
          <w:rFonts w:ascii="Times New Roman" w:hAnsi="Times New Roman"/>
          <w:kern w:val="0"/>
          <w:sz w:val="24"/>
        </w:rPr>
        <w:t>】</w:t>
      </w:r>
      <w:r>
        <w:rPr>
          <w:rFonts w:ascii="Times New Roman" w:hAnsi="Times New Roman"/>
          <w:kern w:val="0"/>
          <w:sz w:val="24"/>
        </w:rPr>
        <w:t>1107</w:t>
      </w:r>
      <w:r>
        <w:rPr>
          <w:rFonts w:ascii="Times New Roman" w:hAnsi="Times New Roman"/>
          <w:kern w:val="0"/>
          <w:sz w:val="24"/>
        </w:rPr>
        <w:t>号文准予募集注册。本基金基金合同于</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24</w:t>
      </w:r>
      <w:r>
        <w:rPr>
          <w:rFonts w:ascii="Times New Roman" w:hAnsi="Times New Roman"/>
          <w:kern w:val="0"/>
          <w:sz w:val="24"/>
        </w:rPr>
        <w:t>日正式生效。</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本基金法律文件风险收益特征表述与销售机构基金风险评价可能不一致的风险；投资本基金的其他风险等等。本基金是一只混合型基金，其预期风险和预期收益理论上高于债券型基金和货币市场基金，低于股票型基金。</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本基金的管理费由固定管理费、或有管理费和超额管理费组成，其中或有管理费和超额管理费取决于每笔基金份额的持有时长和持有期间年化收益率水平（详见基金合同</w:t>
      </w:r>
      <w:r>
        <w:rPr>
          <w:rFonts w:ascii="Times New Roman" w:hAnsi="Times New Roman"/>
          <w:kern w:val="0"/>
          <w:sz w:val="24"/>
        </w:rPr>
        <w:t>“</w:t>
      </w:r>
      <w:r>
        <w:rPr>
          <w:rFonts w:ascii="Times New Roman" w:hAnsi="Times New Roman"/>
          <w:kern w:val="0"/>
          <w:sz w:val="24"/>
        </w:rPr>
        <w:t>第十五部分</w:t>
      </w:r>
      <w:r>
        <w:rPr>
          <w:rFonts w:ascii="Times New Roman" w:hAnsi="Times New Roman"/>
          <w:kern w:val="0"/>
          <w:sz w:val="24"/>
        </w:rPr>
        <w:t xml:space="preserve"> </w:t>
      </w:r>
      <w:r>
        <w:rPr>
          <w:rFonts w:ascii="Times New Roman" w:hAnsi="Times New Roman"/>
          <w:kern w:val="0"/>
          <w:sz w:val="24"/>
        </w:rPr>
        <w:t>基金费用与税收</w:t>
      </w:r>
      <w:r>
        <w:rPr>
          <w:rFonts w:ascii="Times New Roman" w:hAnsi="Times New Roman"/>
          <w:kern w:val="0"/>
          <w:sz w:val="24"/>
        </w:rPr>
        <w:t>”</w:t>
      </w:r>
      <w:r>
        <w:rPr>
          <w:rFonts w:ascii="Times New Roman" w:hAnsi="Times New Roman"/>
          <w:kern w:val="0"/>
          <w:sz w:val="24"/>
        </w:rPr>
        <w:t>），因此投资者在认</w:t>
      </w:r>
      <w:r>
        <w:rPr>
          <w:rFonts w:ascii="Times New Roman" w:hAnsi="Times New Roman"/>
          <w:kern w:val="0"/>
          <w:sz w:val="24"/>
        </w:rPr>
        <w:t>/</w:t>
      </w:r>
      <w:r>
        <w:rPr>
          <w:rFonts w:ascii="Times New Roman" w:hAnsi="Times New Roman"/>
          <w:kern w:val="0"/>
          <w:sz w:val="24"/>
        </w:rPr>
        <w:t>申购本基金时无法预先确定本基金的整体管理费水平。由于本基金在计算基金份额净值时，按前一日基金资产净值的</w:t>
      </w:r>
      <w:r>
        <w:rPr>
          <w:rFonts w:ascii="Times New Roman" w:hAnsi="Times New Roman"/>
          <w:kern w:val="0"/>
          <w:sz w:val="24"/>
        </w:rPr>
        <w:t>1.20%</w:t>
      </w:r>
      <w:r>
        <w:rPr>
          <w:rFonts w:ascii="Times New Roman" w:hAnsi="Times New Roman"/>
          <w:kern w:val="0"/>
          <w:sz w:val="24"/>
        </w:rPr>
        <w:t>年费率计算管理费，该费率可能高于或低于不同投资者最终适用的管理费率。在基金份额赎回或基金合同终止的情形发生时，基金投资者实际收到的赎回款项或清算款项的金额可能与按披露的基金份额净值计算的结果存在差异。投资者的实际赎回金额和清算资金以登记机构确认数据为</w:t>
      </w:r>
      <w:r>
        <w:rPr>
          <w:rFonts w:ascii="Times New Roman" w:hAnsi="Times New Roman"/>
          <w:kern w:val="0"/>
          <w:sz w:val="24"/>
        </w:rPr>
        <w:lastRenderedPageBreak/>
        <w:t>准。本基金采用浮动管理费的收费模式，不代表基金管理人对基金收益的保证。</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基金可根据投资策略需要或不同配置地市场环境的变化，选择将部分基金资产投资于港股通标的股票或选择不将基金资产投资于港股通标的股票，基金资产并非必然投资港股通标的股票。</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w:t>
      </w:r>
      <w:r>
        <w:rPr>
          <w:rFonts w:ascii="Times New Roman" w:hAnsi="Times New Roman"/>
          <w:kern w:val="0"/>
          <w:sz w:val="24"/>
        </w:rPr>
        <w:lastRenderedPageBreak/>
        <w:t>存托凭证或选择不将基金资产投资于存托凭证，基金资产并非必然投资存托凭证。</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8D17AE" w:rsidRDefault="00E2214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08</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8D17AE" w:rsidRDefault="008D17AE">
      <w:pPr>
        <w:autoSpaceDE w:val="0"/>
        <w:autoSpaceDN w:val="0"/>
        <w:adjustRightInd w:val="0"/>
        <w:snapToGrid w:val="0"/>
        <w:spacing w:before="51" w:line="360" w:lineRule="auto"/>
        <w:ind w:left="120" w:rightChars="6" w:right="13" w:firstLine="480"/>
        <w:rPr>
          <w:rFonts w:ascii="宋体" w:hAnsi="宋体"/>
          <w:kern w:val="0"/>
          <w:szCs w:val="24"/>
        </w:rPr>
        <w:sectPr w:rsidR="008D17AE">
          <w:headerReference w:type="default" r:id="rId14"/>
          <w:pgSz w:w="11920" w:h="16840"/>
          <w:pgMar w:top="1440" w:right="1680" w:bottom="280" w:left="1680" w:header="0" w:footer="1073" w:gutter="0"/>
          <w:pgNumType w:start="1"/>
          <w:cols w:space="720"/>
        </w:sectPr>
      </w:pPr>
    </w:p>
    <w:p w:rsidR="00F9150B" w:rsidRPr="00F9150B" w:rsidRDefault="00E2214A" w:rsidP="00F9150B">
      <w:pPr>
        <w:pStyle w:val="ad"/>
        <w:snapToGrid w:val="0"/>
        <w:spacing w:after="240" w:line="360" w:lineRule="auto"/>
        <w:jc w:val="center"/>
        <w:rPr>
          <w:rFonts w:ascii="宋体" w:hAnsi="宋体"/>
          <w:noProof/>
          <w:sz w:val="24"/>
        </w:rPr>
      </w:pPr>
      <w:r w:rsidRPr="00F9150B">
        <w:rPr>
          <w:rFonts w:ascii="宋体" w:hAnsi="宋体"/>
          <w:color w:val="000000"/>
          <w:position w:val="-4"/>
          <w:sz w:val="24"/>
          <w:szCs w:val="30"/>
        </w:rPr>
        <w:lastRenderedPageBreak/>
        <w:t>目</w:t>
      </w:r>
      <w:r w:rsidRPr="00F9150B">
        <w:rPr>
          <w:rFonts w:ascii="宋体" w:hAnsi="宋体"/>
          <w:color w:val="000000"/>
          <w:position w:val="-4"/>
          <w:sz w:val="24"/>
          <w:szCs w:val="30"/>
        </w:rPr>
        <w:tab/>
        <w:t>录</w:t>
      </w:r>
      <w:r w:rsidR="00F9150B" w:rsidRPr="00F9150B">
        <w:rPr>
          <w:rFonts w:ascii="宋体" w:hAnsi="宋体"/>
          <w:color w:val="000000"/>
          <w:position w:val="-4"/>
          <w:sz w:val="24"/>
          <w:szCs w:val="30"/>
        </w:rPr>
        <w:fldChar w:fldCharType="begin"/>
      </w:r>
      <w:r w:rsidR="00F9150B" w:rsidRPr="00F9150B">
        <w:rPr>
          <w:rFonts w:ascii="宋体" w:hAnsi="宋体"/>
          <w:color w:val="000000"/>
          <w:position w:val="-4"/>
          <w:sz w:val="24"/>
          <w:szCs w:val="30"/>
        </w:rPr>
        <w:instrText xml:space="preserve"> TOC \o "1-3" \f - \h \t "-1" </w:instrText>
      </w:r>
      <w:r w:rsidR="00F9150B" w:rsidRPr="00F9150B">
        <w:rPr>
          <w:rFonts w:ascii="宋体" w:hAnsi="宋体"/>
          <w:color w:val="000000"/>
          <w:position w:val="-4"/>
          <w:sz w:val="24"/>
          <w:szCs w:val="30"/>
        </w:rPr>
        <w:fldChar w:fldCharType="separate"/>
      </w:r>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74" w:history="1">
        <w:r w:rsidRPr="00F9150B">
          <w:rPr>
            <w:rStyle w:val="aa"/>
            <w:rFonts w:ascii="宋体" w:hAnsi="宋体" w:hint="eastAsia"/>
            <w:noProof/>
            <w:kern w:val="0"/>
            <w:sz w:val="24"/>
          </w:rPr>
          <w:t>重要提示</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_Toc238820574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75" w:history="1">
        <w:r w:rsidRPr="00F9150B">
          <w:rPr>
            <w:rStyle w:val="aa"/>
            <w:rFonts w:ascii="宋体" w:hAnsi="宋体" w:hint="eastAsia"/>
            <w:noProof/>
            <w:sz w:val="24"/>
          </w:rPr>
          <w:t>一、绪言</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_Toc238820575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5</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76" w:history="1">
        <w:r w:rsidRPr="00F9150B">
          <w:rPr>
            <w:rStyle w:val="aa"/>
            <w:rFonts w:ascii="宋体" w:hAnsi="宋体" w:hint="eastAsia"/>
            <w:noProof/>
            <w:sz w:val="24"/>
          </w:rPr>
          <w:t>二、释义</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_Toc238820576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6</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77" w:history="1">
        <w:r w:rsidRPr="00F9150B">
          <w:rPr>
            <w:rStyle w:val="aa"/>
            <w:rFonts w:ascii="宋体" w:hAnsi="宋体" w:hint="eastAsia"/>
            <w:noProof/>
            <w:sz w:val="24"/>
          </w:rPr>
          <w:t>三、基金管理人</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_Toc238820577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11</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78" w:history="1">
        <w:r w:rsidRPr="00F9150B">
          <w:rPr>
            <w:rStyle w:val="aa"/>
            <w:rFonts w:ascii="宋体" w:hAnsi="宋体" w:hint="eastAsia"/>
            <w:noProof/>
            <w:sz w:val="24"/>
          </w:rPr>
          <w:t>四、基金托管人</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_Toc238820578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18</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79" w:history="1">
        <w:r w:rsidRPr="00F9150B">
          <w:rPr>
            <w:rStyle w:val="aa"/>
            <w:rFonts w:ascii="宋体" w:hAnsi="宋体" w:hint="eastAsia"/>
            <w:noProof/>
            <w:sz w:val="24"/>
          </w:rPr>
          <w:t>五、相关服务机构</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_Toc238820579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22</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0" w:history="1">
        <w:r w:rsidRPr="00F9150B">
          <w:rPr>
            <w:rStyle w:val="aa"/>
            <w:rFonts w:ascii="宋体" w:hAnsi="宋体" w:hint="eastAsia"/>
            <w:noProof/>
            <w:sz w:val="24"/>
          </w:rPr>
          <w:t>六、基金的募集</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_Toc238820580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35</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1" w:history="1">
        <w:r w:rsidRPr="00F9150B">
          <w:rPr>
            <w:rStyle w:val="aa"/>
            <w:rFonts w:ascii="宋体" w:hAnsi="宋体" w:hint="eastAsia"/>
            <w:noProof/>
            <w:sz w:val="24"/>
          </w:rPr>
          <w:t>七、基金合同的生效</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_Toc238820581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36</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2" w:history="1">
        <w:r w:rsidRPr="00F9150B">
          <w:rPr>
            <w:rStyle w:val="aa"/>
            <w:rFonts w:ascii="宋体" w:hAnsi="宋体" w:hint="eastAsia"/>
            <w:noProof/>
            <w:sz w:val="24"/>
          </w:rPr>
          <w:t>八、基金份额的申购与赎回</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_Toc238820582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37</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3" w:history="1">
        <w:r w:rsidRPr="00F9150B">
          <w:rPr>
            <w:rStyle w:val="aa"/>
            <w:rFonts w:ascii="宋体" w:hAnsi="宋体" w:hint="eastAsia"/>
            <w:noProof/>
            <w:sz w:val="24"/>
          </w:rPr>
          <w:t>九、基金的转换</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_Toc238820583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51</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4" w:history="1">
        <w:r w:rsidRPr="00F9150B">
          <w:rPr>
            <w:rStyle w:val="aa"/>
            <w:rFonts w:ascii="宋体" w:hAnsi="宋体" w:hint="eastAsia"/>
            <w:noProof/>
            <w:sz w:val="24"/>
          </w:rPr>
          <w:t>十、基金的投资</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_Toc238820584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56</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5" w:history="1">
        <w:r w:rsidRPr="00F9150B">
          <w:rPr>
            <w:rStyle w:val="aa"/>
            <w:rFonts w:ascii="宋体" w:hAnsi="宋体" w:hint="eastAsia"/>
            <w:noProof/>
            <w:sz w:val="24"/>
          </w:rPr>
          <w:t>十一、基金的业绩</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_Toc238820585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67</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6" w:history="1">
        <w:r w:rsidRPr="00F9150B">
          <w:rPr>
            <w:rStyle w:val="aa"/>
            <w:rFonts w:ascii="宋体" w:hAnsi="宋体" w:hint="eastAsia"/>
            <w:noProof/>
            <w:sz w:val="24"/>
          </w:rPr>
          <w:t>十二、基金的财产</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_Toc238820586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69</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7" w:history="1">
        <w:r w:rsidRPr="00F9150B">
          <w:rPr>
            <w:rStyle w:val="aa"/>
            <w:rFonts w:ascii="宋体" w:hAnsi="宋体" w:hint="eastAsia"/>
            <w:noProof/>
            <w:sz w:val="24"/>
          </w:rPr>
          <w:t>十三、基金资产的估值</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_Toc238820587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70</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8" w:history="1">
        <w:r w:rsidRPr="00F9150B">
          <w:rPr>
            <w:rStyle w:val="aa"/>
            <w:rFonts w:ascii="宋体" w:hAnsi="宋体" w:hint="eastAsia"/>
            <w:noProof/>
            <w:sz w:val="24"/>
          </w:rPr>
          <w:t>十四、基金收益与分配</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_Toc238820588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76</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89" w:history="1">
        <w:r w:rsidRPr="00F9150B">
          <w:rPr>
            <w:rStyle w:val="aa"/>
            <w:rFonts w:ascii="宋体" w:hAnsi="宋体" w:hint="eastAsia"/>
            <w:noProof/>
            <w:sz w:val="24"/>
          </w:rPr>
          <w:t>十五、基金的费用与税收</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_Toc238820589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78</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0" w:history="1">
        <w:r w:rsidRPr="00F9150B">
          <w:rPr>
            <w:rStyle w:val="aa"/>
            <w:rFonts w:ascii="宋体" w:hAnsi="宋体" w:hint="eastAsia"/>
            <w:noProof/>
            <w:sz w:val="24"/>
          </w:rPr>
          <w:t>十六、基金的会计与审计</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_Toc238820590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84</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1" w:history="1">
        <w:r w:rsidRPr="00F9150B">
          <w:rPr>
            <w:rStyle w:val="aa"/>
            <w:rFonts w:ascii="宋体" w:hAnsi="宋体" w:hint="eastAsia"/>
            <w:noProof/>
            <w:sz w:val="24"/>
          </w:rPr>
          <w:t>十七、基金的信息披露</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_Toc238820591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85</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2" w:history="1">
        <w:r w:rsidRPr="00F9150B">
          <w:rPr>
            <w:rStyle w:val="aa"/>
            <w:rFonts w:ascii="宋体" w:hAnsi="宋体" w:hint="eastAsia"/>
            <w:noProof/>
            <w:sz w:val="24"/>
          </w:rPr>
          <w:t>十八、侧袋机制</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_Toc238820592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92</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3" w:history="1">
        <w:r w:rsidRPr="00F9150B">
          <w:rPr>
            <w:rStyle w:val="aa"/>
            <w:rFonts w:ascii="宋体" w:hAnsi="宋体" w:hint="eastAsia"/>
            <w:noProof/>
            <w:sz w:val="24"/>
          </w:rPr>
          <w:t>十九、风险揭示</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_Toc238820593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95</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4" w:history="1">
        <w:r w:rsidRPr="00F9150B">
          <w:rPr>
            <w:rStyle w:val="aa"/>
            <w:rFonts w:ascii="宋体" w:hAnsi="宋体" w:hint="eastAsia"/>
            <w:noProof/>
            <w:sz w:val="24"/>
          </w:rPr>
          <w:t>二十、基金合同的变更、终止与基金财产的清算</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_Toc238820594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105</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5" w:history="1">
        <w:r w:rsidRPr="00F9150B">
          <w:rPr>
            <w:rStyle w:val="aa"/>
            <w:rFonts w:ascii="宋体" w:hAnsi="宋体" w:hint="eastAsia"/>
            <w:noProof/>
            <w:sz w:val="24"/>
          </w:rPr>
          <w:t>二十一、基金合同内容摘要</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_Toc238820595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107</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6" w:history="1">
        <w:r w:rsidRPr="00F9150B">
          <w:rPr>
            <w:rStyle w:val="aa"/>
            <w:rFonts w:ascii="宋体" w:hAnsi="宋体" w:hint="eastAsia"/>
            <w:noProof/>
            <w:sz w:val="24"/>
          </w:rPr>
          <w:t>二十二、托管协议的内容摘要</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_Toc238820596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124</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7" w:history="1">
        <w:r w:rsidRPr="00F9150B">
          <w:rPr>
            <w:rStyle w:val="aa"/>
            <w:rFonts w:ascii="宋体" w:hAnsi="宋体" w:hint="eastAsia"/>
            <w:noProof/>
            <w:sz w:val="24"/>
          </w:rPr>
          <w:t>二十三、对基金份额持有人的服务</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_Toc238820597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143</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8" w:history="1">
        <w:r w:rsidRPr="00F9150B">
          <w:rPr>
            <w:rStyle w:val="aa"/>
            <w:rFonts w:ascii="宋体" w:hAnsi="宋体" w:hint="eastAsia"/>
            <w:noProof/>
            <w:sz w:val="24"/>
          </w:rPr>
          <w:t>二十四、其他应披露事项</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_Toc238820598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145</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599" w:history="1">
        <w:r w:rsidRPr="00F9150B">
          <w:rPr>
            <w:rStyle w:val="aa"/>
            <w:rFonts w:ascii="宋体" w:hAnsi="宋体" w:hint="eastAsia"/>
            <w:noProof/>
            <w:sz w:val="24"/>
          </w:rPr>
          <w:t>二十五、招募说明书的存放及查阅方式</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_Toc238820599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147</w:t>
        </w:r>
        <w:r w:rsidRPr="00F9150B">
          <w:rPr>
            <w:rFonts w:ascii="宋体" w:hAnsi="宋体"/>
            <w:noProof/>
            <w:sz w:val="24"/>
          </w:rPr>
          <w:fldChar w:fldCharType="end"/>
        </w:r>
      </w:hyperlink>
    </w:p>
    <w:p w:rsidR="00F9150B" w:rsidRPr="00F9150B" w:rsidRDefault="00F9150B" w:rsidP="00F9150B">
      <w:pPr>
        <w:pStyle w:val="10"/>
        <w:tabs>
          <w:tab w:val="right" w:leader="dot" w:pos="8550"/>
        </w:tabs>
        <w:spacing w:line="360" w:lineRule="auto"/>
        <w:rPr>
          <w:rFonts w:ascii="宋体" w:hAnsi="宋体" w:cstheme="minorBidi"/>
          <w:noProof/>
          <w:sz w:val="24"/>
        </w:rPr>
      </w:pPr>
      <w:hyperlink w:anchor="_Toc238820600" w:history="1">
        <w:r w:rsidRPr="00F9150B">
          <w:rPr>
            <w:rStyle w:val="aa"/>
            <w:rFonts w:ascii="宋体" w:hAnsi="宋体" w:hint="eastAsia"/>
            <w:noProof/>
            <w:sz w:val="24"/>
          </w:rPr>
          <w:t>二十六、备查文件</w:t>
        </w:r>
        <w:r w:rsidRPr="00F9150B">
          <w:rPr>
            <w:rFonts w:ascii="宋体" w:hAnsi="宋体"/>
            <w:noProof/>
            <w:sz w:val="24"/>
          </w:rPr>
          <w:tab/>
        </w:r>
        <w:r w:rsidRPr="00F9150B">
          <w:rPr>
            <w:rFonts w:ascii="宋体" w:hAnsi="宋体"/>
            <w:noProof/>
            <w:sz w:val="24"/>
          </w:rPr>
          <w:fldChar w:fldCharType="begin"/>
        </w:r>
        <w:r w:rsidRPr="00F9150B">
          <w:rPr>
            <w:rFonts w:ascii="宋体" w:hAnsi="宋体"/>
            <w:noProof/>
            <w:sz w:val="24"/>
          </w:rPr>
          <w:instrText xml:space="preserve"> PAGEREF _Toc238820600 \h </w:instrText>
        </w:r>
        <w:r w:rsidRPr="00F9150B">
          <w:rPr>
            <w:rFonts w:ascii="宋体" w:hAnsi="宋体"/>
            <w:noProof/>
            <w:sz w:val="24"/>
          </w:rPr>
        </w:r>
        <w:r w:rsidRPr="00F9150B">
          <w:rPr>
            <w:rFonts w:ascii="宋体" w:hAnsi="宋体"/>
            <w:noProof/>
            <w:sz w:val="24"/>
          </w:rPr>
          <w:fldChar w:fldCharType="separate"/>
        </w:r>
        <w:r w:rsidRPr="00F9150B">
          <w:rPr>
            <w:rFonts w:ascii="宋体" w:hAnsi="宋体"/>
            <w:noProof/>
            <w:sz w:val="24"/>
          </w:rPr>
          <w:t>148</w:t>
        </w:r>
        <w:r w:rsidRPr="00F9150B">
          <w:rPr>
            <w:rFonts w:ascii="宋体" w:hAnsi="宋体"/>
            <w:noProof/>
            <w:sz w:val="24"/>
          </w:rPr>
          <w:fldChar w:fldCharType="end"/>
        </w:r>
      </w:hyperlink>
    </w:p>
    <w:p w:rsidR="008D17AE" w:rsidRPr="00F9150B" w:rsidRDefault="00F9150B" w:rsidP="00F9150B">
      <w:pPr>
        <w:pStyle w:val="ad"/>
        <w:snapToGrid w:val="0"/>
        <w:spacing w:after="240" w:line="360" w:lineRule="auto"/>
        <w:jc w:val="center"/>
        <w:rPr>
          <w:rFonts w:ascii="宋体" w:hAnsi="宋体"/>
          <w:color w:val="000000"/>
          <w:sz w:val="24"/>
        </w:rPr>
      </w:pPr>
      <w:r w:rsidRPr="00F9150B">
        <w:rPr>
          <w:rFonts w:ascii="宋体" w:hAnsi="宋体"/>
          <w:color w:val="000000"/>
          <w:position w:val="-4"/>
          <w:sz w:val="24"/>
          <w:szCs w:val="30"/>
        </w:rPr>
        <w:fldChar w:fldCharType="end"/>
      </w:r>
      <w:bookmarkStart w:id="3" w:name="_GoBack"/>
      <w:bookmarkEnd w:id="3"/>
    </w:p>
    <w:p w:rsidR="008D17AE" w:rsidRDefault="008D17AE">
      <w:pPr>
        <w:autoSpaceDE w:val="0"/>
        <w:autoSpaceDN w:val="0"/>
        <w:adjustRightInd w:val="0"/>
        <w:snapToGrid w:val="0"/>
        <w:spacing w:line="360" w:lineRule="auto"/>
        <w:ind w:left="120" w:rightChars="6" w:right="13"/>
        <w:rPr>
          <w:rFonts w:ascii="宋体" w:hAnsi="宋体"/>
          <w:kern w:val="0"/>
          <w:szCs w:val="24"/>
        </w:rPr>
        <w:sectPr w:rsidR="008D17AE">
          <w:pgSz w:w="11920" w:h="16840"/>
          <w:pgMar w:top="1480" w:right="1680" w:bottom="280" w:left="1680" w:header="0" w:footer="1073" w:gutter="0"/>
          <w:cols w:space="720"/>
        </w:sectPr>
      </w:pPr>
    </w:p>
    <w:p w:rsidR="008D17AE" w:rsidRDefault="00E2214A">
      <w:pPr>
        <w:pStyle w:val="1"/>
        <w:snapToGrid w:val="0"/>
        <w:spacing w:beforeLines="0" w:before="240" w:after="240"/>
        <w:rPr>
          <w:rFonts w:ascii="宋体" w:hAnsi="宋体"/>
          <w:szCs w:val="30"/>
        </w:rPr>
      </w:pPr>
      <w:bookmarkStart w:id="4" w:name="_Toc238820575"/>
      <w:r>
        <w:rPr>
          <w:rFonts w:ascii="Times New Roman" w:hAnsi="Times New Roman"/>
          <w:sz w:val="30"/>
        </w:rPr>
        <w:lastRenderedPageBreak/>
        <w:t>一、绪言</w:t>
      </w:r>
      <w:bookmarkEnd w:id="4"/>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瑞安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瑞安混合型证券投资基金基金合同》（以下简称“基金合同”或“《基金合同》”）编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5" w:name="_Toc238820576"/>
      <w:r>
        <w:rPr>
          <w:rFonts w:ascii="Times New Roman" w:hAnsi="Times New Roman"/>
          <w:sz w:val="30"/>
        </w:rPr>
        <w:lastRenderedPageBreak/>
        <w:t>二、释义</w:t>
      </w:r>
      <w:bookmarkEnd w:id="5"/>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1、基金或本基金：指交银施罗德瑞安混合型证券投资基金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3、基金托管人：指上海浦东发展银行股份有限公司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4、基金合同、《基金合同》：指《交银施罗德瑞安混合型证券投资基金基金合同》及对基金合同的任何有效修订和补充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5、托管协议：指基金管理人与基金托管人就本基金签订之《交银施罗德瑞安混合型证券投资基金托管协议》及对该托管协议的任何有效修订和补充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6、招募说明书或本招募说明书：指《交银施罗德瑞安混合型证券投资基金招募说明书》及其更新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7、基金产品资料概要：指《交银施罗德瑞安混合型证券投资基金基金产品资料概要》及其更新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8、基金份额发售公告：指《交银施罗德瑞安混合型证券投资基金基金份额发售公告》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16、银行业监督管理机构：指中国人民银行和/或国家金融监督管理总局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17、基金合同当事人：指受基金合同约束，根据基金合同享有权利并承担义务的法律主体，包括基金管理人、基金托管人和基金份额持有人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w:t>
      </w:r>
      <w:r>
        <w:rPr>
          <w:rFonts w:ascii="宋体" w:hAnsi="宋体"/>
          <w:sz w:val="24"/>
        </w:rPr>
        <w:lastRenderedPageBreak/>
        <w:t>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38、《业务规则》：指《交银施罗德基金管理有限公司开放式基金业务规则》，是规范基金管理人所管理的开放式证券投资基金登记方面的业务规则，由基金管理人和投资人共同遵守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49、基金资产净值：指基金资产总值减去基金负债后的价值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50、基金份额净值：指计算日基金资产净值除以计算日基金份额总数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51、基金资产估值：指计算评估基金资产和负债的价值，以确定基金资产净值和基金份额净值的过程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52、港股通标的股票：指内地投资者委托内地证券公司，经由内地证券交易所在香港设立的证券交易服务公司，向香港联合交易所进行申报，买卖规定范围内的香港联合交易所上市的股票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54、A类基金份额：指在投资人认购/申购时收取认购/申购费用、不从本类别基金资产中计提销售服务费的基金份额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55、C类基金份额：指在投资人认购/申购时不收取认购/申购费用、从本类别基金资产中计提销售服务费的基金份额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58、摆动定价机制：指当开放式基金遭遇大额申购赎回时，通过调整基金份额</w:t>
      </w:r>
      <w:r>
        <w:rPr>
          <w:rFonts w:ascii="宋体" w:hAnsi="宋体"/>
          <w:sz w:val="24"/>
        </w:rPr>
        <w:lastRenderedPageBreak/>
        <w:t>净值的方式，将基金调整投资组合的市场冲击成本分配给实际申购、赎回的投资者，从而减少对存量基金份额持有人利益的不利影响，确保投资人的合法权益不受损害并得到公平对待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6" w:name="_Toc238820577"/>
      <w:r>
        <w:rPr>
          <w:rFonts w:ascii="Times New Roman" w:hAnsi="Times New Roman"/>
          <w:sz w:val="30"/>
        </w:rPr>
        <w:lastRenderedPageBreak/>
        <w:t>三、基金管理人</w:t>
      </w:r>
      <w:bookmarkEnd w:id="6"/>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婕衎女士:基金经理。浙江大学高分子材料与工程硕士、学士。15年证券投资行业从业经验。曾任鹏华基金管理有限公司高级研究员，华泰柏瑞基金管理有限公司基金经理助理，财通基金管理有限公司投资经理助理。2018年加入交银施罗德基金管理有限公司，曾任行业分析师、专户投资部投资经理，混合资产投资部投资经理，现任混合资产投资部基金经理。曾任交银施罗德稳进丰利六个月持有期混合型证券投资基金(2024年09月10日至2026年04月18日)的基金经理。现任交银施罗德优选回报灵活配置混合型证券投资基金(2024年12月03日至今)、交银施罗德稳固收益债券型证券投资基金(2024年12月31日至今)、交银施罗德佳宁债券型证券投资基金(2026年07月21日至今)、交银施罗德瑞安混合型证券投资基金(2026年08月26日至今)的基金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黄鼎先生(2025年06月24日至2026年08月29日)。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5、进行基金会计核算并编制基金财务会计报告；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7" w:name="_Toc238820578"/>
      <w:r>
        <w:rPr>
          <w:rFonts w:ascii="Times New Roman" w:hAnsi="Times New Roman"/>
          <w:sz w:val="30"/>
        </w:rPr>
        <w:lastRenderedPageBreak/>
        <w:t>四、基金托管人</w:t>
      </w:r>
      <w:bookmarkEnd w:id="7"/>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本基金托管人为上海浦东发展银行股份有限公司，基本信息如下：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名称：上海浦东发展银行股份有限公司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注册地址：上海市中山东一路12号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办公地址：上海市博成路1388号浦银中心A栋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法定代表人：张为忠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成立时间：1992年10月19日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注册资本：293.52亿元人民币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基金托管资格批文及文号：中国证监会证监基金字[2003]105号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联系人：汪小敏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联系电话：（021）31888888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w:t>
      </w:r>
      <w:r>
        <w:rPr>
          <w:rFonts w:ascii="宋体" w:hAnsi="宋体"/>
          <w:sz w:val="24"/>
        </w:rPr>
        <w:lastRenderedPageBreak/>
        <w:t>处、业务保障处、总行资产托管运营中心（含合肥分中心）六个职能处室。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截止2026年3月31日，上海浦东发展银行证券投资基金托管规模为16599.55亿元，托管证券投资基金共541只。</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1、监督依据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托管人严格按照有关政策法规、以及基金合同、托管协议等进行监督。监督依据具体包括：</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（1）《中华人民共和国证券法》；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（2）《中华人民共和国证券投资基金法》；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（3）《公开募集证券投资基金运作管理办法》；；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（4）《公开募集证券投资基金销售机构监督管理办法》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（5）《基金合同》、《基金托管协议》；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（6）法律、法规、政策的其他规定。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2、监督内容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我行根据基金合同及托管协议约定，对基金合同生效之后所托管基金的投资范围、投资比例、投资限制等进行严格监督，及时提示基金管理人违规风险。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3、监督方法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（1）资产托管部设置核算监督岗位，配备相应的业务人员，在授权范围内独立行使对基金管理人投资交易行为的监督职责，规范基金运作，维护基金投资人的合法权益，不受任何外界力量的干预；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（2）在日常运作中，凡可量化的监督指标，由核算监督岗通过托管业务的自动处理程序进行监督，实现系统的自动跟踪和预警；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（3）对非量化指标、投资指令、管理人提供的各种报表和报告等，采取人工监督的方法。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4、监督结果的处理方式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（1）基金托管人对基金管理人的投资运作监督结果，采取定期和不定期报告形式向基金管理人和中国证监会报告。定期报告包括基金监控周报等。不定期报告包括提示函、临时日报、其他临时报告等；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（3）针对中国证监会、中国人民银行对基金投资运作监督情况的检查，应及时提供有关情况和资料。</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8" w:name="_Toc238820579"/>
      <w:r>
        <w:rPr>
          <w:rFonts w:ascii="Times New Roman" w:hAnsi="Times New Roman"/>
          <w:sz w:val="30"/>
        </w:rPr>
        <w:lastRenderedPageBreak/>
        <w:t>五、相关服务机构</w:t>
      </w:r>
      <w:bookmarkEnd w:id="8"/>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（3）名称：中国光大银行股份有限公司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传真：（0755）83195109</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（6）名称：平安证券股份有限公司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（8）名称：中国中金财富证券有限公司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（9）名称：开源证券股份有限公司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注册地址：陕西省西安市高新区锦业路一号都市之门B座5层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（10）名称：山西证券股份有限公司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（11）名称：西部证券股份有限公司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（12）名称：华福证券股份有限公司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网址：www.hfzq.com.cn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（13）名称：国投证券股份有限公司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（14）名称：中信建投证券股份有限公司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（15）名称：中信证券（山东）有限责任公司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（16）名称：江海证券有限公司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传真：（0451）82287211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（17）名称：国金证券股份有限公司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（18）名称：华西证券股份有限公司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（19）名称：中信证券华南股份有限公司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网址：www.gzs.com.cn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（20）名称：国泰海通证券股份有限公司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（21）名称：招商证券股份有限公司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（22）名称：海通证券股份有限公司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（23）名称：兴业证券股份有限公司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办公地址：上海市浦东新区长柳路36号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（24）名称：华泰证券股份有限公司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（25）名称：国信证券股份有限公司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（26）名称：东方财富证券股份有限公司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联系人：付佳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（27）名称：东莞证券股份有限公司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（28）名称：中信期货有限公司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（29）名称：浙江同花顺基金销售有限公司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网址：https://fund.10jqka.com.cn/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（30）名称：京东肯特瑞基金销售有限公司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（31）名称：腾安基金销售（深圳）有限公司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（32）名称：珠海盈米基金销售有限公司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（33）名称：北京雪球基金销售有限公司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住所：北京市朝阳区创远路 34 号院6号楼15层1501室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（34）名称：上海天天基金销售有限公司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（35）名称：蚂蚁（杭州）基金销售有限公司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（36）名称：中国人寿保险股份有限公司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客户服务电话：95519</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（37）名称：上海基煜基金销售有限公司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（38）名称：上海好买基金销售有限公司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住所：上海市银城中路68号时代金融中心19楼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9" w:name="_Toc238820580"/>
      <w:r>
        <w:rPr>
          <w:rFonts w:ascii="Times New Roman" w:hAnsi="Times New Roman"/>
          <w:sz w:val="30"/>
        </w:rPr>
        <w:lastRenderedPageBreak/>
        <w:t>六、基金的募集</w:t>
      </w:r>
      <w:bookmarkEnd w:id="9"/>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本基金由基金管理人依照《基金法》、《运作办法》、《销售办法》、基金合同及其他有关规定，并经中国证监会2025年5月23日证监许可【2025】1107号文准予募集注册。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本基金2025年5月27日至2025年6月20日进行发售，本基金设立募集期共募集1,547,244,489.69份基金份额，有效认购户数为10,822户。</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0" w:name="_Toc238820581"/>
      <w:r>
        <w:rPr>
          <w:rFonts w:ascii="Times New Roman" w:hAnsi="Times New Roman"/>
          <w:sz w:val="30"/>
        </w:rPr>
        <w:lastRenderedPageBreak/>
        <w:t>七、基金合同的生效</w:t>
      </w:r>
      <w:bookmarkEnd w:id="10"/>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根据有关规定，本基金满足基金合同生效条件，基金合同已于2025年6月24日正式生效。自基金合同生效之日起，本基金管理人正式开始管理本基金。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1" w:name="_Toc238820582"/>
      <w:r>
        <w:rPr>
          <w:rFonts w:ascii="Times New Roman" w:hAnsi="Times New Roman"/>
          <w:sz w:val="30"/>
        </w:rPr>
        <w:lastRenderedPageBreak/>
        <w:t>八、基金份额的申购与赎回</w:t>
      </w:r>
      <w:bookmarkEnd w:id="11"/>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本基金已于2025年9月23日起开放申购、赎回业务。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基金份额余额少于1份时，若当日该账户同时有基金份额减少类业务（如赎回、转换出等）被确认，则基金管理人有权将投资人在该账户保留的本基金份额一次性全部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4、基金管理人可以规定基金总规模上限、单个投资人累计持有的基金份额上限，具体规定请参见相关公告。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不从该类别基金资产中计提销售服务费；申购C类基金份额不支付申购费用、从该类别基金资产中计提销售服务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本基金A类基金份额的申购费用由申购A类基金份额的投资人承担，不列入基金</w:t>
      </w:r>
      <w:r>
        <w:rPr>
          <w:rFonts w:ascii="宋体" w:hAnsi="宋体"/>
          <w:sz w:val="24"/>
        </w:rPr>
        <w:lastRenderedPageBreak/>
        <w:t>财产，主要用于本基金的市场推广、销售、登记等各项费用。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投资人可以多次申购本基金，A类基金份额的申购费用按A类基金份额每笔申购申请单独计算。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D17A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D17A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7AE" w:rsidRDefault="008D17A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D17A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7AE" w:rsidRDefault="008D17A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8D17A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7AE" w:rsidRDefault="008D17A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8D17A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7AE" w:rsidRDefault="008D17A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（2）本基金C类基金份额的赎回费用由赎回C类基金份额的基金份额持有人承担，在基金份额持有人赎回基金份额时收取并全额计入基金财产。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D17A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D17A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7AE" w:rsidRDefault="008D17A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D17A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7AE" w:rsidRDefault="008D17A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8D17A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D17AE" w:rsidRDefault="008D17A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w:t>
      </w:r>
      <w:r>
        <w:rPr>
          <w:rFonts w:ascii="宋体" w:hAnsi="宋体"/>
          <w:sz w:val="24"/>
        </w:rPr>
        <w:lastRenderedPageBreak/>
        <w:t>调低基金销售费用。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的有效赎回份额乘以当日该类基金份额的基金份额净值并扣除或加上相应的费用（如有），赎回金额单位为元。赎回金额计算结果按四舍五入方法，保留到小数点后2位，由此产生的收益或损失由基金财产承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本基金采用金额申购的方式。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申购份额=净申购金额/T日A类基金份额净值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例四：某投资者（非养老金客户）投资40,000.00元申购本基金A类基金份额，假设申购当日A类基金份额净值为1.0400元，申购费率为1.5%，则其可得到的申购份额为：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净申购金额=40,000.00/（1+1.5%）=39,408.87元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申购费用=40,000.00-39,408.87=591.13元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申购份额=39,408.87/1.0400=37,893.14份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即：某投资者（非养老金客户）投资40,000.00元申购本基金A类基金份额，假设申购当日A类基金份额净值为1.0400元，则其可得到37,893.14份A类基金份额。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例五：某养老金客户投资1,000,000.00元通过基金管理人的直销柜台申购本基</w:t>
      </w:r>
      <w:r>
        <w:rPr>
          <w:rFonts w:ascii="宋体" w:hAnsi="宋体"/>
          <w:sz w:val="24"/>
        </w:rPr>
        <w:lastRenderedPageBreak/>
        <w:t>金A类基金份额，假设申购当日A类基金份额净值为1.0400元，申购费率为0.6%，则其可得到的申购份额为：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净申购金额=1,000,000.00/（1+0.6%）=994,035.79元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申购费用=1,000,000.00-994,035.79=5,964.21元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申购份额=994,035.79/1.0400=955,803.64份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即：该养老金客户投资1,000,000.00元通过基金管理人的直销柜台申购本基金A类基金份额，假设申购当日A类基金份额净值为1.0400元，则其可得到955,803.64份A类基金份额。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申购份额＝100,000.00/1.0400＝96,153.85份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3、A类基金份额和C类基金份额赎回金额的计算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本基金采用份额赎回的方式。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赎回A类基金份额与C类基金份额的赎回金额计算方法一致。具体如下：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赎回金额=赎回份额×T日该类基金份额净值-赎回费用+应返还的或有管理费（如有）-应扣除的超额管理费（如有）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该笔赎回确认应返还的或有管理费、应扣除的超额管理费计算的具体安排详见基金合同“基金费用与税收”部分内容。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例七：某投资者赎回持有的10,000.00份A类基金份额，持有期限为30日，对应的赎回费率为0.5%，假设赎回申请当日A类基金份额净值是1.0160元，则其可得到的赎回金额为：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赎回费用=10,000.00×1.0160×0.5%＝50.80元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即：该投资者赎回本基金10,000份A类基金份额，持有期限为30日，对应的赎回费率为0.5%，假设赎回申请当日A类基金份额净值是1.0160元，则其可得到的赎回金额为10,109.20元。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持有的10,000.00份A类基金份额，持有期限为370日，对应的赎回费率为0，假设赎回申请当日A类基金份额净值是1.0160元，且假设该笔赎回确认应收取的超额管理费为30.90元（即该笔赎回的基金份额达到超额管理费收取情形，应从赎回款中扣除超额管理费），则其可得到的赎回金额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赎回金额=10,000.00×1.0160-0-30.90＝10,129.10元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A类基金份额，持有期限为370日，对应的赎回费率为0，假设赎回申请当日A类基金份额净值是1.0160元，且假设该笔赎回确认应收取的超额管理费为30.90元（即该笔赎回的基金份额达到超额管理费收取情形，应从赎回款中扣除超额管理费），则其可得到的赎回金额为10,129.10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九：某投资者赎回持有的10,000.00份C类基金份额，持有期限为370日，对应的赎回费率为0，假设赎回申请当日C类基金份额净值是1.0160元，且假设该笔赎回确认应返还的或有管理费为65.00元（即该笔赎回的基金份额符合或有管理费为0的情形，应将持有期内计提的或有管理费全额返还），则其可得到的赎回金额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赎回金额=10,000.00×1.0160-0+65.00＝10,225.00元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C类基金份额，持有期限为370日，对应的赎回费率为0，假设赎回申请当日C类基金份额净值是1.0160元，且假设该笔赎回确认应返还的或有管理费为65.00元（即该笔赎回的基金份额符合或有管理费为0的情形，应将持有期内计提的或有管理费全额返还），则其可得到的赎回金额为10,225.00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w:t>
      </w:r>
      <w:r>
        <w:rPr>
          <w:rFonts w:ascii="宋体" w:hAnsi="宋体"/>
          <w:sz w:val="24"/>
        </w:rPr>
        <w:lastRenderedPageBreak/>
        <w:t>总数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在计算基金份额净值时，按前一日基金资产净值的1.20%年费率计算管理费，该费率可能高于或低于不同投资者最终适用的管理费率。在基金份额赎回时，基金投资者实际收到的赎回款项的金额可能与按披露的基金份额净值计算的结果存在差异。投资者的实际赎回金额以登记机构确认数据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港股通交易每日额度不足，或者发生证券交易服务公司等机构认定的交易异常情况并决定暂停提供部分或者全部港股通服务，或者发生其他影响通过内地与香港股票市场交易互联互通机制进行正常交易的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9、基金管理人接受某笔或者某些申购申请有可能导致单一投资者持有基金份额的比例超过50%，或者变相规避50%集中度的。出现上述情形时，基金管理人有权</w:t>
      </w:r>
      <w:r>
        <w:rPr>
          <w:rFonts w:ascii="宋体" w:hAnsi="宋体"/>
          <w:sz w:val="24"/>
        </w:rPr>
        <w:lastRenderedPageBreak/>
        <w:t>将上述申购申请全部或部分确认失败。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10、法律法规规定、中国证监会认定或基金合同约定的其他情形。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8、10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w:t>
      </w:r>
      <w:r>
        <w:rPr>
          <w:rFonts w:ascii="宋体" w:hAnsi="宋体"/>
          <w:sz w:val="24"/>
        </w:rPr>
        <w:lastRenderedPageBreak/>
        <w:t>赎回申请一并办理。但是，如基金份额持有人在当日选择取消赎回，则其当日未获受理的部分赎回申请将被撤销。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基金份额持有人可办理已持有基金份额在不同销售机构之间的转托管，基金销售机构可以按照规定的标准收取转托管费。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本基金2025年9月19日刊登公告自2025年9月23日起开通定期定额投资计划业务，具体开通销售机构名单和业务规则参见相关公告。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2" w:name="_Toc238820583"/>
      <w:r>
        <w:rPr>
          <w:rFonts w:ascii="Times New Roman" w:hAnsi="Times New Roman"/>
          <w:sz w:val="30"/>
        </w:rPr>
        <w:lastRenderedPageBreak/>
        <w:t>九、基金的转换</w:t>
      </w:r>
      <w:bookmarkEnd w:id="12"/>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本基金2025年9月19日刊登公告自2025年9月23日起开放日常转换业务。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w:t>
      </w:r>
      <w:r>
        <w:rPr>
          <w:rFonts w:ascii="宋体" w:hAnsi="宋体"/>
          <w:sz w:val="24"/>
        </w:rPr>
        <w:lastRenderedPageBreak/>
        <w:t>阅本基金管理人网站。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5、本基金管理人可以根据法律法规及基金合同的规定对上述转换费用收费方式和费率进行调整，并应于调整后的收费方式和费率实施前依照《信息披露办法》的有关规定在中国证监会规定媒介上公告。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转出基金申购费用=转入确认金额×转出基金申购费率/（1+转出基金申购费率）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转入基金申购费用=转入确认金额×转入基金申购费率/（1+转入基金申购费率）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转出与转入基金的申购补差费=MAX（0，转入基金申购费用-转出基金申购费用）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A类基金份额的基金份额净值为1.00元。若该投资者将100,000份交银稳利A类基金份额转换为交银现金宝A类基金份额，则转入交银现金宝确认的A类基金份额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转入确认金额=101,000-0=101,000元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转出基金申购费用=101,000×0.30%/（1+0.30%）=302.09元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转入基金确认份额=（101,000-0）/1.00=101,000份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转入基金申购费用=100,000×0.30%/（1+0.30%）=299.10元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转出与转入基金的申购补差费=299.10-0=299.10元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转入基金确认份额=（100,000-299.10+61.52）/1.0100=98,774.67份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w:t>
      </w:r>
      <w:r>
        <w:rPr>
          <w:rFonts w:ascii="宋体" w:hAnsi="宋体"/>
          <w:sz w:val="24"/>
        </w:rPr>
        <w:lastRenderedPageBreak/>
        <w:t>将自转入基金份额被确认日起重新开始计算。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3" w:name="_Toc238820584"/>
      <w:r>
        <w:rPr>
          <w:rFonts w:ascii="Times New Roman" w:hAnsi="Times New Roman"/>
          <w:sz w:val="30"/>
        </w:rPr>
        <w:lastRenderedPageBreak/>
        <w:t>十、基金的投资</w:t>
      </w:r>
      <w:bookmarkEnd w:id="13"/>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本基金在合理控制风险的前提下，充分发挥专业研究与管理能力，力争为投资者提供长期稳健的投资回报。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w:t>
      </w:r>
      <w:r>
        <w:rPr>
          <w:rFonts w:ascii="宋体" w:hAnsi="宋体"/>
          <w:sz w:val="24"/>
        </w:rPr>
        <w:lastRenderedPageBreak/>
        <w:t>下”的定性分析和定量分析相结合形成对不同资产市场表现的预测和判断，确定基金资产在沪深A股、港股通标的股票、债券及货币市场工具等各类别资产间的分配比例，并随着各类证券风险收益特征的相对变化，在基金合同约定的范围内动态调整组合中各类资产的比例，以规避或控制市场风险，提高基金收益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本基金可通过内地与香港股票市场交易互联互通机制投资于香港股票市场。本基金优先将基本面健康、业绩向上弹性较大、具有估值优势的港股通标的股票纳入本基金的股票投资组合。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本基金可根据投资策略需要或不同配置地市场环境的变化，选择将部分基金资产投资于港股通标的股票或选择不将基金资产投资于港股通标的股票，基金资产并</w:t>
      </w:r>
      <w:r>
        <w:rPr>
          <w:rFonts w:ascii="宋体" w:hAnsi="宋体"/>
          <w:sz w:val="24"/>
        </w:rPr>
        <w:lastRenderedPageBreak/>
        <w:t>非必然投资港股通标的股票。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1、组合限制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（14）本基金参与股指期货交易，则：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法律法规或监管部门取消或者变更上述限制，如适用于本基金，基金管理人在履行适当程序后，则本基金投资不再受相关限制或以变更后的规定为准。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沪深300指数收益率×70%+恒生指数收益率（人民币计价）×5%+中证综合债券指数收益率×25%</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恒生指数是由恒生指数服务有限公司编制，以香港股票市场中的50家上市股票为成份股样本，以其发行量为权数的加权平均股价指数，是反映香港股市价幅趋势最有影响的一种股价指数。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w:t>
      </w:r>
      <w:r>
        <w:rPr>
          <w:rFonts w:ascii="宋体" w:hAnsi="宋体"/>
          <w:sz w:val="24"/>
        </w:rPr>
        <w:lastRenderedPageBreak/>
        <w:t>比较基准、风险收益特征等约定仅适用于主袋账户。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本基金托管人上海浦东发展银行股份有限公司根据本基金合同规定,于2026年04月20日复核了本报告中的财务指标、净值表现和投资组合报告等内容,保证复核内容不存在虚假记载、误导性陈述或者重大遗漏。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584,409,104.42</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91.09</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584,409,104.42</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91.09</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56,319,978.17</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8.78</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824,375.88</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641,553,458.47</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注：本基金本报告期末通过港股通机制投资香港股票的公允价值为161,819,665.72元，占基金资产净值比例为26.02%。</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30,732,773.94</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4.94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323,314,517.61</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51.99</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8,740,496.00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6,282,839.00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1.01</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3,092,040.00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27,769,527.20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4.47</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18,124,364.95</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2.91</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4,532,880.00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422,589,438.70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67.96</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35,257,642.60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5.67</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35,180,065.55</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5.66</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23,049,571.46</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3.71</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18,749,614.55</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3.02</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16,514,696.80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2.66</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13,525,928.71</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2.18</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7,121,012.94</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1.15</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6,439,605.99</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1.04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5,981,527.12</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合计</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161,819,665.72</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26.02</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115,240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51,032,881.60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8.21</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67,100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38,207,411.00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6.14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06869 HK</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长飞光纤光缆</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128,319</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20,733,764.77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3.33</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600105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永鼎股份</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603,800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16,749,412.00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2.69</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00883 HK</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中国海洋石油</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668,000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16,514,696.80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2.66</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002384</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东山精密</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145,600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15,040,480.00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2.42</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亨通光电</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260,600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13,723,196.00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2.21</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01347 HK</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华虹半导体</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195,281</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13,388,673.82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2.15</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01818 HK</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招金矿业</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456,500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12,793,336.26</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2.06</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300191</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潜能恒信</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325,400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12,505,122.00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2.01</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502,344.53</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322,031.35</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824,375.88</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4" w:name="_Toc238820585"/>
      <w:r>
        <w:rPr>
          <w:rFonts w:ascii="Times New Roman" w:hAnsi="Times New Roman"/>
          <w:sz w:val="30"/>
        </w:rPr>
        <w:lastRenderedPageBreak/>
        <w:t>十一、基金的业绩</w:t>
      </w:r>
      <w:bookmarkEnd w:id="14"/>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1、本报告期基金份额净值收益率及其与同期业绩比较基准收益率的比较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1）交银瑞安混合A：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D17A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8D17A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6.57%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1.95%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9.32%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r>
      <w:tr w:rsidR="008D17A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10.49%</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-3.58%</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2）交银瑞安混合C：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D17A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D17A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6.42%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1.95%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9.17%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r>
      <w:tr w:rsidR="008D17A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10.14%</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-3.93%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注：本基金的业绩比较基准为沪深300指数收益率×70%+恒生指数收益率（人民币计价）×5%+中证综合债券指数收益率×25%，每日进行再平衡过程。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交银施罗德瑞安混合型证券投资基金</w:t>
      </w:r>
    </w:p>
    <w:p w:rsidR="008D17AE" w:rsidRDefault="00E2214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份额累计份额净值增长率与业绩比较基准收益率的历史走势对比图</w:t>
      </w:r>
    </w:p>
    <w:p w:rsidR="008D17AE" w:rsidRDefault="00E2214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（2025年06月24日至2026年03月31日）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1、交银瑞安混合A</w:t>
      </w:r>
    </w:p>
    <w:p w:rsidR="008D17AE" w:rsidRDefault="00F9150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2、交银瑞安混合C</w:t>
      </w:r>
    </w:p>
    <w:p w:rsidR="008D17AE" w:rsidRDefault="00F9150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基金合同生效日为2025年6月24日，基金合同生效日至报告期期末，本基金运作时间未满一年。本基金建仓期为自基金合同生效日起的6个月。截至建仓期结束，本基金各项资产配置比例符合基金合同及招募说明书有关投资比例的约定。</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5" w:name="_Toc238820586"/>
      <w:r>
        <w:rPr>
          <w:rFonts w:ascii="Times New Roman" w:hAnsi="Times New Roman"/>
          <w:sz w:val="30"/>
        </w:rPr>
        <w:lastRenderedPageBreak/>
        <w:t>十二、基金的财产</w:t>
      </w:r>
      <w:bookmarkEnd w:id="15"/>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6" w:name="_Toc238820587"/>
      <w:r>
        <w:rPr>
          <w:rFonts w:ascii="Times New Roman" w:hAnsi="Times New Roman"/>
          <w:sz w:val="30"/>
        </w:rPr>
        <w:lastRenderedPageBreak/>
        <w:t>十三、基金资产的估值</w:t>
      </w:r>
      <w:bookmarkEnd w:id="16"/>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基金所拥有的股票、债券、资产支持证券、股指期货和其他投资等持续以公允价值计量的金融资产及负债。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1、交易所上市的有价证券（包括股票等，另有规定的除外），以其估值日在证</w:t>
      </w:r>
      <w:r>
        <w:rPr>
          <w:rFonts w:ascii="宋体" w:hAnsi="宋体"/>
          <w:sz w:val="24"/>
        </w:rPr>
        <w:lastRenderedPageBreak/>
        <w:t>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8、同一证券同时在两个或两个以上市场交易的，按证券所处的市场分别估值。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9、估值计算中涉及港币对人民币汇率的，将依据下列信息提供机构所提供的汇率为基准：当日中国人民银行或其授权机构公布的人民币与港币的中间价。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10、对于因税收规定调整或其他原因导致本基金实际交纳税金与估算的应交税金有差异的，本基金将在相关税金调整日或实际支付日进行相应的会计处理。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11、本基金投资存托凭证的估值核算依照境内上市交易的股票执行。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13、当发生大额申购或赎回情形时，基金管理人可以采用摆动定价机制，以确保基金估值的公平性。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14、相关法律法规以及监管部门有强制规定的，从其规定。如有新增事项，按国家最新规定估值。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w:t>
      </w:r>
      <w:r>
        <w:rPr>
          <w:rFonts w:ascii="宋体" w:hAnsi="宋体"/>
          <w:sz w:val="24"/>
        </w:rPr>
        <w:lastRenderedPageBreak/>
        <w:t>由基金管理人依据基金合同和相关法律法规的规定对外公布。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w:t>
      </w:r>
      <w:r>
        <w:rPr>
          <w:rFonts w:ascii="宋体" w:hAnsi="宋体"/>
          <w:sz w:val="24"/>
        </w:rPr>
        <w:lastRenderedPageBreak/>
        <w:t>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（八）基金净值的确认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本基金在每个工作日计算基金资产净值及各类基金份额净值时，将统一按前一日基金资产净值的1.20%的年费率计算管理费，投资者实际承担的管理费将依据基金合同“第十五部分 基金费用与税收”的约定计算和收取。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1、基金管理人或基金托管人按估值方法的第12项进行估值时，所造成的误差不作为基金资产估值错误处理。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7" w:name="_Toc238820588"/>
      <w:r>
        <w:rPr>
          <w:rFonts w:ascii="Times New Roman" w:hAnsi="Times New Roman"/>
          <w:sz w:val="30"/>
        </w:rPr>
        <w:lastRenderedPageBreak/>
        <w:t>十四、基金收益与分配</w:t>
      </w:r>
      <w:bookmarkEnd w:id="17"/>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3、本基金收益分配方式为现金分红；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基金合同的约定以及对基金份额持有人利益无实质性不利影响的前提下，基金管理人可在与基金托管人协商一致，并按照监管部门要求履行适当程序后对基金收益分配原则进行调整，不需召开基金份额持有人大会，但应于变更实施日前在规定媒介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（七）实施侧袋机制期间的收益分配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8" w:name="_Toc238820589"/>
      <w:r>
        <w:rPr>
          <w:rFonts w:ascii="Times New Roman" w:hAnsi="Times New Roman"/>
          <w:sz w:val="30"/>
        </w:rPr>
        <w:lastRenderedPageBreak/>
        <w:t>十五、基金的费用与税收</w:t>
      </w:r>
      <w:bookmarkEnd w:id="18"/>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1、基金管理人的管理费（包含固定管理费、或有管理费和超额管理费）；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每一基金份额的持有期限与持有期间年化收益率，在赎回基金份额或基金合同终止的情形发生时确定该笔基金份额对应的管理费。当投资者赎回基金份额或基金合同终止的情形发生时，持有期限不足一年（即365天，下同），则按1.20%年费率收取管理费；持有期限达到一年及以上，则根据持有期间年化收益率分为以下三种情况，分别确定对应的管理费率档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持有期间相对业绩比较基准的年化超额收益率（扣除超额管理费后）超过6%且持有收益率（扣除超额管理费后）为正，按1.50%年费率确认管理费；若持有期间的年化超额收益率在-3%及以下，按0.60%年费率确认管理费；其他情形按1.20%年费率确认管理费。</w:t>
      </w:r>
    </w:p>
    <w:tbl>
      <w:tblPr>
        <w:tblW w:w="5000" w:type="pct"/>
        <w:tblCellMar>
          <w:left w:w="0" w:type="dxa"/>
          <w:right w:w="0" w:type="dxa"/>
        </w:tblCellMar>
        <w:tblLook w:val="0000" w:firstRow="0" w:lastRow="0" w:firstColumn="0" w:lastColumn="0" w:noHBand="0" w:noVBand="0"/>
      </w:tblPr>
      <w:tblGrid>
        <w:gridCol w:w="2167"/>
        <w:gridCol w:w="6503"/>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持有期间年化收益率（</w:t>
            </w:r>
            <w:r>
              <w:rPr>
                <w:rFonts w:ascii="Times New Roman" w:hAnsi="Times New Roman"/>
                <w:color w:val="000000"/>
                <w:kern w:val="0"/>
                <w:sz w:val="25"/>
                <w:szCs w:val="24"/>
              </w:rPr>
              <w:t>R</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管理费率（年费率）</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r>
              <w:rPr>
                <w:rFonts w:ascii="Times New Roman" w:hAnsi="Times New Roman"/>
                <w:color w:val="000000"/>
                <w:kern w:val="0"/>
                <w:sz w:val="25"/>
                <w:szCs w:val="24"/>
              </w:rPr>
              <w:t>＞</w:t>
            </w:r>
            <w:r>
              <w:rPr>
                <w:rFonts w:ascii="Times New Roman" w:hAnsi="Times New Roman"/>
                <w:color w:val="000000"/>
                <w:kern w:val="0"/>
                <w:sz w:val="25"/>
                <w:szCs w:val="24"/>
              </w:rPr>
              <w:t>Rb+6%</w:t>
            </w:r>
            <w:r>
              <w:rPr>
                <w:rFonts w:ascii="Times New Roman" w:hAnsi="Times New Roman"/>
                <w:color w:val="000000"/>
                <w:kern w:val="0"/>
                <w:sz w:val="25"/>
                <w:szCs w:val="24"/>
              </w:rPr>
              <w:t>，</w:t>
            </w:r>
            <w:r>
              <w:rPr>
                <w:rFonts w:ascii="Times New Roman" w:hAnsi="Times New Roman"/>
                <w:color w:val="000000"/>
                <w:kern w:val="0"/>
                <w:sz w:val="25"/>
                <w:szCs w:val="24"/>
              </w:rPr>
              <w:t>R</w:t>
            </w:r>
            <w:r>
              <w:rPr>
                <w:rFonts w:ascii="Times New Roman" w:hAnsi="Times New Roman"/>
                <w:color w:val="000000"/>
                <w:kern w:val="0"/>
                <w:sz w:val="25"/>
                <w:szCs w:val="24"/>
              </w:rPr>
              <w:t>＞</w:t>
            </w:r>
            <w:r>
              <w:rPr>
                <w:rFonts w:ascii="Times New Roman" w:hAnsi="Times New Roman"/>
                <w:color w:val="000000"/>
                <w:kern w:val="0"/>
                <w:sz w:val="25"/>
                <w:szCs w:val="24"/>
              </w:rPr>
              <w:t>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1.50%/</w:t>
            </w:r>
            <w:r>
              <w:rPr>
                <w:rFonts w:ascii="Times New Roman" w:hAnsi="Times New Roman"/>
                <w:color w:val="000000"/>
                <w:kern w:val="0"/>
                <w:sz w:val="25"/>
                <w:szCs w:val="24"/>
              </w:rPr>
              <w:t>年</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R≤Rb-3%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r>
              <w:rPr>
                <w:rFonts w:ascii="Times New Roman" w:hAnsi="Times New Roman"/>
                <w:color w:val="000000"/>
                <w:kern w:val="0"/>
                <w:sz w:val="25"/>
                <w:szCs w:val="24"/>
              </w:rPr>
              <w:t>年</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其他情形</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1.20%/</w:t>
            </w:r>
            <w:r>
              <w:rPr>
                <w:rFonts w:ascii="Times New Roman" w:hAnsi="Times New Roman"/>
                <w:color w:val="000000"/>
                <w:kern w:val="0"/>
                <w:sz w:val="25"/>
                <w:szCs w:val="24"/>
              </w:rPr>
              <w:t>年</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注：①R为该笔基金份额的年化收益率，Rb为本基金业绩比较基准同期年化收益率。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特别的，当持有期限达到一年及以上，R＞Rb+6%且R＞0的情形下，若拟扣除超额管理费后的年化收益率小于等于Rb+6%，或小于等于0时，仍按1.20%年费率收取该笔基金份额的管理费，以使得该笔基金份额在扣除超额管理费后的年化收益率仍需满足本基金收取超额管理费的标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具体而言，本基金的管理费包含固定管理费、或有管理费和超额管理费，按以下方式计算和确认。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1）固定管理费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固定管理费按前一日基金资产净值的0.60%年费率每日计提。固定管理费的计算方法如下：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H1＝E×0.60%÷当年天数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H1为每日应计提的固定管理费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固定管理费每日计提，逐日累计至每个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2）或有管理费和超额管理费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或有管理费按前一日基金资产净值的0.60%年费率每日计提。或有管理费的计算方法如下：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H2＝E×0.60%÷当年天数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H2为每日应计提的或有管理费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或基金合同终止的情形发生时，若该笔基金份额持有天数达到或超过365天，且该笔基金份额的持有收益率R符合下表“情形一”的收取情形，或有管理费为0，则该笔基金份额持有期内计提的或有管理费将全额随赎回款（或清算款）一并返还给投资者；在其他情形下，该笔基金份额持有期内计提的或有管理费应确认为应由管理人收取的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本基金每日预估计算并记录每笔基金份额的超额管理费，基金超额管理费的预估计算方法如下：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H3＝E×0.30%÷当年天数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H3为每日预估计算的基金超额管理费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笔基金份额的超额管理费每日预估计算，但不从基金资产中实际计提，逐日累计。投资者赎回基金份额或基金合同终止的情形发生时，当且仅当该笔基金份额持有天数达到或超过365天，且该笔基金份额的年化收益率（R）符合下表“情形三”的收取情形，将从该笔基金份额的赎回款（或清算款）中扣除0.30%年费率的超额管理费，并随已计提的或有管理费一同确认为应由管理人收取的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当投资者赎回基金份额或基金合同终止的情形发生时，本基金根据以下三种情形确认应实际收取的或有管理费和超额管理费：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收取情形</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年化收益率（</w:t>
            </w:r>
            <w:r>
              <w:rPr>
                <w:rFonts w:ascii="Times New Roman" w:hAnsi="Times New Roman"/>
                <w:color w:val="000000"/>
                <w:kern w:val="0"/>
                <w:sz w:val="25"/>
                <w:szCs w:val="24"/>
              </w:rPr>
              <w:t>R</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或有管理费（年费率）</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超额管理费（年费率）</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情形一</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R≤Rb-3%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情形二</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其他情形</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情形三</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r>
              <w:rPr>
                <w:rFonts w:ascii="Times New Roman" w:hAnsi="Times New Roman"/>
                <w:color w:val="000000"/>
                <w:kern w:val="0"/>
                <w:sz w:val="25"/>
                <w:szCs w:val="24"/>
              </w:rPr>
              <w:t>＞</w:t>
            </w:r>
            <w:r>
              <w:rPr>
                <w:rFonts w:ascii="Times New Roman" w:hAnsi="Times New Roman"/>
                <w:color w:val="000000"/>
                <w:kern w:val="0"/>
                <w:sz w:val="25"/>
                <w:szCs w:val="24"/>
              </w:rPr>
              <w:t>Rb+6%</w:t>
            </w:r>
            <w:r>
              <w:rPr>
                <w:rFonts w:ascii="Times New Roman" w:hAnsi="Times New Roman"/>
                <w:color w:val="000000"/>
                <w:kern w:val="0"/>
                <w:sz w:val="25"/>
                <w:szCs w:val="24"/>
              </w:rPr>
              <w:t>，</w:t>
            </w:r>
            <w:r>
              <w:rPr>
                <w:rFonts w:ascii="Times New Roman" w:hAnsi="Times New Roman"/>
                <w:color w:val="000000"/>
                <w:kern w:val="0"/>
                <w:sz w:val="25"/>
                <w:szCs w:val="24"/>
              </w:rPr>
              <w:t>R</w:t>
            </w:r>
            <w:r>
              <w:rPr>
                <w:rFonts w:ascii="Times New Roman" w:hAnsi="Times New Roman"/>
                <w:color w:val="000000"/>
                <w:kern w:val="0"/>
                <w:sz w:val="25"/>
                <w:szCs w:val="24"/>
              </w:rPr>
              <w:t>＞</w:t>
            </w:r>
            <w:r>
              <w:rPr>
                <w:rFonts w:ascii="Times New Roman" w:hAnsi="Times New Roman"/>
                <w:color w:val="000000"/>
                <w:kern w:val="0"/>
                <w:sz w:val="25"/>
                <w:szCs w:val="24"/>
              </w:rPr>
              <w:t>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0.30%</w:t>
            </w:r>
          </w:p>
        </w:tc>
      </w:tr>
    </w:tbl>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情形三”，若拟扣除超额管理费后的年化收益率小于等于Rb+6%，或小于等于0时，仍按1.20%年费率收取该笔基金份额的管理费，以使得该笔基金份额在扣除超额管理费后的年化收益率仍需满足本基金收取超额管理费的标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每笔基金份额的年化收益率（R）计算方法如下：</w:t>
      </w:r>
    </w:p>
    <w:p w:rsidR="008D17AE" w:rsidRDefault="00F9150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153pt;height:42pt">
            <v:imagedata r:id="rId17" o:title="1521256610242020828"/>
          </v:shape>
        </w:pic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拟扣除超额管理费后的年化收益率（R*）的计算方法如下：</w:t>
      </w:r>
    </w:p>
    <w:p w:rsidR="008D17AE" w:rsidRDefault="00F9150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230.25pt;height:42pt">
            <v:imagedata r:id="rId18" o:title="1521256610242020828"/>
          </v:shape>
        </w:pic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R为该笔基金份额的年化收益率；Rb为本基金业绩比较基准同期年化收益率；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A为该笔基金份额赎回日或基金合同终止情形发生日的基金份额累计净值；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B为该笔基金份额认购/申购日的基金份额累计净值，其中份额认购日的基金份额（累计）净值为1.00元；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C为该笔基金份额认购/申购日的基金份额净值，其中份额认购日的基金份额净</w:t>
      </w:r>
      <w:r>
        <w:rPr>
          <w:rFonts w:ascii="宋体" w:hAnsi="宋体"/>
          <w:sz w:val="24"/>
        </w:rPr>
        <w:lastRenderedPageBreak/>
        <w:t>值为1.00元；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D为基金合同生效日（针对募集期内认购的基金份额）或该笔基金份额申购确认日与赎回确认日或基金合同终止情形发生日下一工作日的间隔天数；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F为该笔基金份额的份额数；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MC为该笔基金份额持有期内累计计算的超额管理费。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已经确认为管理人收入的或有管理费和超额管理费，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基金合同的约定的情况下，基金管理人可根据基金实际运作情况和市场环境变化，经履行适当程序后，对本基金的管理费（含固定管理费、或有管理费和超额管理费）计提标准或收取方式进行调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w:t>
      </w:r>
      <w:r>
        <w:rPr>
          <w:rFonts w:ascii="宋体" w:hAnsi="宋体"/>
          <w:sz w:val="24"/>
        </w:rPr>
        <w:lastRenderedPageBreak/>
        <w:t>自动于次月首日起5个工作日内从基金财产中一次性支付给基金管理人，由基金管理人代付给销售机构，若遇法定节假日、休息日或不可抗力致使无法按时支付的，支付日期顺延。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包含固定管理费、或有管理费和超额管理费），详见本招募说明书“侧袋机制”部分的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w:t>
      </w:r>
      <w:r>
        <w:rPr>
          <w:rFonts w:ascii="宋体" w:hAnsi="宋体"/>
          <w:sz w:val="24"/>
        </w:rPr>
        <w:lastRenderedPageBreak/>
        <w:t>行。基金财产投资的相关税收，由基金份额持有人承担，基金管理人或者其他扣缴义务人按照国家有关税收征收的规定代扣代缴。</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19" w:name="_Toc238820590"/>
      <w:r>
        <w:rPr>
          <w:rFonts w:ascii="Times New Roman" w:hAnsi="Times New Roman"/>
          <w:sz w:val="30"/>
        </w:rPr>
        <w:lastRenderedPageBreak/>
        <w:t>十六、基金的会计与审计</w:t>
      </w:r>
      <w:bookmarkEnd w:id="19"/>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7、基金托管人每月与基金管理人就基金的会计核算、报表编制等进行核对并以书面方式或双方认可的其他方式确认。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0" w:name="_Toc238820591"/>
      <w:r>
        <w:rPr>
          <w:rFonts w:ascii="Times New Roman" w:hAnsi="Times New Roman"/>
          <w:sz w:val="30"/>
        </w:rPr>
        <w:lastRenderedPageBreak/>
        <w:t>十七、基金的信息披露</w:t>
      </w:r>
      <w:bookmarkEnd w:id="20"/>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4、基金净值信息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基金管理人应当在中期报告和年度报告中披露固定管理费、或有管理费和超额管理费收取情况。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w:t>
      </w:r>
      <w:r>
        <w:rPr>
          <w:rFonts w:ascii="宋体" w:hAnsi="宋体"/>
          <w:sz w:val="24"/>
        </w:rPr>
        <w:lastRenderedPageBreak/>
        <w:t>份额变化情况及本基金的特有风险，中国证监会认定的特殊情形除外。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w:t>
      </w:r>
      <w:r>
        <w:rPr>
          <w:rFonts w:ascii="宋体" w:hAnsi="宋体"/>
          <w:sz w:val="24"/>
        </w:rPr>
        <w:lastRenderedPageBreak/>
        <w:t>或者从事其他重大关联交易事项，但中国证监会另有规定的除外；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（15）管理费（包含固定管理费、或有管理费和超额管理费）、托管费、销售服务费、申购费、赎回费等费用计提标准、计提方式和费率发生变更；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（25）基金信息披露义务人认为可能对基金份额持有人权益或者基金份额的价格产生重大影响的其他事项或中国证监会规定和基金合同约定的其他事项。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w:t>
      </w:r>
      <w:r>
        <w:rPr>
          <w:rFonts w:ascii="宋体" w:hAnsi="宋体"/>
          <w:sz w:val="24"/>
        </w:rPr>
        <w:lastRenderedPageBreak/>
        <w:t>保证相关报送信息的真实、准确、完整、及时。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1" w:name="_Toc238820592"/>
      <w:r>
        <w:rPr>
          <w:rFonts w:ascii="Times New Roman" w:hAnsi="Times New Roman"/>
          <w:sz w:val="30"/>
        </w:rPr>
        <w:lastRenderedPageBreak/>
        <w:t>十八、侧袋机制</w:t>
      </w:r>
      <w:bookmarkEnd w:id="21"/>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1、本基金实施侧袋机制的，管理费（包含固定管理费、或有管理费和超额管理费）、托管费等按主袋账户基金资产净值作为基数计提。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2、与侧袋账户有关的费用可从侧袋账户中列支，但应待侧袋账户资产变现后方可列支，有关费用可酌情收取或减免，但不得收取管理费（包含固定管理费、或有管理费和超额管理费）。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w:t>
      </w:r>
      <w:r>
        <w:rPr>
          <w:rFonts w:ascii="宋体" w:hAnsi="宋体"/>
          <w:sz w:val="24"/>
        </w:rPr>
        <w:lastRenderedPageBreak/>
        <w:t>和年度报告披露等发表审计意见。</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2" w:name="_Toc238820593"/>
      <w:r>
        <w:rPr>
          <w:rFonts w:ascii="Times New Roman" w:hAnsi="Times New Roman"/>
          <w:sz w:val="30"/>
        </w:rPr>
        <w:lastRenderedPageBreak/>
        <w:t>十九、风险揭示</w:t>
      </w:r>
      <w:bookmarkEnd w:id="22"/>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3、浮动管理费模式相关风险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（1）本基金的管理费由固定管理费、或有管理费和超额管理费组成，其中或有管理费和超额管理费取决于每笔基金份额的持有时长和持有期间年化收益率水平（详见基金合同“第十五部分 基金费用与税收”），因此投资者在认/申购本基金</w:t>
      </w:r>
      <w:r>
        <w:rPr>
          <w:rFonts w:ascii="宋体" w:hAnsi="宋体"/>
          <w:sz w:val="24"/>
        </w:rPr>
        <w:lastRenderedPageBreak/>
        <w:t>时无法预先确定本基金的整体管理费水平。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本基金在计算基金份额净值时，按前一日基金资产净值的1.20%年费率计算管理费，该费率可能高于或低于不同投资者最终适用的管理费率。在基金份额赎回或基金合同终止的情形发生时，基金投资者实际收到的赎回款项或清算款项的金额可能与按披露的基金份额净值计算的结果存在差异。投资者的实际赎回金额和清算资金以登记机构确认数据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（3）本基金采用浮动管理费的收费模式，不代表基金管理人对基金收益的保证。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5、投资股指期货的特定风险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6、投资资产支持证券的特定风险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w:t>
      </w:r>
      <w:r>
        <w:rPr>
          <w:rFonts w:ascii="宋体" w:hAnsi="宋体"/>
          <w:sz w:val="24"/>
        </w:rPr>
        <w:lastRenderedPageBreak/>
        <w:t>券投资，请基金份额持有人关注包括投资资产支持证券可能导致的基金净值波动在内的各项风险。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7、投资流通受限证券的特定风险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8、投资港股通标的股票的特定风险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a）香港市场实行T+0回转交易机制（即当日买入的股票，在交收前可以于当日卖出），且证券交易价格并无涨跌幅上下限的规定，因此每日涨跌幅空间相对较大，可能表现出比A股更为剧烈的股价波动；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9、投资存托凭证的特定风险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10、投资科创板股票的特定风险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（3）退市风险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3" w:name="_Toc238820594"/>
      <w:r>
        <w:rPr>
          <w:rFonts w:ascii="Times New Roman" w:hAnsi="Times New Roman"/>
          <w:sz w:val="30"/>
        </w:rPr>
        <w:lastRenderedPageBreak/>
        <w:t>二十、基金合同的变更、终止与基金财产的清算</w:t>
      </w:r>
      <w:bookmarkEnd w:id="23"/>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并扣除相应的超额管理费（如涉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4" w:name="_Toc238820595"/>
      <w:r>
        <w:rPr>
          <w:rFonts w:ascii="Times New Roman" w:hAnsi="Times New Roman"/>
          <w:sz w:val="30"/>
        </w:rPr>
        <w:lastRenderedPageBreak/>
        <w:t>二十一、基金合同内容摘要</w:t>
      </w:r>
      <w:bookmarkEnd w:id="24"/>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（3）依照《基金合同》收取基金管理费（包含固定管理费、或有管理费和超额管理费）以及法律法规规定或中国证监会批准的其他费用；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w:t>
      </w:r>
      <w:r>
        <w:rPr>
          <w:rFonts w:ascii="宋体" w:hAnsi="宋体"/>
          <w:sz w:val="24"/>
        </w:rPr>
        <w:lastRenderedPageBreak/>
        <w:t>分配基金收益；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w:t>
      </w:r>
      <w:r>
        <w:rPr>
          <w:rFonts w:ascii="宋体" w:hAnsi="宋体"/>
          <w:sz w:val="24"/>
        </w:rPr>
        <w:lastRenderedPageBreak/>
        <w:t>机关等有权机关的要求提供，或因审计、法律等外部专业顾问提供服务需要提供的情况除外；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者持有本基金基金份额的行为即视为对《基金合同》的承认和接受，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（8）返还在基金交易过程中因任何原因获得的不当得利；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（2）在法律法规规定和《基金合同》约定的范围内且对基金份额持有人利益无实质性不利影响的前提下，以下情况可由基金管理人和基金托管人协商后修改，不需召开基金份额持有人大会：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4）因法规政策调整而需要修订业绩比较基准或调整管理费（包含固定管理费、或有管理费和超额管理费）收取标准；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5）因相应的法律法规、登记机构的相关业务规则发生变动而应当对《基金合同》进行修改；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6）对《基金合同》的修改对基金份额持有人利益无实质性不利影响或修改不涉及《基金合同》当事人权利义务关系发生重大变化；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7）在法律法规允许的情况下，且在对现有基金份额持有人利益无实质性不利影响的前提下，在履行适当程序后，基金推出新业务或服务；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8）在符合法律法规及本基金合同规定、并且对基金份额持有人利益无实质性不利影响的前提下，调整本基金份额类别的设置、对基金份额分类办法及规则进行调整；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9）在不违反法律法规及对基金份额持有人利益无实质性不利影响的前提下，基金管理人、登记机构、销售机构调整有关基金认购、申购、赎回、转换、收益分配、非交易过户、转托管等业务的规则；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10）按照法律法规和《基金合同》规定不需召开基金份额持有人大会的其他情形。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w:t>
      </w:r>
      <w:r>
        <w:rPr>
          <w:rFonts w:ascii="宋体" w:hAnsi="宋体"/>
          <w:sz w:val="24"/>
        </w:rPr>
        <w:lastRenderedPageBreak/>
        <w:t>开；基金管理人决定不召集，基金托管人仍认为有必要召开的，应当由基金托管人自行召集，并自出具书面决定之日起60日内召开并告知基金管理人，基金管理人应当配合；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1）会议召集人按《基金合同》约定公布会议通知后，在2个工作日内连续公布相关提示性公告；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基金份额持有人大会的召集人发出召集会议的通知后，对原有提案的修改应当在基金份额持有人大会召开前及时公告。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基金份额持有人大会采取记名方式进行投票表决。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w:t>
      </w:r>
      <w:r>
        <w:rPr>
          <w:rFonts w:ascii="宋体" w:hAnsi="宋体"/>
          <w:sz w:val="24"/>
        </w:rPr>
        <w:lastRenderedPageBreak/>
        <w:t>一以上（含二分之一）通过；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并扣除相应的超额管理费（如涉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由败诉方承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《基金合同》受中国法律（为本基金合同之目的，不含港澳台地区法律）管辖并从其解释。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5" w:name="_Toc238820596"/>
      <w:r>
        <w:rPr>
          <w:rFonts w:ascii="Times New Roman" w:hAnsi="Times New Roman"/>
          <w:sz w:val="30"/>
        </w:rPr>
        <w:lastRenderedPageBreak/>
        <w:t>二十二、托管协议的内容摘要</w:t>
      </w:r>
      <w:bookmarkEnd w:id="25"/>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1、基金管理人：交银施罗德基金管理有限公司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 有限责任公司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2、基金托管人：上海浦东发展银行股份有限公司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办公地址：上海博成路1388号浦银中心A栋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法定代表人：张为忠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成立日期：1992年10月19日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基金托管业务资格批准机关：中国证监会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基金托管业务资格文号：证监基金字[2003]105号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批准设立机关和批准设立文号：中国人民银行银复（1992）350号文</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注册资本：人民币293.52亿元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经营期限：永久存续</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本基金的投资范围为具有良好流动性的金融工具，包括国内依法发行上市的股票（含主板、创业板、科创板及其他经中国证监会核准或注册上市的股票、存托凭</w:t>
      </w:r>
      <w:r>
        <w:rPr>
          <w:rFonts w:ascii="宋体" w:hAnsi="宋体"/>
          <w:sz w:val="24"/>
        </w:rPr>
        <w:lastRenderedPageBreak/>
        <w:t>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本基金不得投资于相关法律、法规、部门规章及《基金合同》禁止投资的投资工具。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A、按法律法规的规定及《基金合同》的约定，本基金的投资资产配置比例为：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B、根据法律法规的规定及《基金合同》的约定，本基金投资组合遵循以下投资限制：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1）股票投资（含存托凭证）占基金资产的比例为60%-95%，其中投资于港股通标的股票的比例占股票资产的0%-50%；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w:t>
      </w:r>
      <w:r>
        <w:rPr>
          <w:rFonts w:ascii="宋体" w:hAnsi="宋体"/>
          <w:sz w:val="24"/>
        </w:rPr>
        <w:lastRenderedPageBreak/>
        <w:t>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14）本基金参与股指期货交易，则：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①本基金在任何交易日日终，持有的买入股指期货合约价值，不得超过基金资产净值的10%；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③本基金在任何交易日日终，持有的卖出股指期货合约价值不得超过基金持有的股票总市值的20%；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④本基金所持有的股票市值和买入、卖出股指期货合约价值，合计（轧差计算）应当符合基金合同关于股票投资比例的有关约定；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⑤本基金在任何交易日内交易（不包括平仓）的股指期货合约的成交金额不得超过上一交易日基金资产净值的20%；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法律法规或监管部门取消或者变更上述限制，如适用于本基金，基金管理人在履行适当程序后，则本基金投资不再受相关限制或以变更后的规定为准。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w:t>
      </w:r>
      <w:r>
        <w:rPr>
          <w:rFonts w:ascii="宋体" w:hAnsi="宋体"/>
          <w:sz w:val="24"/>
        </w:rPr>
        <w:lastRenderedPageBreak/>
        <w:t>投资禁止行为进行监督：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如法律、行政法规或监管部门取消或变更上述禁止性规定，如适用于本基金，基金管理人在履行适当程序后，本基金可不受上述规定的限制或以变更后的规定为准。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基金合同》有关于基金从事关联交易的规定，基金管理人和基金托管人事先相互提供关联方清单及关联关系（以下称“关联交易名单”）。双方有责任确保向对方提供的关联交易名单的真实性、准确性、完整性，并负责及时将更新后的名单发送给对方。名单变更后双方应及时发送对方，经对方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（5）基金托管人依据有关法律法规的规定和《基金合同》的约定对基金管理人参与银行间债券市场进行监督。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基金托管人根据基金管理人提供的银行间债券市场交易对手名单进行监督。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（6）基金托管人依据有关法律法规的规定和《基金合同》的约定，对基金银行存款业务进行监督。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如果基金托管人在运作过程中遵循有关法律法规的规定和《基金合同》的约定监督流程，则对于由于存款银行信用风险引起的损失，不承担赔偿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如下所指“流通受限证券”与本协议以及基金合同所指“流动性受限资产”定义存在不同。就流动性受限资产定义，请参照基金合同的“第二部分 释义”部分。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相应责任。如因基金管理</w:t>
      </w:r>
      <w:r>
        <w:rPr>
          <w:rFonts w:ascii="宋体" w:hAnsi="宋体"/>
          <w:sz w:val="24"/>
        </w:rPr>
        <w:lastRenderedPageBreak/>
        <w:t>人原因导致本基金出现损失的，基金托管人不承担相应责任。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投资非公开发行股票后按照相关法律法规规定，在中国证监会规定媒介披露所投资非公开发行股票的名称、数量、总成本、账面价值，以及总成本和账面价值占基金资产净值的比例、锁定期等信息。</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非公开发行股票，基金管理人应至少于执行投资指令之前两个工作日将有关资料书面提交基金托管人，并保证向基金托管人提供的有关资料真实、准确、完整。有关资料如有调整，基金管理人应及时提供调整后的资料。上述书面资料包括但不限于：</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①中国证监会批准发行非公开发行股票的批准文件。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②有关非公开发行股票的发行数量、发行价格、锁定期等发行资料。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③基金拟认购的数量、价格、总成本、账面价值。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④该基金投资流通受限证券的投资额度和投资比例控制。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相应责任，并有权报告中国证监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如基金管理人和基金托管人无法就上述问题达成一致，应及时上报中国证监会请求解决。基金托管人履行了本协议规定的监督职责后，不承担相应责任。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⑥相关法律法规对基金投资流通受限证券有新规定的，从其规定。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（8）基金托管人对基金投资中期票据的监督责任仅限于依据本协议相关规定</w:t>
      </w:r>
      <w:r>
        <w:rPr>
          <w:rFonts w:ascii="宋体" w:hAnsi="宋体"/>
          <w:sz w:val="24"/>
        </w:rPr>
        <w:lastRenderedPageBreak/>
        <w:t>对投资比例和投资限制进行事后监督；除此外，无其它监督责任。如发现异常情况，应及时以书面形式通知基金管理人。基金管理人应积极配合和协助基金托管人进行监督和核查。基金因投资中期票据导致的信用风险、流动性风险，基金托管人不承担相应责任。如因基金管理人原因导致基金出现损失的，基金托管人不承担相应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依照法律法规、《基金合同》和本托管协议对基金业务的监督和核查，对基金托管人发出的书面提示，必须在规定时间内答复基金托管人并改正，或就基金托管人的合理疑义进行解释或举证，对基金托管人按照法律法规、《基金合同》和本托管协议的要求需向中国证监会报送基金监督报告的，基金管理人应积极配合提供相关数据资料和制度等。</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是否安全保管基金财产、是否分别开设基金财产的资金账户、证券账户、期货结算账户及投资所需其他账户、是否复核基金管理人计算的基金资产净值和各类基金份额净值、是否根据基金管理人指令办理清算交收、进行相关信息披露和监督基金投资运作等行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按本协议规定安全保管托管财产。未经基金管理人的指令，不得自行运用、处分、分配基金的任何财产（基金托管人主动扣收的汇划费除外）。基金托管人不对处于自身实际控制之外的账户及财产承担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（3）基金托管人按照规定为托管的基金财产开设资金账户、证券账户、期货</w:t>
      </w:r>
      <w:r>
        <w:rPr>
          <w:rFonts w:ascii="宋体" w:hAnsi="宋体"/>
          <w:sz w:val="24"/>
        </w:rPr>
        <w:lastRenderedPageBreak/>
        <w:t>结算账户及投资所需其他账户。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内销售机构按销售与服务协议的约定，将认购资金划入基金管理人在具有托管资格的商业银行开设的“交银施罗德基金管理有限公司基金认购专户”。该账户由基金管理人开立并管理。基金募集期满或基金管理人宣布停止募集时，募集的基金份额总额、基金募集金额、基金份额持有人人数符合《基金法》、《运作办法》等有关规定后，由基金管理人聘请符合《中华人民共和国证券法》规定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3、基金资产托管专户的开立和管理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的名义在其营业机构开设资产托管专户（亦称托管账户），并根据基金管理人合法合规的有效指令办理资金收付。基金管理人应根据法律法规及基金托管人的相关要求，提供开户所需的资料并提供其他必要协助。本基金的资产托管专户的预留印鉴的印章由基金托管人刻制、保管和使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本基金的一切货币收支活动，均需通过基金的资产托管专户进行。基金的资产托管专户的开立和使用，限于满足开展本基金业务的需要。除因本基金业务需要，</w:t>
      </w:r>
      <w:r>
        <w:rPr>
          <w:rFonts w:ascii="宋体" w:hAnsi="宋体"/>
          <w:sz w:val="24"/>
        </w:rPr>
        <w:lastRenderedPageBreak/>
        <w:t>基金托管人和基金管理人不得假借本基金的名义开立其他任何银行账户；亦不得使用以基金名义开立的银行账户进行本基金业务以外的活动。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资产托管专户的管理应符合《人民币银行结算账户管理办法》、《人民币利率管理规定》、《支付结算办法》以及银行业监督管理机构的其他有关规定。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4、基金证券账户与结算备付金账户的开设和管理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基金托管人以基金托管人和本基金联名的方式在中国证券登记结算有限责任公司上海分公司/深圳分公司开立专门的证券账户。</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基金证券账户的开立和原始开户材料的保管由基金托管人负责，账户资产的管理和运用由基金管理人负责。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5、银行间市场债券托管和资金结算专户的开立和管理及市场准入备案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（1）因业务发展而需要开立的其它账户，可以根据《基金合同》或有关法律法规的规定，经基金管理人和基金托管人协商一致后，由基金托管人负责为基金开立。新账户按有关规则使用并管理。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w:t>
      </w:r>
      <w:r>
        <w:rPr>
          <w:rFonts w:ascii="宋体" w:hAnsi="宋体"/>
          <w:sz w:val="24"/>
        </w:rPr>
        <w:lastRenderedPageBreak/>
        <w:t>办理。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7、基金投资银行存款账户的开立和管理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基金投资银行定期存款，基金管理人与基金托管人应比照相关规定，就本基金投资银行存款业务签订书面协议。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存款账户必须以基金名义开立，账户名称为基金名称，存款账户开户文件上加盖预留印鉴及基金管理人公章。</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为防范特殊情况下的流动性风险，定期存款协议中应当约定提前支取条款。</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8、基金财产投资的有关实物证券、银行定期存款存单等有价凭证的保管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等有价凭证在基金托管人保管期间的损坏、灭失，由此产生的责任应由基金托管人承担。基金托管人对基金托管人以外机构实际有效控制或保管的实物证券、银行定期存款存单对应的财产不承担保管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9、与基金财产有关的重大合同的保管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30个工作日内通过专人送达、挂号邮寄等安全方式将合同原件送达基金托管人处。合同原件应存放于基金管理人和基金托管人各自文件保管部门，保管期限不低于法律法规规定的最低期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对于无法取得二份以上的正本的，基金管理人应向基金托管人提供与合同原件核对一致的并加盖基金管理人公章的合同传真件或复印件，未经双方协商一致，合同原件不得转移。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1、基金资产净值的计算、复核的时间和程序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对基金资产估值，但基金管理人根据法律法规或基金合同的规定暂停估值时除外。估值原则应符合《基金合同》、《证券投资基金会计核算业务指引》及其他法律、法规的规定。基金管理人应于每个工作日交易结束后计算当日的各类基金份额净值和基金资产净值并以双方认可的方式发送给基金托管人。基金托管人对净值计算结果复核后以双方认可的方式发送给基金管理人，由基金管理人按约定对外公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净值信息，基金托管人复核、审查基金管理人计算的基金净值信息。本基金的会计责任方是基金管理人，就与本基金有关的会计问题，如经相关各方在平等基础上充分讨论后，仍无法达成一致的意见，按照基金管理人对基金净值信息的计算结果对外予以公布。法律法规以及监管部门有强制规定的，从其规定。如有新增事项，按国家最新规定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估值原则应符合《基金合同》、《证券投资基金会计核算业务指引》及其他法律法规的规定的约定。</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当相关法律法规或《基金合同》规定的估值方法不能客观反映基金财产公允价值时，基金管理人可根据具体情况，并与基金托管人商定后，按最能反映公允价值的价格估值。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3、实施侧袋机制期间的基金资产估值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4、估值错误处理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计算出现错误时，基金管理人应当立即予以纠正，通报基金托管人，并采取合理的措施防止损失进一步扩大；错误偏差达到该类基金份额净</w:t>
      </w:r>
      <w:r>
        <w:rPr>
          <w:rFonts w:ascii="宋体" w:hAnsi="宋体"/>
          <w:sz w:val="24"/>
        </w:rPr>
        <w:lastRenderedPageBreak/>
        <w:t>值的0.25%时，基金管理人应当通报基金托管人并报中国证监会备案；错误偏差达到该类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4）由于基金管理人提供的信息错误（包括但不限于基金申购或赎回金额等），导致基金份额净值计算错误而引起的基金份额持有人和基金财产的损失，由基金管理人负责赔付。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期货交易所、证券经纪机构、期货公司及登记结算公司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（5）前述内容如法律法规或者监管部门另有规定的，从其规定。如果行业另有通行做法，双方当事人应本着平等和保护基金份额持有人利益的原则进行协商。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5、暂停估值的情形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法律法规、中国证监会和《基金合同》认定的其他情形。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7、基金定期报告、基金招募说明书的编制和复核</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规定网站上；基金招募说明书其他信息发生变更的，基金管理人至少每年更新一次。基金管理人在季度结束之日起15个工作日内完成季度报告编制并公告；在上半年结束之日起两个月内完成中期报告编制并公告；在每年结束之日起三个月内完成年度报告编制并公告。基金合同生效不足2个月的，基金管理人可以不编制当期季度报告、中期报告或者年度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基金管理人在每月结束后5个工作日内完成月度报告，在月度报告完成当日，对报告加盖公章后，以加密传真方式将有关报告提供基金托管人复核；基金托管人</w:t>
      </w:r>
      <w:r>
        <w:rPr>
          <w:rFonts w:ascii="宋体" w:hAnsi="宋体"/>
          <w:sz w:val="24"/>
        </w:rPr>
        <w:lastRenderedPageBreak/>
        <w:t>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期限。</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编制中期报告和年度报告前，基金管理人应将每年6月30日、12月31日的基金持有人名册送交基金托管人，文件方式可以采用电子或文档的形式并且保证其的真实、准确、完整。基金托管人应妥善保管，不得将持有人名册用于基金托管业务以外的其他用途。</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1、本协议适用中华人民共和国法律（为本协议之目的，在此不包括香港、澳</w:t>
      </w:r>
      <w:r>
        <w:rPr>
          <w:rFonts w:ascii="宋体" w:hAnsi="宋体"/>
          <w:sz w:val="24"/>
        </w:rPr>
        <w:lastRenderedPageBreak/>
        <w:t>门特别行政区和台湾地区法律），并从其解释。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双方当事人同意，因本协议而产生的或与本协议有关的一切争议，除经友好协商可以解决的，任何一方均有权将争议提交上海国际经济贸易仲裁委员会，根据该会届时有效的仲裁规则进行仲裁，仲裁的地点在上海市，仲裁裁决是终局性的并对双方均有约束力，除非仲裁裁决另有规定，仲裁费用由败诉方承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争议处理期间，双方当事人应恪守基金管理人和基金托管人职责，继续忠实、勤勉、尽责地履行《基金合同》和本托管协议规定的义务，维护基金份额持有人的合法权益。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本协议双方当事人经协商一致，可以对协议的内容进行变更。变更后的托管协议，其内容不得与《基金合同》的规定有任何冲突，基金托管协议的变更按规定报中国证监会备案。</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（2）在基金财产清算小组接管基金财产之前，基金管理人和基金托管人应按照《基金合同》和本托管协议的规定继续履行保护基金财产安全的职责。</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（4）基金财产清算小组职责：基金财产清算小组负责基金财产的保管、清理、估价、变现和分配。基金财产清算小组可以依法进行必要的民事活动。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（5）基金财产清算程序：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（7）基金财产按下列顺序清偿：</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3、基金财产清算的公告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4、基金财产清算账册及文件的保存</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w:t>
      </w:r>
      <w:r>
        <w:rPr>
          <w:rFonts w:ascii="宋体" w:hAnsi="宋体"/>
          <w:sz w:val="24"/>
        </w:rPr>
        <w:lastRenderedPageBreak/>
        <w:t>限。</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6" w:name="_Toc238820597"/>
      <w:r>
        <w:rPr>
          <w:rFonts w:ascii="Times New Roman" w:hAnsi="Times New Roman"/>
          <w:sz w:val="30"/>
        </w:rPr>
        <w:lastRenderedPageBreak/>
        <w:t>二十三、对基金份额持有人的服务</w:t>
      </w:r>
      <w:bookmarkEnd w:id="26"/>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转换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本基金已开通转换业务，具体实施方法请参见相关公告。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7" w:name="_Toc238820598"/>
      <w:r>
        <w:rPr>
          <w:rFonts w:ascii="Times New Roman" w:hAnsi="Times New Roman"/>
          <w:sz w:val="30"/>
        </w:rPr>
        <w:lastRenderedPageBreak/>
        <w:t>二十四、其他应披露事项</w:t>
      </w:r>
      <w:bookmarkEnd w:id="27"/>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交银施罗德瑞安混合型发起式证券投资基金基金合同摘要</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交银施罗德瑞安混合型证券投资基金基金合同及招募说明书提示性公告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2025-05-24</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2025-05-27</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2025-06-03</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2025-06-06</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交银施罗德基金管理有限公司关于增加交银施罗德瑞安混合型证券投资基金销售机构的公告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2025-06-09</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交银施罗德基金管理有限公司关于交银施罗德瑞安混合型证券投资基金基金合同生效公告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2025-06-25</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交银施罗德基金管理有限公司关于交银施罗德瑞安混合型证券投资基金开放日常申购、赎回、转换、定期定额投资业务的公告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2025-09-19</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2025-12-02</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D17A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交银施罗德瑞安混合型证券投资基金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D17AE" w:rsidRDefault="00E2214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8" w:name="_Toc238820599"/>
      <w:r>
        <w:rPr>
          <w:rFonts w:ascii="Times New Roman" w:hAnsi="Times New Roman"/>
          <w:sz w:val="30"/>
        </w:rPr>
        <w:lastRenderedPageBreak/>
        <w:t>二十五、招募说明书的存放及查阅方式</w:t>
      </w:r>
      <w:bookmarkEnd w:id="28"/>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2214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D17AE" w:rsidRDefault="00E2214A">
      <w:pPr>
        <w:pStyle w:val="1"/>
        <w:snapToGrid w:val="0"/>
        <w:spacing w:beforeLines="0" w:before="240" w:after="240"/>
        <w:rPr>
          <w:rFonts w:ascii="宋体" w:hAnsi="宋体"/>
          <w:szCs w:val="30"/>
        </w:rPr>
      </w:pPr>
      <w:bookmarkStart w:id="29" w:name="_Toc238820600"/>
      <w:r>
        <w:rPr>
          <w:rFonts w:ascii="Times New Roman" w:hAnsi="Times New Roman"/>
          <w:sz w:val="30"/>
        </w:rPr>
        <w:lastRenderedPageBreak/>
        <w:t>二十六、备查文件</w:t>
      </w:r>
      <w:bookmarkEnd w:id="29"/>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（一）中国证监会准予交银施罗德瑞安混合型证券投资基金募集注册的文件</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（二）《交银施罗德瑞安混合型证券投资基金基金合同》</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（三）《交银施罗德瑞安混合型证券投资基金托管协议》</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8D17AE" w:rsidRDefault="00E2214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（六）关于申请募集注册交银施罗德瑞安混合型证券投资基金的法律意见书</w:t>
      </w:r>
    </w:p>
    <w:sectPr w:rsidR="008D17AE">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6D6" w:rsidRDefault="00E2214A">
      <w:r>
        <w:separator/>
      </w:r>
    </w:p>
  </w:endnote>
  <w:endnote w:type="continuationSeparator" w:id="0">
    <w:p w:rsidR="005C76D6" w:rsidRDefault="00E22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7AE" w:rsidRDefault="008D17A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7AE" w:rsidRDefault="00F9150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8D17AE" w:rsidRDefault="00E2214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9150B">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7AE" w:rsidRDefault="008D17A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7AE" w:rsidRDefault="00F9150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8D17AE" w:rsidRDefault="00E2214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9150B">
                  <w:rPr>
                    <w:rFonts w:ascii="Times New Roman" w:hAnsi="Times New Roman"/>
                    <w:noProof/>
                    <w:kern w:val="0"/>
                    <w:sz w:val="18"/>
                    <w:szCs w:val="18"/>
                  </w:rPr>
                  <w:t>148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6D6" w:rsidRDefault="00E2214A">
      <w:r>
        <w:separator/>
      </w:r>
    </w:p>
  </w:footnote>
  <w:footnote w:type="continuationSeparator" w:id="0">
    <w:p w:rsidR="005C76D6" w:rsidRDefault="00E221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7AE" w:rsidRDefault="008D17A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7AE" w:rsidRDefault="00E2214A">
    <w:pPr>
      <w:pStyle w:val="a3"/>
      <w:jc w:val="right"/>
      <w:rPr>
        <w:rFonts w:ascii="宋体" w:hAnsi="宋体"/>
      </w:rPr>
    </w:pPr>
    <w:r>
      <w:rPr>
        <w:rFonts w:ascii="宋体" w:hAnsi="宋体" w:hint="eastAsia"/>
      </w:rPr>
      <w:t>交银施罗德瑞安混合型证券投资基金招募说明书更新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7AE" w:rsidRDefault="008D17AE">
    <w:pPr>
      <w:pStyle w:val="10"/>
      <w:jc w:val="right"/>
    </w:pPr>
  </w:p>
  <w:p w:rsidR="008D17AE" w:rsidRDefault="008D17AE">
    <w:pPr>
      <w:pStyle w:val="10"/>
      <w:jc w:val="right"/>
    </w:pPr>
  </w:p>
  <w:p w:rsidR="008D17AE" w:rsidRDefault="008D17AE">
    <w:pPr>
      <w:pStyle w:val="a3"/>
      <w:jc w:val="right"/>
    </w:pPr>
  </w:p>
  <w:p w:rsidR="008D17AE" w:rsidRDefault="00E2214A">
    <w:pPr>
      <w:pStyle w:val="a3"/>
      <w:jc w:val="right"/>
      <w:rPr>
        <w:rFonts w:ascii="宋体" w:hAnsi="宋体"/>
      </w:rPr>
    </w:pPr>
    <w:r>
      <w:rPr>
        <w:rFonts w:ascii="宋体" w:hAnsi="宋体" w:hint="eastAsia"/>
      </w:rPr>
      <w:t>交银施罗德瑞安混合型证券投资基金招募说明书更新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7AE" w:rsidRDefault="008D17AE">
    <w:pPr>
      <w:pStyle w:val="a3"/>
      <w:jc w:val="right"/>
    </w:pPr>
  </w:p>
  <w:p w:rsidR="008D17AE" w:rsidRDefault="008D17AE">
    <w:pPr>
      <w:pStyle w:val="a3"/>
      <w:jc w:val="right"/>
    </w:pPr>
  </w:p>
  <w:p w:rsidR="008D17AE" w:rsidRDefault="008D17AE">
    <w:pPr>
      <w:pStyle w:val="a3"/>
      <w:jc w:val="right"/>
    </w:pPr>
  </w:p>
  <w:p w:rsidR="008D17AE" w:rsidRDefault="00E2214A">
    <w:pPr>
      <w:pStyle w:val="a3"/>
      <w:jc w:val="right"/>
      <w:rPr>
        <w:rFonts w:ascii="宋体" w:hAnsi="宋体"/>
      </w:rPr>
    </w:pPr>
    <w:r>
      <w:rPr>
        <w:rFonts w:ascii="宋体" w:hAnsi="宋体" w:hint="eastAsia"/>
      </w:rPr>
      <w:t>交银施罗德瑞安混合型证券投资基金招募说明书更新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C76D6"/>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17AE"/>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14A"/>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50B"/>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28536EF6-6DF4-4010-A400-B3C8B30F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149</Pages>
  <Words>16077</Words>
  <Characters>91640</Characters>
  <Application>Microsoft Office Word</Application>
  <DocSecurity>0</DocSecurity>
  <Lines>763</Lines>
  <Paragraphs>215</Paragraphs>
  <ScaleCrop>false</ScaleCrop>
  <Company>Microsoft</Company>
  <LinksUpToDate>false</LinksUpToDate>
  <CharactersWithSpaces>107502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2026-08-28T06:42:00Z</dcterms:created>
  <dcterms:modified xsi:type="dcterms:W3CDTF">2026-08-28T06:42:00Z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