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CC3008">
      <w:pPr>
        <w:rPr>
          <w:sz w:val="32"/>
        </w:rPr>
      </w:pPr>
    </w:p>
    <w:p w:rsidR="00C92FC0" w:rsidRPr="00EB07BC" w:rsidRDefault="00CC3008">
      <w:pPr>
        <w:rPr>
          <w:sz w:val="32"/>
        </w:rPr>
      </w:pPr>
    </w:p>
    <w:p w:rsidR="00C92FC0" w:rsidRPr="00EB07BC" w:rsidRDefault="00CC3008">
      <w:pPr>
        <w:rPr>
          <w:sz w:val="32"/>
        </w:rPr>
      </w:pPr>
    </w:p>
    <w:p w:rsidR="00CE114E" w:rsidRDefault="00CE114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CE114E" w:rsidRDefault="00CE114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CE114E" w:rsidRDefault="00CE114E">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CE114E" w:rsidRDefault="00F35430">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交银施罗德启明混合型证券投资基金</w:t>
      </w:r>
    </w:p>
    <w:p w:rsidR="00CE114E" w:rsidRDefault="00F35430">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CE114E" w:rsidRDefault="00CE114E">
      <w:pPr>
        <w:snapToGrid w:val="0"/>
        <w:spacing w:line="360" w:lineRule="auto"/>
        <w:jc w:val="center"/>
        <w:rPr>
          <w:rFonts w:ascii="宋体" w:hAnsi="宋体"/>
          <w:b/>
          <w:sz w:val="30"/>
          <w:szCs w:val="30"/>
        </w:rPr>
      </w:pPr>
    </w:p>
    <w:p w:rsidR="00CE114E" w:rsidRDefault="00CE114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E114E" w:rsidRDefault="00CE114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E114E" w:rsidRDefault="00CE114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E114E" w:rsidRDefault="00CE114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E114E" w:rsidRDefault="00CE114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E114E" w:rsidRDefault="00CE114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E114E" w:rsidRDefault="00F35430">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CE114E" w:rsidRDefault="00F35430">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基金托管人：中国建设银行股份有限公司</w:t>
      </w:r>
    </w:p>
    <w:p w:rsidR="00CE114E" w:rsidRDefault="00CE114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E114E" w:rsidRDefault="00CE114E">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E114E" w:rsidRDefault="00F35430">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二〇二六年八月</w:t>
      </w:r>
    </w:p>
    <w:p w:rsidR="00CE114E" w:rsidRDefault="00CE114E">
      <w:pPr>
        <w:autoSpaceDE w:val="0"/>
        <w:autoSpaceDN w:val="0"/>
        <w:adjustRightInd w:val="0"/>
        <w:snapToGrid w:val="0"/>
        <w:spacing w:line="360" w:lineRule="auto"/>
        <w:ind w:left="1347" w:rightChars="6" w:right="13"/>
        <w:rPr>
          <w:rFonts w:ascii="宋体" w:hAnsi="宋体"/>
          <w:kern w:val="0"/>
          <w:sz w:val="32"/>
          <w:szCs w:val="32"/>
        </w:rPr>
        <w:sectPr w:rsidR="00CE114E">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CE114E" w:rsidRDefault="00F35430">
      <w:pPr>
        <w:pStyle w:val="1"/>
        <w:snapToGrid w:val="0"/>
        <w:spacing w:beforeLines="0" w:before="240" w:after="240"/>
        <w:rPr>
          <w:rFonts w:ascii="宋体" w:hAnsi="宋体"/>
          <w:kern w:val="0"/>
        </w:rPr>
      </w:pPr>
      <w:bookmarkStart w:id="0" w:name="_Toc324920538"/>
      <w:bookmarkStart w:id="1" w:name="_Toc496884613"/>
      <w:bookmarkStart w:id="2" w:name="_Toc238729356"/>
      <w:r>
        <w:rPr>
          <w:rFonts w:ascii="Times New Roman" w:hAnsi="Times New Roman"/>
          <w:kern w:val="0"/>
        </w:rPr>
        <w:lastRenderedPageBreak/>
        <w:t>重要提示</w:t>
      </w:r>
      <w:bookmarkEnd w:id="0"/>
      <w:bookmarkEnd w:id="1"/>
      <w:bookmarkEnd w:id="2"/>
    </w:p>
    <w:p w:rsidR="00CE114E" w:rsidRDefault="00F354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交银施罗德启明混合型证券投资基金（以下简称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2020</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26</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2020</w:t>
      </w:r>
      <w:r>
        <w:rPr>
          <w:rFonts w:ascii="Times New Roman" w:hAnsi="Times New Roman"/>
          <w:kern w:val="0"/>
          <w:sz w:val="24"/>
        </w:rPr>
        <w:t>】</w:t>
      </w:r>
      <w:r>
        <w:rPr>
          <w:rFonts w:ascii="Times New Roman" w:hAnsi="Times New Roman"/>
          <w:kern w:val="0"/>
          <w:sz w:val="24"/>
        </w:rPr>
        <w:t>584</w:t>
      </w:r>
      <w:r>
        <w:rPr>
          <w:rFonts w:ascii="Times New Roman" w:hAnsi="Times New Roman"/>
          <w:kern w:val="0"/>
          <w:sz w:val="24"/>
        </w:rPr>
        <w:t>号文准予募集注册。本基金基金合同于</w:t>
      </w:r>
      <w:r>
        <w:rPr>
          <w:rFonts w:ascii="Times New Roman" w:hAnsi="Times New Roman"/>
          <w:kern w:val="0"/>
          <w:sz w:val="24"/>
        </w:rPr>
        <w:t>2020</w:t>
      </w:r>
      <w:r>
        <w:rPr>
          <w:rFonts w:ascii="Times New Roman" w:hAnsi="Times New Roman"/>
          <w:kern w:val="0"/>
          <w:sz w:val="24"/>
        </w:rPr>
        <w:t>年</w:t>
      </w:r>
      <w:r>
        <w:rPr>
          <w:rFonts w:ascii="Times New Roman" w:hAnsi="Times New Roman"/>
          <w:kern w:val="0"/>
          <w:sz w:val="24"/>
        </w:rPr>
        <w:t>5</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日正式生效。</w:t>
      </w:r>
    </w:p>
    <w:p w:rsidR="00CE114E" w:rsidRDefault="00F354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CE114E" w:rsidRDefault="00F354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CE114E" w:rsidRDefault="00F354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投资股指期货的特定风险；投资资产支持证券的特定风险；投资流通受限证券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万元情形时基金管理人可依基金合同约定提前终止基金合同的风险；投资科创板股票的特定风险；投资本基金的其他风险等等。</w:t>
      </w:r>
    </w:p>
    <w:p w:rsidR="00CE114E" w:rsidRDefault="00F354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CE114E" w:rsidRDefault="00F354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w:t>
      </w:r>
      <w:r>
        <w:rPr>
          <w:rFonts w:ascii="Times New Roman" w:hAnsi="Times New Roman"/>
          <w:kern w:val="0"/>
          <w:sz w:val="24"/>
        </w:rPr>
        <w:lastRenderedPageBreak/>
        <w:t>波动在内的各项风险。</w:t>
      </w:r>
    </w:p>
    <w:p w:rsidR="00CE114E" w:rsidRDefault="00F354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CE114E" w:rsidRDefault="00F354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本基金是一只混合型基金，其预期风险和预期收益高于债券型基金和货币市场基金，低于股票型基金。</w:t>
      </w:r>
    </w:p>
    <w:p w:rsidR="00CE114E" w:rsidRDefault="00F354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本基金可投资港股通标的股票，会面临港股通机制下因投资环境、投资标的、市场制度以及交易规则等差异带来的特有风险。</w:t>
      </w:r>
    </w:p>
    <w:p w:rsidR="00CE114E" w:rsidRDefault="00F354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CE114E" w:rsidRDefault="00F354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CE114E" w:rsidRDefault="00F354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CE114E" w:rsidRDefault="00F354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CE114E" w:rsidRDefault="00F354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w:t>
      </w:r>
      <w:r>
        <w:rPr>
          <w:rFonts w:ascii="Times New Roman" w:hAnsi="Times New Roman"/>
          <w:kern w:val="0"/>
          <w:sz w:val="24"/>
        </w:rPr>
        <w:lastRenderedPageBreak/>
        <w:t>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CE114E" w:rsidRDefault="00F354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CE114E" w:rsidRDefault="00F3543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08</w:t>
      </w:r>
      <w:r>
        <w:rPr>
          <w:rFonts w:ascii="Times New Roman" w:hAnsi="Times New Roman"/>
          <w:kern w:val="0"/>
          <w:sz w:val="24"/>
        </w:rPr>
        <w:t>月</w:t>
      </w:r>
      <w:r>
        <w:rPr>
          <w:rFonts w:ascii="Times New Roman" w:hAnsi="Times New Roman"/>
          <w:kern w:val="0"/>
          <w:sz w:val="24"/>
        </w:rPr>
        <w:t>25</w:t>
      </w:r>
      <w:r>
        <w:rPr>
          <w:rFonts w:ascii="Times New Roman" w:hAnsi="Times New Roman"/>
          <w:kern w:val="0"/>
          <w:sz w:val="24"/>
        </w:rPr>
        <w:t>日，除非另有说明，本招募说明书其他所载内容截止日为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01</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CE114E" w:rsidRDefault="00CE114E">
      <w:pPr>
        <w:autoSpaceDE w:val="0"/>
        <w:autoSpaceDN w:val="0"/>
        <w:adjustRightInd w:val="0"/>
        <w:snapToGrid w:val="0"/>
        <w:spacing w:before="51" w:line="360" w:lineRule="auto"/>
        <w:ind w:left="120" w:rightChars="6" w:right="13" w:firstLine="480"/>
        <w:rPr>
          <w:rFonts w:ascii="宋体" w:hAnsi="宋体"/>
          <w:kern w:val="0"/>
          <w:szCs w:val="24"/>
        </w:rPr>
        <w:sectPr w:rsidR="00CE114E">
          <w:headerReference w:type="default" r:id="rId14"/>
          <w:pgSz w:w="11920" w:h="16840"/>
          <w:pgMar w:top="1440" w:right="1680" w:bottom="280" w:left="1680" w:header="0" w:footer="1073" w:gutter="0"/>
          <w:pgNumType w:start="1"/>
          <w:cols w:space="720"/>
        </w:sectPr>
      </w:pPr>
    </w:p>
    <w:p w:rsidR="00CC3008" w:rsidRPr="00CC3008" w:rsidRDefault="00F35430" w:rsidP="00CC3008">
      <w:pPr>
        <w:pStyle w:val="ad"/>
        <w:snapToGrid w:val="0"/>
        <w:spacing w:after="240" w:line="360" w:lineRule="auto"/>
        <w:jc w:val="center"/>
        <w:rPr>
          <w:rFonts w:ascii="宋体" w:hAnsi="宋体"/>
          <w:noProof/>
          <w:sz w:val="24"/>
        </w:rPr>
      </w:pPr>
      <w:r w:rsidRPr="00CC3008">
        <w:rPr>
          <w:rFonts w:ascii="宋体" w:hAnsi="宋体"/>
          <w:color w:val="000000"/>
          <w:position w:val="-4"/>
          <w:sz w:val="24"/>
          <w:szCs w:val="30"/>
        </w:rPr>
        <w:lastRenderedPageBreak/>
        <w:t>目</w:t>
      </w:r>
      <w:r w:rsidRPr="00CC3008">
        <w:rPr>
          <w:rFonts w:ascii="宋体" w:hAnsi="宋体"/>
          <w:color w:val="000000"/>
          <w:position w:val="-4"/>
          <w:sz w:val="24"/>
          <w:szCs w:val="30"/>
        </w:rPr>
        <w:tab/>
        <w:t>录</w:t>
      </w:r>
      <w:r w:rsidR="00CC3008" w:rsidRPr="00CC3008">
        <w:rPr>
          <w:rFonts w:ascii="宋体" w:hAnsi="宋体"/>
          <w:color w:val="000000"/>
          <w:position w:val="-4"/>
          <w:sz w:val="24"/>
          <w:szCs w:val="30"/>
        </w:rPr>
        <w:fldChar w:fldCharType="begin"/>
      </w:r>
      <w:r w:rsidR="00CC3008" w:rsidRPr="00CC3008">
        <w:rPr>
          <w:rFonts w:ascii="宋体" w:hAnsi="宋体"/>
          <w:color w:val="000000"/>
          <w:position w:val="-4"/>
          <w:sz w:val="24"/>
          <w:szCs w:val="30"/>
        </w:rPr>
        <w:instrText xml:space="preserve"> TOC \o "1-3" \f - \h \t "-1" </w:instrText>
      </w:r>
      <w:r w:rsidR="00CC3008" w:rsidRPr="00CC3008">
        <w:rPr>
          <w:rFonts w:ascii="宋体" w:hAnsi="宋体"/>
          <w:color w:val="000000"/>
          <w:position w:val="-4"/>
          <w:sz w:val="24"/>
          <w:szCs w:val="30"/>
        </w:rPr>
        <w:fldChar w:fldCharType="separate"/>
      </w:r>
    </w:p>
    <w:p w:rsidR="00CC3008" w:rsidRPr="00CC3008" w:rsidRDefault="00CC3008" w:rsidP="00CC3008">
      <w:pPr>
        <w:pStyle w:val="10"/>
        <w:tabs>
          <w:tab w:val="right" w:leader="dot" w:pos="8550"/>
        </w:tabs>
        <w:spacing w:line="360" w:lineRule="auto"/>
        <w:rPr>
          <w:rFonts w:ascii="宋体" w:hAnsi="宋体" w:cstheme="minorBidi"/>
          <w:noProof/>
          <w:sz w:val="24"/>
        </w:rPr>
      </w:pPr>
      <w:hyperlink w:anchor="_Toc238729356" w:history="1">
        <w:r w:rsidRPr="00CC3008">
          <w:rPr>
            <w:rStyle w:val="aa"/>
            <w:rFonts w:ascii="宋体" w:hAnsi="宋体" w:hint="eastAsia"/>
            <w:noProof/>
            <w:kern w:val="0"/>
            <w:sz w:val="24"/>
          </w:rPr>
          <w:t>重要提示</w:t>
        </w:r>
        <w:r w:rsidRPr="00CC3008">
          <w:rPr>
            <w:rFonts w:ascii="宋体" w:hAnsi="宋体"/>
            <w:noProof/>
            <w:sz w:val="24"/>
          </w:rPr>
          <w:tab/>
        </w:r>
        <w:r w:rsidRPr="00CC3008">
          <w:rPr>
            <w:rFonts w:ascii="宋体" w:hAnsi="宋体"/>
            <w:noProof/>
            <w:sz w:val="24"/>
          </w:rPr>
          <w:fldChar w:fldCharType="begin"/>
        </w:r>
        <w:r w:rsidRPr="00CC3008">
          <w:rPr>
            <w:rFonts w:ascii="宋体" w:hAnsi="宋体"/>
            <w:noProof/>
            <w:sz w:val="24"/>
          </w:rPr>
          <w:instrText xml:space="preserve"> PAGEREF _Toc238729356 \h </w:instrText>
        </w:r>
        <w:r w:rsidRPr="00CC3008">
          <w:rPr>
            <w:rFonts w:ascii="宋体" w:hAnsi="宋体"/>
            <w:noProof/>
            <w:sz w:val="24"/>
          </w:rPr>
        </w:r>
        <w:r w:rsidRPr="00CC3008">
          <w:rPr>
            <w:rFonts w:ascii="宋体" w:hAnsi="宋体"/>
            <w:noProof/>
            <w:sz w:val="24"/>
          </w:rPr>
          <w:fldChar w:fldCharType="separate"/>
        </w:r>
        <w:r w:rsidRPr="00CC3008">
          <w:rPr>
            <w:rFonts w:ascii="宋体" w:hAnsi="宋体"/>
            <w:noProof/>
            <w:sz w:val="24"/>
          </w:rPr>
          <w:t>1</w:t>
        </w:r>
        <w:r w:rsidRPr="00CC3008">
          <w:rPr>
            <w:rFonts w:ascii="宋体" w:hAnsi="宋体"/>
            <w:noProof/>
            <w:sz w:val="24"/>
          </w:rPr>
          <w:fldChar w:fldCharType="end"/>
        </w:r>
      </w:hyperlink>
    </w:p>
    <w:p w:rsidR="00CC3008" w:rsidRPr="00CC3008" w:rsidRDefault="00CC3008" w:rsidP="00CC3008">
      <w:pPr>
        <w:pStyle w:val="10"/>
        <w:tabs>
          <w:tab w:val="right" w:leader="dot" w:pos="8550"/>
        </w:tabs>
        <w:spacing w:line="360" w:lineRule="auto"/>
        <w:rPr>
          <w:rFonts w:ascii="宋体" w:hAnsi="宋体" w:cstheme="minorBidi"/>
          <w:noProof/>
          <w:sz w:val="24"/>
        </w:rPr>
      </w:pPr>
      <w:hyperlink w:anchor="_Toc238729357" w:history="1">
        <w:r w:rsidRPr="00CC3008">
          <w:rPr>
            <w:rStyle w:val="aa"/>
            <w:rFonts w:ascii="宋体" w:hAnsi="宋体" w:hint="eastAsia"/>
            <w:noProof/>
            <w:sz w:val="24"/>
          </w:rPr>
          <w:t>绪言</w:t>
        </w:r>
        <w:r w:rsidRPr="00CC3008">
          <w:rPr>
            <w:rFonts w:ascii="宋体" w:hAnsi="宋体"/>
            <w:noProof/>
            <w:sz w:val="24"/>
          </w:rPr>
          <w:tab/>
        </w:r>
        <w:r w:rsidRPr="00CC3008">
          <w:rPr>
            <w:rFonts w:ascii="宋体" w:hAnsi="宋体"/>
            <w:noProof/>
            <w:sz w:val="24"/>
          </w:rPr>
          <w:fldChar w:fldCharType="begin"/>
        </w:r>
        <w:r w:rsidRPr="00CC3008">
          <w:rPr>
            <w:rFonts w:ascii="宋体" w:hAnsi="宋体"/>
            <w:noProof/>
            <w:sz w:val="24"/>
          </w:rPr>
          <w:instrText xml:space="preserve"> PAGEREF _Toc238729357 \h </w:instrText>
        </w:r>
        <w:r w:rsidRPr="00CC3008">
          <w:rPr>
            <w:rFonts w:ascii="宋体" w:hAnsi="宋体"/>
            <w:noProof/>
            <w:sz w:val="24"/>
          </w:rPr>
        </w:r>
        <w:r w:rsidRPr="00CC3008">
          <w:rPr>
            <w:rFonts w:ascii="宋体" w:hAnsi="宋体"/>
            <w:noProof/>
            <w:sz w:val="24"/>
          </w:rPr>
          <w:fldChar w:fldCharType="separate"/>
        </w:r>
        <w:r w:rsidRPr="00CC3008">
          <w:rPr>
            <w:rFonts w:ascii="宋体" w:hAnsi="宋体"/>
            <w:noProof/>
            <w:sz w:val="24"/>
          </w:rPr>
          <w:t>5</w:t>
        </w:r>
        <w:r w:rsidRPr="00CC3008">
          <w:rPr>
            <w:rFonts w:ascii="宋体" w:hAnsi="宋体"/>
            <w:noProof/>
            <w:sz w:val="24"/>
          </w:rPr>
          <w:fldChar w:fldCharType="end"/>
        </w:r>
      </w:hyperlink>
    </w:p>
    <w:p w:rsidR="00CC3008" w:rsidRPr="00CC3008" w:rsidRDefault="00CC3008" w:rsidP="00CC3008">
      <w:pPr>
        <w:pStyle w:val="10"/>
        <w:tabs>
          <w:tab w:val="right" w:leader="dot" w:pos="8550"/>
        </w:tabs>
        <w:spacing w:line="360" w:lineRule="auto"/>
        <w:rPr>
          <w:rFonts w:ascii="宋体" w:hAnsi="宋体" w:cstheme="minorBidi"/>
          <w:noProof/>
          <w:sz w:val="24"/>
        </w:rPr>
      </w:pPr>
      <w:hyperlink w:anchor="_Toc238729358" w:history="1">
        <w:r w:rsidRPr="00CC3008">
          <w:rPr>
            <w:rStyle w:val="aa"/>
            <w:rFonts w:ascii="宋体" w:hAnsi="宋体" w:hint="eastAsia"/>
            <w:noProof/>
            <w:sz w:val="24"/>
          </w:rPr>
          <w:t>一、释义</w:t>
        </w:r>
        <w:r w:rsidRPr="00CC3008">
          <w:rPr>
            <w:rFonts w:ascii="宋体" w:hAnsi="宋体"/>
            <w:noProof/>
            <w:sz w:val="24"/>
          </w:rPr>
          <w:tab/>
        </w:r>
        <w:r w:rsidRPr="00CC3008">
          <w:rPr>
            <w:rFonts w:ascii="宋体" w:hAnsi="宋体"/>
            <w:noProof/>
            <w:sz w:val="24"/>
          </w:rPr>
          <w:fldChar w:fldCharType="begin"/>
        </w:r>
        <w:r w:rsidRPr="00CC3008">
          <w:rPr>
            <w:rFonts w:ascii="宋体" w:hAnsi="宋体"/>
            <w:noProof/>
            <w:sz w:val="24"/>
          </w:rPr>
          <w:instrText xml:space="preserve"> PAGEREF _Toc238729358 \h </w:instrText>
        </w:r>
        <w:r w:rsidRPr="00CC3008">
          <w:rPr>
            <w:rFonts w:ascii="宋体" w:hAnsi="宋体"/>
            <w:noProof/>
            <w:sz w:val="24"/>
          </w:rPr>
        </w:r>
        <w:r w:rsidRPr="00CC3008">
          <w:rPr>
            <w:rFonts w:ascii="宋体" w:hAnsi="宋体"/>
            <w:noProof/>
            <w:sz w:val="24"/>
          </w:rPr>
          <w:fldChar w:fldCharType="separate"/>
        </w:r>
        <w:r w:rsidRPr="00CC3008">
          <w:rPr>
            <w:rFonts w:ascii="宋体" w:hAnsi="宋体"/>
            <w:noProof/>
            <w:sz w:val="24"/>
          </w:rPr>
          <w:t>6</w:t>
        </w:r>
        <w:r w:rsidRPr="00CC3008">
          <w:rPr>
            <w:rFonts w:ascii="宋体" w:hAnsi="宋体"/>
            <w:noProof/>
            <w:sz w:val="24"/>
          </w:rPr>
          <w:fldChar w:fldCharType="end"/>
        </w:r>
      </w:hyperlink>
    </w:p>
    <w:p w:rsidR="00CC3008" w:rsidRPr="00CC3008" w:rsidRDefault="00CC3008" w:rsidP="00CC3008">
      <w:pPr>
        <w:pStyle w:val="10"/>
        <w:tabs>
          <w:tab w:val="right" w:leader="dot" w:pos="8550"/>
        </w:tabs>
        <w:spacing w:line="360" w:lineRule="auto"/>
        <w:rPr>
          <w:rFonts w:ascii="宋体" w:hAnsi="宋体" w:cstheme="minorBidi"/>
          <w:noProof/>
          <w:sz w:val="24"/>
        </w:rPr>
      </w:pPr>
      <w:hyperlink w:anchor="_Toc238729359" w:history="1">
        <w:r w:rsidRPr="00CC3008">
          <w:rPr>
            <w:rStyle w:val="aa"/>
            <w:rFonts w:ascii="宋体" w:hAnsi="宋体" w:hint="eastAsia"/>
            <w:noProof/>
            <w:sz w:val="24"/>
          </w:rPr>
          <w:t>二、基金管理人</w:t>
        </w:r>
        <w:r w:rsidRPr="00CC3008">
          <w:rPr>
            <w:rFonts w:ascii="宋体" w:hAnsi="宋体"/>
            <w:noProof/>
            <w:sz w:val="24"/>
          </w:rPr>
          <w:tab/>
        </w:r>
        <w:r w:rsidRPr="00CC3008">
          <w:rPr>
            <w:rFonts w:ascii="宋体" w:hAnsi="宋体"/>
            <w:noProof/>
            <w:sz w:val="24"/>
          </w:rPr>
          <w:fldChar w:fldCharType="begin"/>
        </w:r>
        <w:r w:rsidRPr="00CC3008">
          <w:rPr>
            <w:rFonts w:ascii="宋体" w:hAnsi="宋体"/>
            <w:noProof/>
            <w:sz w:val="24"/>
          </w:rPr>
          <w:instrText xml:space="preserve"> PAGEREF _Toc238729359 \h </w:instrText>
        </w:r>
        <w:r w:rsidRPr="00CC3008">
          <w:rPr>
            <w:rFonts w:ascii="宋体" w:hAnsi="宋体"/>
            <w:noProof/>
            <w:sz w:val="24"/>
          </w:rPr>
        </w:r>
        <w:r w:rsidRPr="00CC3008">
          <w:rPr>
            <w:rFonts w:ascii="宋体" w:hAnsi="宋体"/>
            <w:noProof/>
            <w:sz w:val="24"/>
          </w:rPr>
          <w:fldChar w:fldCharType="separate"/>
        </w:r>
        <w:r w:rsidRPr="00CC3008">
          <w:rPr>
            <w:rFonts w:ascii="宋体" w:hAnsi="宋体"/>
            <w:noProof/>
            <w:sz w:val="24"/>
          </w:rPr>
          <w:t>11</w:t>
        </w:r>
        <w:r w:rsidRPr="00CC3008">
          <w:rPr>
            <w:rFonts w:ascii="宋体" w:hAnsi="宋体"/>
            <w:noProof/>
            <w:sz w:val="24"/>
          </w:rPr>
          <w:fldChar w:fldCharType="end"/>
        </w:r>
      </w:hyperlink>
    </w:p>
    <w:p w:rsidR="00CC3008" w:rsidRPr="00CC3008" w:rsidRDefault="00CC3008" w:rsidP="00CC3008">
      <w:pPr>
        <w:pStyle w:val="10"/>
        <w:tabs>
          <w:tab w:val="right" w:leader="dot" w:pos="8550"/>
        </w:tabs>
        <w:spacing w:line="360" w:lineRule="auto"/>
        <w:rPr>
          <w:rFonts w:ascii="宋体" w:hAnsi="宋体" w:cstheme="minorBidi"/>
          <w:noProof/>
          <w:sz w:val="24"/>
        </w:rPr>
      </w:pPr>
      <w:hyperlink w:anchor="_Toc238729360" w:history="1">
        <w:r w:rsidRPr="00CC3008">
          <w:rPr>
            <w:rStyle w:val="aa"/>
            <w:rFonts w:ascii="宋体" w:hAnsi="宋体" w:hint="eastAsia"/>
            <w:noProof/>
            <w:sz w:val="24"/>
          </w:rPr>
          <w:t>三、基金托管人</w:t>
        </w:r>
        <w:r w:rsidRPr="00CC3008">
          <w:rPr>
            <w:rFonts w:ascii="宋体" w:hAnsi="宋体"/>
            <w:noProof/>
            <w:sz w:val="24"/>
          </w:rPr>
          <w:tab/>
        </w:r>
        <w:r w:rsidRPr="00CC3008">
          <w:rPr>
            <w:rFonts w:ascii="宋体" w:hAnsi="宋体"/>
            <w:noProof/>
            <w:sz w:val="24"/>
          </w:rPr>
          <w:fldChar w:fldCharType="begin"/>
        </w:r>
        <w:r w:rsidRPr="00CC3008">
          <w:rPr>
            <w:rFonts w:ascii="宋体" w:hAnsi="宋体"/>
            <w:noProof/>
            <w:sz w:val="24"/>
          </w:rPr>
          <w:instrText xml:space="preserve"> PAGEREF _Toc238729360 \h </w:instrText>
        </w:r>
        <w:r w:rsidRPr="00CC3008">
          <w:rPr>
            <w:rFonts w:ascii="宋体" w:hAnsi="宋体"/>
            <w:noProof/>
            <w:sz w:val="24"/>
          </w:rPr>
        </w:r>
        <w:r w:rsidRPr="00CC3008">
          <w:rPr>
            <w:rFonts w:ascii="宋体" w:hAnsi="宋体"/>
            <w:noProof/>
            <w:sz w:val="24"/>
          </w:rPr>
          <w:fldChar w:fldCharType="separate"/>
        </w:r>
        <w:r w:rsidRPr="00CC3008">
          <w:rPr>
            <w:rFonts w:ascii="宋体" w:hAnsi="宋体"/>
            <w:noProof/>
            <w:sz w:val="24"/>
          </w:rPr>
          <w:t>18</w:t>
        </w:r>
        <w:r w:rsidRPr="00CC3008">
          <w:rPr>
            <w:rFonts w:ascii="宋体" w:hAnsi="宋体"/>
            <w:noProof/>
            <w:sz w:val="24"/>
          </w:rPr>
          <w:fldChar w:fldCharType="end"/>
        </w:r>
      </w:hyperlink>
    </w:p>
    <w:p w:rsidR="00CC3008" w:rsidRPr="00CC3008" w:rsidRDefault="00CC3008" w:rsidP="00CC3008">
      <w:pPr>
        <w:pStyle w:val="10"/>
        <w:tabs>
          <w:tab w:val="right" w:leader="dot" w:pos="8550"/>
        </w:tabs>
        <w:spacing w:line="360" w:lineRule="auto"/>
        <w:rPr>
          <w:rFonts w:ascii="宋体" w:hAnsi="宋体" w:cstheme="minorBidi"/>
          <w:noProof/>
          <w:sz w:val="24"/>
        </w:rPr>
      </w:pPr>
      <w:hyperlink w:anchor="_Toc238729361" w:history="1">
        <w:r w:rsidRPr="00CC3008">
          <w:rPr>
            <w:rStyle w:val="aa"/>
            <w:rFonts w:ascii="宋体" w:hAnsi="宋体" w:hint="eastAsia"/>
            <w:noProof/>
            <w:sz w:val="24"/>
          </w:rPr>
          <w:t>四、相关服务机构</w:t>
        </w:r>
        <w:r w:rsidRPr="00CC3008">
          <w:rPr>
            <w:rFonts w:ascii="宋体" w:hAnsi="宋体"/>
            <w:noProof/>
            <w:sz w:val="24"/>
          </w:rPr>
          <w:tab/>
        </w:r>
        <w:r w:rsidRPr="00CC3008">
          <w:rPr>
            <w:rFonts w:ascii="宋体" w:hAnsi="宋体"/>
            <w:noProof/>
            <w:sz w:val="24"/>
          </w:rPr>
          <w:fldChar w:fldCharType="begin"/>
        </w:r>
        <w:r w:rsidRPr="00CC3008">
          <w:rPr>
            <w:rFonts w:ascii="宋体" w:hAnsi="宋体"/>
            <w:noProof/>
            <w:sz w:val="24"/>
          </w:rPr>
          <w:instrText xml:space="preserve"> PAGEREF _Toc238729361 \h </w:instrText>
        </w:r>
        <w:r w:rsidRPr="00CC3008">
          <w:rPr>
            <w:rFonts w:ascii="宋体" w:hAnsi="宋体"/>
            <w:noProof/>
            <w:sz w:val="24"/>
          </w:rPr>
        </w:r>
        <w:r w:rsidRPr="00CC3008">
          <w:rPr>
            <w:rFonts w:ascii="宋体" w:hAnsi="宋体"/>
            <w:noProof/>
            <w:sz w:val="24"/>
          </w:rPr>
          <w:fldChar w:fldCharType="separate"/>
        </w:r>
        <w:r w:rsidRPr="00CC3008">
          <w:rPr>
            <w:rFonts w:ascii="宋体" w:hAnsi="宋体"/>
            <w:noProof/>
            <w:sz w:val="24"/>
          </w:rPr>
          <w:t>21</w:t>
        </w:r>
        <w:r w:rsidRPr="00CC3008">
          <w:rPr>
            <w:rFonts w:ascii="宋体" w:hAnsi="宋体"/>
            <w:noProof/>
            <w:sz w:val="24"/>
          </w:rPr>
          <w:fldChar w:fldCharType="end"/>
        </w:r>
      </w:hyperlink>
    </w:p>
    <w:p w:rsidR="00CC3008" w:rsidRPr="00CC3008" w:rsidRDefault="00CC3008" w:rsidP="00CC3008">
      <w:pPr>
        <w:pStyle w:val="10"/>
        <w:tabs>
          <w:tab w:val="right" w:leader="dot" w:pos="8550"/>
        </w:tabs>
        <w:spacing w:line="360" w:lineRule="auto"/>
        <w:rPr>
          <w:rFonts w:ascii="宋体" w:hAnsi="宋体" w:cstheme="minorBidi"/>
          <w:noProof/>
          <w:sz w:val="24"/>
        </w:rPr>
      </w:pPr>
      <w:hyperlink w:anchor="_Toc238729362" w:history="1">
        <w:r w:rsidRPr="00CC3008">
          <w:rPr>
            <w:rStyle w:val="aa"/>
            <w:rFonts w:ascii="宋体" w:hAnsi="宋体" w:hint="eastAsia"/>
            <w:noProof/>
            <w:sz w:val="24"/>
          </w:rPr>
          <w:t>五、基金的募集</w:t>
        </w:r>
        <w:r w:rsidRPr="00CC3008">
          <w:rPr>
            <w:rFonts w:ascii="宋体" w:hAnsi="宋体"/>
            <w:noProof/>
            <w:sz w:val="24"/>
          </w:rPr>
          <w:tab/>
        </w:r>
        <w:r w:rsidRPr="00CC3008">
          <w:rPr>
            <w:rFonts w:ascii="宋体" w:hAnsi="宋体"/>
            <w:noProof/>
            <w:sz w:val="24"/>
          </w:rPr>
          <w:fldChar w:fldCharType="begin"/>
        </w:r>
        <w:r w:rsidRPr="00CC3008">
          <w:rPr>
            <w:rFonts w:ascii="宋体" w:hAnsi="宋体"/>
            <w:noProof/>
            <w:sz w:val="24"/>
          </w:rPr>
          <w:instrText xml:space="preserve"> PAGEREF _Toc238729362 \h </w:instrText>
        </w:r>
        <w:r w:rsidRPr="00CC3008">
          <w:rPr>
            <w:rFonts w:ascii="宋体" w:hAnsi="宋体"/>
            <w:noProof/>
            <w:sz w:val="24"/>
          </w:rPr>
        </w:r>
        <w:r w:rsidRPr="00CC3008">
          <w:rPr>
            <w:rFonts w:ascii="宋体" w:hAnsi="宋体"/>
            <w:noProof/>
            <w:sz w:val="24"/>
          </w:rPr>
          <w:fldChar w:fldCharType="separate"/>
        </w:r>
        <w:r w:rsidRPr="00CC3008">
          <w:rPr>
            <w:rFonts w:ascii="宋体" w:hAnsi="宋体"/>
            <w:noProof/>
            <w:sz w:val="24"/>
          </w:rPr>
          <w:t>54</w:t>
        </w:r>
        <w:r w:rsidRPr="00CC3008">
          <w:rPr>
            <w:rFonts w:ascii="宋体" w:hAnsi="宋体"/>
            <w:noProof/>
            <w:sz w:val="24"/>
          </w:rPr>
          <w:fldChar w:fldCharType="end"/>
        </w:r>
      </w:hyperlink>
    </w:p>
    <w:p w:rsidR="00CC3008" w:rsidRPr="00CC3008" w:rsidRDefault="00CC3008" w:rsidP="00CC3008">
      <w:pPr>
        <w:pStyle w:val="10"/>
        <w:tabs>
          <w:tab w:val="right" w:leader="dot" w:pos="8550"/>
        </w:tabs>
        <w:spacing w:line="360" w:lineRule="auto"/>
        <w:rPr>
          <w:rFonts w:ascii="宋体" w:hAnsi="宋体" w:cstheme="minorBidi"/>
          <w:noProof/>
          <w:sz w:val="24"/>
        </w:rPr>
      </w:pPr>
      <w:hyperlink w:anchor="_Toc238729363" w:history="1">
        <w:r w:rsidRPr="00CC3008">
          <w:rPr>
            <w:rStyle w:val="aa"/>
            <w:rFonts w:ascii="宋体" w:hAnsi="宋体" w:hint="eastAsia"/>
            <w:noProof/>
            <w:sz w:val="24"/>
          </w:rPr>
          <w:t>六、基金合同的生效</w:t>
        </w:r>
        <w:r w:rsidRPr="00CC3008">
          <w:rPr>
            <w:rFonts w:ascii="宋体" w:hAnsi="宋体"/>
            <w:noProof/>
            <w:sz w:val="24"/>
          </w:rPr>
          <w:tab/>
        </w:r>
        <w:r w:rsidRPr="00CC3008">
          <w:rPr>
            <w:rFonts w:ascii="宋体" w:hAnsi="宋体"/>
            <w:noProof/>
            <w:sz w:val="24"/>
          </w:rPr>
          <w:fldChar w:fldCharType="begin"/>
        </w:r>
        <w:r w:rsidRPr="00CC3008">
          <w:rPr>
            <w:rFonts w:ascii="宋体" w:hAnsi="宋体"/>
            <w:noProof/>
            <w:sz w:val="24"/>
          </w:rPr>
          <w:instrText xml:space="preserve"> PAGEREF _Toc238729363 \h </w:instrText>
        </w:r>
        <w:r w:rsidRPr="00CC3008">
          <w:rPr>
            <w:rFonts w:ascii="宋体" w:hAnsi="宋体"/>
            <w:noProof/>
            <w:sz w:val="24"/>
          </w:rPr>
        </w:r>
        <w:r w:rsidRPr="00CC3008">
          <w:rPr>
            <w:rFonts w:ascii="宋体" w:hAnsi="宋体"/>
            <w:noProof/>
            <w:sz w:val="24"/>
          </w:rPr>
          <w:fldChar w:fldCharType="separate"/>
        </w:r>
        <w:r w:rsidRPr="00CC3008">
          <w:rPr>
            <w:rFonts w:ascii="宋体" w:hAnsi="宋体"/>
            <w:noProof/>
            <w:sz w:val="24"/>
          </w:rPr>
          <w:t>55</w:t>
        </w:r>
        <w:r w:rsidRPr="00CC3008">
          <w:rPr>
            <w:rFonts w:ascii="宋体" w:hAnsi="宋体"/>
            <w:noProof/>
            <w:sz w:val="24"/>
          </w:rPr>
          <w:fldChar w:fldCharType="end"/>
        </w:r>
      </w:hyperlink>
    </w:p>
    <w:p w:rsidR="00CC3008" w:rsidRPr="00CC3008" w:rsidRDefault="00CC3008" w:rsidP="00CC3008">
      <w:pPr>
        <w:pStyle w:val="10"/>
        <w:tabs>
          <w:tab w:val="right" w:leader="dot" w:pos="8550"/>
        </w:tabs>
        <w:spacing w:line="360" w:lineRule="auto"/>
        <w:rPr>
          <w:rFonts w:ascii="宋体" w:hAnsi="宋体" w:cstheme="minorBidi"/>
          <w:noProof/>
          <w:sz w:val="24"/>
        </w:rPr>
      </w:pPr>
      <w:hyperlink w:anchor="_Toc238729364" w:history="1">
        <w:r w:rsidRPr="00CC3008">
          <w:rPr>
            <w:rStyle w:val="aa"/>
            <w:rFonts w:ascii="宋体" w:hAnsi="宋体" w:hint="eastAsia"/>
            <w:noProof/>
            <w:sz w:val="24"/>
          </w:rPr>
          <w:t>七、基金份额的申购与赎回</w:t>
        </w:r>
        <w:r w:rsidRPr="00CC3008">
          <w:rPr>
            <w:rFonts w:ascii="宋体" w:hAnsi="宋体"/>
            <w:noProof/>
            <w:sz w:val="24"/>
          </w:rPr>
          <w:tab/>
        </w:r>
        <w:r w:rsidRPr="00CC3008">
          <w:rPr>
            <w:rFonts w:ascii="宋体" w:hAnsi="宋体"/>
            <w:noProof/>
            <w:sz w:val="24"/>
          </w:rPr>
          <w:fldChar w:fldCharType="begin"/>
        </w:r>
        <w:r w:rsidRPr="00CC3008">
          <w:rPr>
            <w:rFonts w:ascii="宋体" w:hAnsi="宋体"/>
            <w:noProof/>
            <w:sz w:val="24"/>
          </w:rPr>
          <w:instrText xml:space="preserve"> PAGEREF _Toc238729364 \h </w:instrText>
        </w:r>
        <w:r w:rsidRPr="00CC3008">
          <w:rPr>
            <w:rFonts w:ascii="宋体" w:hAnsi="宋体"/>
            <w:noProof/>
            <w:sz w:val="24"/>
          </w:rPr>
        </w:r>
        <w:r w:rsidRPr="00CC3008">
          <w:rPr>
            <w:rFonts w:ascii="宋体" w:hAnsi="宋体"/>
            <w:noProof/>
            <w:sz w:val="24"/>
          </w:rPr>
          <w:fldChar w:fldCharType="separate"/>
        </w:r>
        <w:r w:rsidRPr="00CC3008">
          <w:rPr>
            <w:rFonts w:ascii="宋体" w:hAnsi="宋体"/>
            <w:noProof/>
            <w:sz w:val="24"/>
          </w:rPr>
          <w:t>56</w:t>
        </w:r>
        <w:r w:rsidRPr="00CC3008">
          <w:rPr>
            <w:rFonts w:ascii="宋体" w:hAnsi="宋体"/>
            <w:noProof/>
            <w:sz w:val="24"/>
          </w:rPr>
          <w:fldChar w:fldCharType="end"/>
        </w:r>
      </w:hyperlink>
    </w:p>
    <w:p w:rsidR="00CC3008" w:rsidRPr="00CC3008" w:rsidRDefault="00CC3008" w:rsidP="00CC3008">
      <w:pPr>
        <w:pStyle w:val="10"/>
        <w:tabs>
          <w:tab w:val="right" w:leader="dot" w:pos="8550"/>
        </w:tabs>
        <w:spacing w:line="360" w:lineRule="auto"/>
        <w:rPr>
          <w:rFonts w:ascii="宋体" w:hAnsi="宋体" w:cstheme="minorBidi"/>
          <w:noProof/>
          <w:sz w:val="24"/>
        </w:rPr>
      </w:pPr>
      <w:hyperlink w:anchor="_Toc238729365" w:history="1">
        <w:r w:rsidRPr="00CC3008">
          <w:rPr>
            <w:rStyle w:val="aa"/>
            <w:rFonts w:ascii="宋体" w:hAnsi="宋体" w:hint="eastAsia"/>
            <w:noProof/>
            <w:sz w:val="24"/>
          </w:rPr>
          <w:t>八、基金的转换</w:t>
        </w:r>
        <w:r w:rsidRPr="00CC3008">
          <w:rPr>
            <w:rFonts w:ascii="宋体" w:hAnsi="宋体"/>
            <w:noProof/>
            <w:sz w:val="24"/>
          </w:rPr>
          <w:tab/>
        </w:r>
        <w:r w:rsidRPr="00CC3008">
          <w:rPr>
            <w:rFonts w:ascii="宋体" w:hAnsi="宋体"/>
            <w:noProof/>
            <w:sz w:val="24"/>
          </w:rPr>
          <w:fldChar w:fldCharType="begin"/>
        </w:r>
        <w:r w:rsidRPr="00CC3008">
          <w:rPr>
            <w:rFonts w:ascii="宋体" w:hAnsi="宋体"/>
            <w:noProof/>
            <w:sz w:val="24"/>
          </w:rPr>
          <w:instrText xml:space="preserve"> PAGEREF _Toc238729365 \h </w:instrText>
        </w:r>
        <w:r w:rsidRPr="00CC3008">
          <w:rPr>
            <w:rFonts w:ascii="宋体" w:hAnsi="宋体"/>
            <w:noProof/>
            <w:sz w:val="24"/>
          </w:rPr>
        </w:r>
        <w:r w:rsidRPr="00CC3008">
          <w:rPr>
            <w:rFonts w:ascii="宋体" w:hAnsi="宋体"/>
            <w:noProof/>
            <w:sz w:val="24"/>
          </w:rPr>
          <w:fldChar w:fldCharType="separate"/>
        </w:r>
        <w:r w:rsidRPr="00CC3008">
          <w:rPr>
            <w:rFonts w:ascii="宋体" w:hAnsi="宋体"/>
            <w:noProof/>
            <w:sz w:val="24"/>
          </w:rPr>
          <w:t>70</w:t>
        </w:r>
        <w:r w:rsidRPr="00CC3008">
          <w:rPr>
            <w:rFonts w:ascii="宋体" w:hAnsi="宋体"/>
            <w:noProof/>
            <w:sz w:val="24"/>
          </w:rPr>
          <w:fldChar w:fldCharType="end"/>
        </w:r>
      </w:hyperlink>
    </w:p>
    <w:p w:rsidR="00CC3008" w:rsidRPr="00CC3008" w:rsidRDefault="00CC3008" w:rsidP="00CC3008">
      <w:pPr>
        <w:pStyle w:val="10"/>
        <w:tabs>
          <w:tab w:val="right" w:leader="dot" w:pos="8550"/>
        </w:tabs>
        <w:spacing w:line="360" w:lineRule="auto"/>
        <w:rPr>
          <w:rFonts w:ascii="宋体" w:hAnsi="宋体" w:cstheme="minorBidi"/>
          <w:noProof/>
          <w:sz w:val="24"/>
        </w:rPr>
      </w:pPr>
      <w:hyperlink w:anchor="_Toc238729366" w:history="1">
        <w:r w:rsidRPr="00CC3008">
          <w:rPr>
            <w:rStyle w:val="aa"/>
            <w:rFonts w:ascii="宋体" w:hAnsi="宋体" w:hint="eastAsia"/>
            <w:noProof/>
            <w:sz w:val="24"/>
          </w:rPr>
          <w:t>九、基金的投资</w:t>
        </w:r>
        <w:r w:rsidRPr="00CC3008">
          <w:rPr>
            <w:rFonts w:ascii="宋体" w:hAnsi="宋体"/>
            <w:noProof/>
            <w:sz w:val="24"/>
          </w:rPr>
          <w:tab/>
        </w:r>
        <w:r w:rsidRPr="00CC3008">
          <w:rPr>
            <w:rFonts w:ascii="宋体" w:hAnsi="宋体"/>
            <w:noProof/>
            <w:sz w:val="24"/>
          </w:rPr>
          <w:fldChar w:fldCharType="begin"/>
        </w:r>
        <w:r w:rsidRPr="00CC3008">
          <w:rPr>
            <w:rFonts w:ascii="宋体" w:hAnsi="宋体"/>
            <w:noProof/>
            <w:sz w:val="24"/>
          </w:rPr>
          <w:instrText xml:space="preserve"> PAGEREF _Toc238729366 \h </w:instrText>
        </w:r>
        <w:r w:rsidRPr="00CC3008">
          <w:rPr>
            <w:rFonts w:ascii="宋体" w:hAnsi="宋体"/>
            <w:noProof/>
            <w:sz w:val="24"/>
          </w:rPr>
        </w:r>
        <w:r w:rsidRPr="00CC3008">
          <w:rPr>
            <w:rFonts w:ascii="宋体" w:hAnsi="宋体"/>
            <w:noProof/>
            <w:sz w:val="24"/>
          </w:rPr>
          <w:fldChar w:fldCharType="separate"/>
        </w:r>
        <w:r w:rsidRPr="00CC3008">
          <w:rPr>
            <w:rFonts w:ascii="宋体" w:hAnsi="宋体"/>
            <w:noProof/>
            <w:sz w:val="24"/>
          </w:rPr>
          <w:t>77</w:t>
        </w:r>
        <w:r w:rsidRPr="00CC3008">
          <w:rPr>
            <w:rFonts w:ascii="宋体" w:hAnsi="宋体"/>
            <w:noProof/>
            <w:sz w:val="24"/>
          </w:rPr>
          <w:fldChar w:fldCharType="end"/>
        </w:r>
      </w:hyperlink>
    </w:p>
    <w:p w:rsidR="00CC3008" w:rsidRPr="00CC3008" w:rsidRDefault="00CC3008" w:rsidP="00CC3008">
      <w:pPr>
        <w:pStyle w:val="10"/>
        <w:tabs>
          <w:tab w:val="right" w:leader="dot" w:pos="8550"/>
        </w:tabs>
        <w:spacing w:line="360" w:lineRule="auto"/>
        <w:rPr>
          <w:rFonts w:ascii="宋体" w:hAnsi="宋体" w:cstheme="minorBidi"/>
          <w:noProof/>
          <w:sz w:val="24"/>
        </w:rPr>
      </w:pPr>
      <w:hyperlink w:anchor="_Toc238729367" w:history="1">
        <w:r w:rsidRPr="00CC3008">
          <w:rPr>
            <w:rStyle w:val="aa"/>
            <w:rFonts w:ascii="宋体" w:hAnsi="宋体" w:hint="eastAsia"/>
            <w:noProof/>
            <w:sz w:val="24"/>
          </w:rPr>
          <w:t>十、基金的业绩</w:t>
        </w:r>
        <w:r w:rsidRPr="00CC3008">
          <w:rPr>
            <w:rFonts w:ascii="宋体" w:hAnsi="宋体"/>
            <w:noProof/>
            <w:sz w:val="24"/>
          </w:rPr>
          <w:tab/>
        </w:r>
        <w:r w:rsidRPr="00CC3008">
          <w:rPr>
            <w:rFonts w:ascii="宋体" w:hAnsi="宋体"/>
            <w:noProof/>
            <w:sz w:val="24"/>
          </w:rPr>
          <w:fldChar w:fldCharType="begin"/>
        </w:r>
        <w:r w:rsidRPr="00CC3008">
          <w:rPr>
            <w:rFonts w:ascii="宋体" w:hAnsi="宋体"/>
            <w:noProof/>
            <w:sz w:val="24"/>
          </w:rPr>
          <w:instrText xml:space="preserve"> PAGEREF _Toc238729367 \h </w:instrText>
        </w:r>
        <w:r w:rsidRPr="00CC3008">
          <w:rPr>
            <w:rFonts w:ascii="宋体" w:hAnsi="宋体"/>
            <w:noProof/>
            <w:sz w:val="24"/>
          </w:rPr>
        </w:r>
        <w:r w:rsidRPr="00CC3008">
          <w:rPr>
            <w:rFonts w:ascii="宋体" w:hAnsi="宋体"/>
            <w:noProof/>
            <w:sz w:val="24"/>
          </w:rPr>
          <w:fldChar w:fldCharType="separate"/>
        </w:r>
        <w:r w:rsidRPr="00CC3008">
          <w:rPr>
            <w:rFonts w:ascii="宋体" w:hAnsi="宋体"/>
            <w:noProof/>
            <w:sz w:val="24"/>
          </w:rPr>
          <w:t>89</w:t>
        </w:r>
        <w:r w:rsidRPr="00CC3008">
          <w:rPr>
            <w:rFonts w:ascii="宋体" w:hAnsi="宋体"/>
            <w:noProof/>
            <w:sz w:val="24"/>
          </w:rPr>
          <w:fldChar w:fldCharType="end"/>
        </w:r>
      </w:hyperlink>
    </w:p>
    <w:p w:rsidR="00CC3008" w:rsidRPr="00CC3008" w:rsidRDefault="00CC3008" w:rsidP="00CC3008">
      <w:pPr>
        <w:pStyle w:val="10"/>
        <w:tabs>
          <w:tab w:val="right" w:leader="dot" w:pos="8550"/>
        </w:tabs>
        <w:spacing w:line="360" w:lineRule="auto"/>
        <w:rPr>
          <w:rFonts w:ascii="宋体" w:hAnsi="宋体" w:cstheme="minorBidi"/>
          <w:noProof/>
          <w:sz w:val="24"/>
        </w:rPr>
      </w:pPr>
      <w:hyperlink w:anchor="_Toc238729368" w:history="1">
        <w:r w:rsidRPr="00CC3008">
          <w:rPr>
            <w:rStyle w:val="aa"/>
            <w:rFonts w:ascii="宋体" w:hAnsi="宋体" w:hint="eastAsia"/>
            <w:noProof/>
            <w:sz w:val="24"/>
          </w:rPr>
          <w:t>十一、基金的财产</w:t>
        </w:r>
        <w:r w:rsidRPr="00CC3008">
          <w:rPr>
            <w:rFonts w:ascii="宋体" w:hAnsi="宋体"/>
            <w:noProof/>
            <w:sz w:val="24"/>
          </w:rPr>
          <w:tab/>
        </w:r>
        <w:r w:rsidRPr="00CC3008">
          <w:rPr>
            <w:rFonts w:ascii="宋体" w:hAnsi="宋体"/>
            <w:noProof/>
            <w:sz w:val="24"/>
          </w:rPr>
          <w:fldChar w:fldCharType="begin"/>
        </w:r>
        <w:r w:rsidRPr="00CC3008">
          <w:rPr>
            <w:rFonts w:ascii="宋体" w:hAnsi="宋体"/>
            <w:noProof/>
            <w:sz w:val="24"/>
          </w:rPr>
          <w:instrText xml:space="preserve"> PAGEREF _Toc238729368 \h </w:instrText>
        </w:r>
        <w:r w:rsidRPr="00CC3008">
          <w:rPr>
            <w:rFonts w:ascii="宋体" w:hAnsi="宋体"/>
            <w:noProof/>
            <w:sz w:val="24"/>
          </w:rPr>
        </w:r>
        <w:r w:rsidRPr="00CC3008">
          <w:rPr>
            <w:rFonts w:ascii="宋体" w:hAnsi="宋体"/>
            <w:noProof/>
            <w:sz w:val="24"/>
          </w:rPr>
          <w:fldChar w:fldCharType="separate"/>
        </w:r>
        <w:r w:rsidRPr="00CC3008">
          <w:rPr>
            <w:rFonts w:ascii="宋体" w:hAnsi="宋体"/>
            <w:noProof/>
            <w:sz w:val="24"/>
          </w:rPr>
          <w:t>92</w:t>
        </w:r>
        <w:r w:rsidRPr="00CC3008">
          <w:rPr>
            <w:rFonts w:ascii="宋体" w:hAnsi="宋体"/>
            <w:noProof/>
            <w:sz w:val="24"/>
          </w:rPr>
          <w:fldChar w:fldCharType="end"/>
        </w:r>
      </w:hyperlink>
    </w:p>
    <w:p w:rsidR="00CC3008" w:rsidRPr="00CC3008" w:rsidRDefault="00CC3008" w:rsidP="00CC3008">
      <w:pPr>
        <w:pStyle w:val="10"/>
        <w:tabs>
          <w:tab w:val="right" w:leader="dot" w:pos="8550"/>
        </w:tabs>
        <w:spacing w:line="360" w:lineRule="auto"/>
        <w:rPr>
          <w:rFonts w:ascii="宋体" w:hAnsi="宋体" w:cstheme="minorBidi"/>
          <w:noProof/>
          <w:sz w:val="24"/>
        </w:rPr>
      </w:pPr>
      <w:hyperlink w:anchor="_Toc238729369" w:history="1">
        <w:r w:rsidRPr="00CC3008">
          <w:rPr>
            <w:rStyle w:val="aa"/>
            <w:rFonts w:ascii="宋体" w:hAnsi="宋体" w:hint="eastAsia"/>
            <w:noProof/>
            <w:sz w:val="24"/>
          </w:rPr>
          <w:t>十二、基金资产的估值</w:t>
        </w:r>
        <w:r w:rsidRPr="00CC3008">
          <w:rPr>
            <w:rFonts w:ascii="宋体" w:hAnsi="宋体"/>
            <w:noProof/>
            <w:sz w:val="24"/>
          </w:rPr>
          <w:tab/>
        </w:r>
        <w:r w:rsidRPr="00CC3008">
          <w:rPr>
            <w:rFonts w:ascii="宋体" w:hAnsi="宋体"/>
            <w:noProof/>
            <w:sz w:val="24"/>
          </w:rPr>
          <w:fldChar w:fldCharType="begin"/>
        </w:r>
        <w:r w:rsidRPr="00CC3008">
          <w:rPr>
            <w:rFonts w:ascii="宋体" w:hAnsi="宋体"/>
            <w:noProof/>
            <w:sz w:val="24"/>
          </w:rPr>
          <w:instrText xml:space="preserve"> PAGEREF _Toc238729369 \h </w:instrText>
        </w:r>
        <w:r w:rsidRPr="00CC3008">
          <w:rPr>
            <w:rFonts w:ascii="宋体" w:hAnsi="宋体"/>
            <w:noProof/>
            <w:sz w:val="24"/>
          </w:rPr>
        </w:r>
        <w:r w:rsidRPr="00CC3008">
          <w:rPr>
            <w:rFonts w:ascii="宋体" w:hAnsi="宋体"/>
            <w:noProof/>
            <w:sz w:val="24"/>
          </w:rPr>
          <w:fldChar w:fldCharType="separate"/>
        </w:r>
        <w:r w:rsidRPr="00CC3008">
          <w:rPr>
            <w:rFonts w:ascii="宋体" w:hAnsi="宋体"/>
            <w:noProof/>
            <w:sz w:val="24"/>
          </w:rPr>
          <w:t>93</w:t>
        </w:r>
        <w:r w:rsidRPr="00CC3008">
          <w:rPr>
            <w:rFonts w:ascii="宋体" w:hAnsi="宋体"/>
            <w:noProof/>
            <w:sz w:val="24"/>
          </w:rPr>
          <w:fldChar w:fldCharType="end"/>
        </w:r>
      </w:hyperlink>
    </w:p>
    <w:p w:rsidR="00CC3008" w:rsidRPr="00CC3008" w:rsidRDefault="00CC3008" w:rsidP="00CC3008">
      <w:pPr>
        <w:pStyle w:val="10"/>
        <w:tabs>
          <w:tab w:val="right" w:leader="dot" w:pos="8550"/>
        </w:tabs>
        <w:spacing w:line="360" w:lineRule="auto"/>
        <w:rPr>
          <w:rFonts w:ascii="宋体" w:hAnsi="宋体" w:cstheme="minorBidi"/>
          <w:noProof/>
          <w:sz w:val="24"/>
        </w:rPr>
      </w:pPr>
      <w:hyperlink w:anchor="_Toc238729370" w:history="1">
        <w:r w:rsidRPr="00CC3008">
          <w:rPr>
            <w:rStyle w:val="aa"/>
            <w:rFonts w:ascii="宋体" w:hAnsi="宋体" w:hint="eastAsia"/>
            <w:noProof/>
            <w:sz w:val="24"/>
          </w:rPr>
          <w:t>十三、基金收益与分配</w:t>
        </w:r>
        <w:r w:rsidRPr="00CC3008">
          <w:rPr>
            <w:rFonts w:ascii="宋体" w:hAnsi="宋体"/>
            <w:noProof/>
            <w:sz w:val="24"/>
          </w:rPr>
          <w:tab/>
        </w:r>
        <w:r w:rsidRPr="00CC3008">
          <w:rPr>
            <w:rFonts w:ascii="宋体" w:hAnsi="宋体"/>
            <w:noProof/>
            <w:sz w:val="24"/>
          </w:rPr>
          <w:fldChar w:fldCharType="begin"/>
        </w:r>
        <w:r w:rsidRPr="00CC3008">
          <w:rPr>
            <w:rFonts w:ascii="宋体" w:hAnsi="宋体"/>
            <w:noProof/>
            <w:sz w:val="24"/>
          </w:rPr>
          <w:instrText xml:space="preserve"> PAGEREF _Toc238729370 \h </w:instrText>
        </w:r>
        <w:r w:rsidRPr="00CC3008">
          <w:rPr>
            <w:rFonts w:ascii="宋体" w:hAnsi="宋体"/>
            <w:noProof/>
            <w:sz w:val="24"/>
          </w:rPr>
        </w:r>
        <w:r w:rsidRPr="00CC3008">
          <w:rPr>
            <w:rFonts w:ascii="宋体" w:hAnsi="宋体"/>
            <w:noProof/>
            <w:sz w:val="24"/>
          </w:rPr>
          <w:fldChar w:fldCharType="separate"/>
        </w:r>
        <w:r w:rsidRPr="00CC3008">
          <w:rPr>
            <w:rFonts w:ascii="宋体" w:hAnsi="宋体"/>
            <w:noProof/>
            <w:sz w:val="24"/>
          </w:rPr>
          <w:t>99</w:t>
        </w:r>
        <w:r w:rsidRPr="00CC3008">
          <w:rPr>
            <w:rFonts w:ascii="宋体" w:hAnsi="宋体"/>
            <w:noProof/>
            <w:sz w:val="24"/>
          </w:rPr>
          <w:fldChar w:fldCharType="end"/>
        </w:r>
      </w:hyperlink>
    </w:p>
    <w:p w:rsidR="00CC3008" w:rsidRPr="00CC3008" w:rsidRDefault="00CC3008" w:rsidP="00CC3008">
      <w:pPr>
        <w:pStyle w:val="10"/>
        <w:tabs>
          <w:tab w:val="right" w:leader="dot" w:pos="8550"/>
        </w:tabs>
        <w:spacing w:line="360" w:lineRule="auto"/>
        <w:rPr>
          <w:rFonts w:ascii="宋体" w:hAnsi="宋体" w:cstheme="minorBidi"/>
          <w:noProof/>
          <w:sz w:val="24"/>
        </w:rPr>
      </w:pPr>
      <w:hyperlink w:anchor="_Toc238729371" w:history="1">
        <w:r w:rsidRPr="00CC3008">
          <w:rPr>
            <w:rStyle w:val="aa"/>
            <w:rFonts w:ascii="宋体" w:hAnsi="宋体" w:hint="eastAsia"/>
            <w:noProof/>
            <w:sz w:val="24"/>
          </w:rPr>
          <w:t>十四、基金的费用与税收</w:t>
        </w:r>
        <w:r w:rsidRPr="00CC3008">
          <w:rPr>
            <w:rFonts w:ascii="宋体" w:hAnsi="宋体"/>
            <w:noProof/>
            <w:sz w:val="24"/>
          </w:rPr>
          <w:tab/>
        </w:r>
        <w:r w:rsidRPr="00CC3008">
          <w:rPr>
            <w:rFonts w:ascii="宋体" w:hAnsi="宋体"/>
            <w:noProof/>
            <w:sz w:val="24"/>
          </w:rPr>
          <w:fldChar w:fldCharType="begin"/>
        </w:r>
        <w:r w:rsidRPr="00CC3008">
          <w:rPr>
            <w:rFonts w:ascii="宋体" w:hAnsi="宋体"/>
            <w:noProof/>
            <w:sz w:val="24"/>
          </w:rPr>
          <w:instrText xml:space="preserve"> PAGEREF _Toc238729371 \h </w:instrText>
        </w:r>
        <w:r w:rsidRPr="00CC3008">
          <w:rPr>
            <w:rFonts w:ascii="宋体" w:hAnsi="宋体"/>
            <w:noProof/>
            <w:sz w:val="24"/>
          </w:rPr>
        </w:r>
        <w:r w:rsidRPr="00CC3008">
          <w:rPr>
            <w:rFonts w:ascii="宋体" w:hAnsi="宋体"/>
            <w:noProof/>
            <w:sz w:val="24"/>
          </w:rPr>
          <w:fldChar w:fldCharType="separate"/>
        </w:r>
        <w:r w:rsidRPr="00CC3008">
          <w:rPr>
            <w:rFonts w:ascii="宋体" w:hAnsi="宋体"/>
            <w:noProof/>
            <w:sz w:val="24"/>
          </w:rPr>
          <w:t>101</w:t>
        </w:r>
        <w:r w:rsidRPr="00CC3008">
          <w:rPr>
            <w:rFonts w:ascii="宋体" w:hAnsi="宋体"/>
            <w:noProof/>
            <w:sz w:val="24"/>
          </w:rPr>
          <w:fldChar w:fldCharType="end"/>
        </w:r>
      </w:hyperlink>
    </w:p>
    <w:p w:rsidR="00CC3008" w:rsidRPr="00CC3008" w:rsidRDefault="00CC3008" w:rsidP="00CC3008">
      <w:pPr>
        <w:pStyle w:val="10"/>
        <w:tabs>
          <w:tab w:val="right" w:leader="dot" w:pos="8550"/>
        </w:tabs>
        <w:spacing w:line="360" w:lineRule="auto"/>
        <w:rPr>
          <w:rFonts w:ascii="宋体" w:hAnsi="宋体" w:cstheme="minorBidi"/>
          <w:noProof/>
          <w:sz w:val="24"/>
        </w:rPr>
      </w:pPr>
      <w:hyperlink w:anchor="_Toc238729372" w:history="1">
        <w:r w:rsidRPr="00CC3008">
          <w:rPr>
            <w:rStyle w:val="aa"/>
            <w:rFonts w:ascii="宋体" w:hAnsi="宋体" w:hint="eastAsia"/>
            <w:noProof/>
            <w:sz w:val="24"/>
          </w:rPr>
          <w:t>十五、基金的会计与审计</w:t>
        </w:r>
        <w:r w:rsidRPr="00CC3008">
          <w:rPr>
            <w:rFonts w:ascii="宋体" w:hAnsi="宋体"/>
            <w:noProof/>
            <w:sz w:val="24"/>
          </w:rPr>
          <w:tab/>
        </w:r>
        <w:r w:rsidRPr="00CC3008">
          <w:rPr>
            <w:rFonts w:ascii="宋体" w:hAnsi="宋体"/>
            <w:noProof/>
            <w:sz w:val="24"/>
          </w:rPr>
          <w:fldChar w:fldCharType="begin"/>
        </w:r>
        <w:r w:rsidRPr="00CC3008">
          <w:rPr>
            <w:rFonts w:ascii="宋体" w:hAnsi="宋体"/>
            <w:noProof/>
            <w:sz w:val="24"/>
          </w:rPr>
          <w:instrText xml:space="preserve"> PAGEREF _Toc238729372 \h </w:instrText>
        </w:r>
        <w:r w:rsidRPr="00CC3008">
          <w:rPr>
            <w:rFonts w:ascii="宋体" w:hAnsi="宋体"/>
            <w:noProof/>
            <w:sz w:val="24"/>
          </w:rPr>
        </w:r>
        <w:r w:rsidRPr="00CC3008">
          <w:rPr>
            <w:rFonts w:ascii="宋体" w:hAnsi="宋体"/>
            <w:noProof/>
            <w:sz w:val="24"/>
          </w:rPr>
          <w:fldChar w:fldCharType="separate"/>
        </w:r>
        <w:r w:rsidRPr="00CC3008">
          <w:rPr>
            <w:rFonts w:ascii="宋体" w:hAnsi="宋体"/>
            <w:noProof/>
            <w:sz w:val="24"/>
          </w:rPr>
          <w:t>104</w:t>
        </w:r>
        <w:r w:rsidRPr="00CC3008">
          <w:rPr>
            <w:rFonts w:ascii="宋体" w:hAnsi="宋体"/>
            <w:noProof/>
            <w:sz w:val="24"/>
          </w:rPr>
          <w:fldChar w:fldCharType="end"/>
        </w:r>
      </w:hyperlink>
    </w:p>
    <w:p w:rsidR="00CC3008" w:rsidRPr="00CC3008" w:rsidRDefault="00CC3008" w:rsidP="00CC3008">
      <w:pPr>
        <w:pStyle w:val="10"/>
        <w:tabs>
          <w:tab w:val="right" w:leader="dot" w:pos="8550"/>
        </w:tabs>
        <w:spacing w:line="360" w:lineRule="auto"/>
        <w:rPr>
          <w:rFonts w:ascii="宋体" w:hAnsi="宋体" w:cstheme="minorBidi"/>
          <w:noProof/>
          <w:sz w:val="24"/>
        </w:rPr>
      </w:pPr>
      <w:hyperlink w:anchor="_Toc238729373" w:history="1">
        <w:r w:rsidRPr="00CC3008">
          <w:rPr>
            <w:rStyle w:val="aa"/>
            <w:rFonts w:ascii="宋体" w:hAnsi="宋体" w:hint="eastAsia"/>
            <w:noProof/>
            <w:sz w:val="24"/>
          </w:rPr>
          <w:t>十六、基金的信息披露</w:t>
        </w:r>
        <w:r w:rsidRPr="00CC3008">
          <w:rPr>
            <w:rFonts w:ascii="宋体" w:hAnsi="宋体"/>
            <w:noProof/>
            <w:sz w:val="24"/>
          </w:rPr>
          <w:tab/>
        </w:r>
        <w:r w:rsidRPr="00CC3008">
          <w:rPr>
            <w:rFonts w:ascii="宋体" w:hAnsi="宋体"/>
            <w:noProof/>
            <w:sz w:val="24"/>
          </w:rPr>
          <w:fldChar w:fldCharType="begin"/>
        </w:r>
        <w:r w:rsidRPr="00CC3008">
          <w:rPr>
            <w:rFonts w:ascii="宋体" w:hAnsi="宋体"/>
            <w:noProof/>
            <w:sz w:val="24"/>
          </w:rPr>
          <w:instrText xml:space="preserve"> PAGEREF _Toc238729373 \h </w:instrText>
        </w:r>
        <w:r w:rsidRPr="00CC3008">
          <w:rPr>
            <w:rFonts w:ascii="宋体" w:hAnsi="宋体"/>
            <w:noProof/>
            <w:sz w:val="24"/>
          </w:rPr>
        </w:r>
        <w:r w:rsidRPr="00CC3008">
          <w:rPr>
            <w:rFonts w:ascii="宋体" w:hAnsi="宋体"/>
            <w:noProof/>
            <w:sz w:val="24"/>
          </w:rPr>
          <w:fldChar w:fldCharType="separate"/>
        </w:r>
        <w:r w:rsidRPr="00CC3008">
          <w:rPr>
            <w:rFonts w:ascii="宋体" w:hAnsi="宋体"/>
            <w:noProof/>
            <w:sz w:val="24"/>
          </w:rPr>
          <w:t>105</w:t>
        </w:r>
        <w:r w:rsidRPr="00CC3008">
          <w:rPr>
            <w:rFonts w:ascii="宋体" w:hAnsi="宋体"/>
            <w:noProof/>
            <w:sz w:val="24"/>
          </w:rPr>
          <w:fldChar w:fldCharType="end"/>
        </w:r>
      </w:hyperlink>
    </w:p>
    <w:p w:rsidR="00CC3008" w:rsidRPr="00CC3008" w:rsidRDefault="00CC3008" w:rsidP="00CC3008">
      <w:pPr>
        <w:pStyle w:val="10"/>
        <w:tabs>
          <w:tab w:val="right" w:leader="dot" w:pos="8550"/>
        </w:tabs>
        <w:spacing w:line="360" w:lineRule="auto"/>
        <w:rPr>
          <w:rFonts w:ascii="宋体" w:hAnsi="宋体" w:cstheme="minorBidi"/>
          <w:noProof/>
          <w:sz w:val="24"/>
        </w:rPr>
      </w:pPr>
      <w:hyperlink w:anchor="_Toc238729374" w:history="1">
        <w:r w:rsidRPr="00CC3008">
          <w:rPr>
            <w:rStyle w:val="aa"/>
            <w:rFonts w:ascii="宋体" w:hAnsi="宋体" w:hint="eastAsia"/>
            <w:noProof/>
            <w:sz w:val="24"/>
          </w:rPr>
          <w:t>十七、侧袋机制</w:t>
        </w:r>
        <w:r w:rsidRPr="00CC3008">
          <w:rPr>
            <w:rFonts w:ascii="宋体" w:hAnsi="宋体"/>
            <w:noProof/>
            <w:sz w:val="24"/>
          </w:rPr>
          <w:tab/>
        </w:r>
        <w:r w:rsidRPr="00CC3008">
          <w:rPr>
            <w:rFonts w:ascii="宋体" w:hAnsi="宋体"/>
            <w:noProof/>
            <w:sz w:val="24"/>
          </w:rPr>
          <w:fldChar w:fldCharType="begin"/>
        </w:r>
        <w:r w:rsidRPr="00CC3008">
          <w:rPr>
            <w:rFonts w:ascii="宋体" w:hAnsi="宋体"/>
            <w:noProof/>
            <w:sz w:val="24"/>
          </w:rPr>
          <w:instrText xml:space="preserve"> PAGEREF _Toc238729374 \h </w:instrText>
        </w:r>
        <w:r w:rsidRPr="00CC3008">
          <w:rPr>
            <w:rFonts w:ascii="宋体" w:hAnsi="宋体"/>
            <w:noProof/>
            <w:sz w:val="24"/>
          </w:rPr>
        </w:r>
        <w:r w:rsidRPr="00CC3008">
          <w:rPr>
            <w:rFonts w:ascii="宋体" w:hAnsi="宋体"/>
            <w:noProof/>
            <w:sz w:val="24"/>
          </w:rPr>
          <w:fldChar w:fldCharType="separate"/>
        </w:r>
        <w:r w:rsidRPr="00CC3008">
          <w:rPr>
            <w:rFonts w:ascii="宋体" w:hAnsi="宋体"/>
            <w:noProof/>
            <w:sz w:val="24"/>
          </w:rPr>
          <w:t>112</w:t>
        </w:r>
        <w:r w:rsidRPr="00CC3008">
          <w:rPr>
            <w:rFonts w:ascii="宋体" w:hAnsi="宋体"/>
            <w:noProof/>
            <w:sz w:val="24"/>
          </w:rPr>
          <w:fldChar w:fldCharType="end"/>
        </w:r>
      </w:hyperlink>
    </w:p>
    <w:p w:rsidR="00CC3008" w:rsidRPr="00CC3008" w:rsidRDefault="00CC3008" w:rsidP="00CC3008">
      <w:pPr>
        <w:pStyle w:val="10"/>
        <w:tabs>
          <w:tab w:val="right" w:leader="dot" w:pos="8550"/>
        </w:tabs>
        <w:spacing w:line="360" w:lineRule="auto"/>
        <w:rPr>
          <w:rFonts w:ascii="宋体" w:hAnsi="宋体" w:cstheme="minorBidi"/>
          <w:noProof/>
          <w:sz w:val="24"/>
        </w:rPr>
      </w:pPr>
      <w:hyperlink w:anchor="_Toc238729375" w:history="1">
        <w:r w:rsidRPr="00CC3008">
          <w:rPr>
            <w:rStyle w:val="aa"/>
            <w:rFonts w:ascii="宋体" w:hAnsi="宋体" w:hint="eastAsia"/>
            <w:noProof/>
            <w:sz w:val="24"/>
          </w:rPr>
          <w:t>十八、风险揭示</w:t>
        </w:r>
        <w:r w:rsidRPr="00CC3008">
          <w:rPr>
            <w:rFonts w:ascii="宋体" w:hAnsi="宋体"/>
            <w:noProof/>
            <w:sz w:val="24"/>
          </w:rPr>
          <w:tab/>
        </w:r>
        <w:r w:rsidRPr="00CC3008">
          <w:rPr>
            <w:rFonts w:ascii="宋体" w:hAnsi="宋体"/>
            <w:noProof/>
            <w:sz w:val="24"/>
          </w:rPr>
          <w:fldChar w:fldCharType="begin"/>
        </w:r>
        <w:r w:rsidRPr="00CC3008">
          <w:rPr>
            <w:rFonts w:ascii="宋体" w:hAnsi="宋体"/>
            <w:noProof/>
            <w:sz w:val="24"/>
          </w:rPr>
          <w:instrText xml:space="preserve"> PAGEREF _Toc238729375 \h </w:instrText>
        </w:r>
        <w:r w:rsidRPr="00CC3008">
          <w:rPr>
            <w:rFonts w:ascii="宋体" w:hAnsi="宋体"/>
            <w:noProof/>
            <w:sz w:val="24"/>
          </w:rPr>
        </w:r>
        <w:r w:rsidRPr="00CC3008">
          <w:rPr>
            <w:rFonts w:ascii="宋体" w:hAnsi="宋体"/>
            <w:noProof/>
            <w:sz w:val="24"/>
          </w:rPr>
          <w:fldChar w:fldCharType="separate"/>
        </w:r>
        <w:r w:rsidRPr="00CC3008">
          <w:rPr>
            <w:rFonts w:ascii="宋体" w:hAnsi="宋体"/>
            <w:noProof/>
            <w:sz w:val="24"/>
          </w:rPr>
          <w:t>115</w:t>
        </w:r>
        <w:r w:rsidRPr="00CC3008">
          <w:rPr>
            <w:rFonts w:ascii="宋体" w:hAnsi="宋体"/>
            <w:noProof/>
            <w:sz w:val="24"/>
          </w:rPr>
          <w:fldChar w:fldCharType="end"/>
        </w:r>
      </w:hyperlink>
    </w:p>
    <w:p w:rsidR="00CC3008" w:rsidRPr="00CC3008" w:rsidRDefault="00CC3008" w:rsidP="00CC3008">
      <w:pPr>
        <w:pStyle w:val="10"/>
        <w:tabs>
          <w:tab w:val="right" w:leader="dot" w:pos="8550"/>
        </w:tabs>
        <w:spacing w:line="360" w:lineRule="auto"/>
        <w:rPr>
          <w:rFonts w:ascii="宋体" w:hAnsi="宋体" w:cstheme="minorBidi"/>
          <w:noProof/>
          <w:sz w:val="24"/>
        </w:rPr>
      </w:pPr>
      <w:hyperlink w:anchor="_Toc238729376" w:history="1">
        <w:r w:rsidRPr="00CC3008">
          <w:rPr>
            <w:rStyle w:val="aa"/>
            <w:rFonts w:ascii="宋体" w:hAnsi="宋体" w:hint="eastAsia"/>
            <w:noProof/>
            <w:sz w:val="24"/>
          </w:rPr>
          <w:t>十九、基金合同的变更、终止与基金财产的清算</w:t>
        </w:r>
        <w:r w:rsidRPr="00CC3008">
          <w:rPr>
            <w:rFonts w:ascii="宋体" w:hAnsi="宋体"/>
            <w:noProof/>
            <w:sz w:val="24"/>
          </w:rPr>
          <w:tab/>
        </w:r>
        <w:r w:rsidRPr="00CC3008">
          <w:rPr>
            <w:rFonts w:ascii="宋体" w:hAnsi="宋体"/>
            <w:noProof/>
            <w:sz w:val="24"/>
          </w:rPr>
          <w:fldChar w:fldCharType="begin"/>
        </w:r>
        <w:r w:rsidRPr="00CC3008">
          <w:rPr>
            <w:rFonts w:ascii="宋体" w:hAnsi="宋体"/>
            <w:noProof/>
            <w:sz w:val="24"/>
          </w:rPr>
          <w:instrText xml:space="preserve"> PAGEREF _Toc238729376 \h </w:instrText>
        </w:r>
        <w:r w:rsidRPr="00CC3008">
          <w:rPr>
            <w:rFonts w:ascii="宋体" w:hAnsi="宋体"/>
            <w:noProof/>
            <w:sz w:val="24"/>
          </w:rPr>
        </w:r>
        <w:r w:rsidRPr="00CC3008">
          <w:rPr>
            <w:rFonts w:ascii="宋体" w:hAnsi="宋体"/>
            <w:noProof/>
            <w:sz w:val="24"/>
          </w:rPr>
          <w:fldChar w:fldCharType="separate"/>
        </w:r>
        <w:r w:rsidRPr="00CC3008">
          <w:rPr>
            <w:rFonts w:ascii="宋体" w:hAnsi="宋体"/>
            <w:noProof/>
            <w:sz w:val="24"/>
          </w:rPr>
          <w:t>125</w:t>
        </w:r>
        <w:r w:rsidRPr="00CC3008">
          <w:rPr>
            <w:rFonts w:ascii="宋体" w:hAnsi="宋体"/>
            <w:noProof/>
            <w:sz w:val="24"/>
          </w:rPr>
          <w:fldChar w:fldCharType="end"/>
        </w:r>
      </w:hyperlink>
    </w:p>
    <w:p w:rsidR="00CC3008" w:rsidRPr="00CC3008" w:rsidRDefault="00CC3008" w:rsidP="00CC3008">
      <w:pPr>
        <w:pStyle w:val="10"/>
        <w:tabs>
          <w:tab w:val="right" w:leader="dot" w:pos="8550"/>
        </w:tabs>
        <w:spacing w:line="360" w:lineRule="auto"/>
        <w:rPr>
          <w:rFonts w:ascii="宋体" w:hAnsi="宋体" w:cstheme="minorBidi"/>
          <w:noProof/>
          <w:sz w:val="24"/>
        </w:rPr>
      </w:pPr>
      <w:hyperlink w:anchor="_Toc238729377" w:history="1">
        <w:r w:rsidRPr="00CC3008">
          <w:rPr>
            <w:rStyle w:val="aa"/>
            <w:rFonts w:ascii="宋体" w:hAnsi="宋体" w:hint="eastAsia"/>
            <w:noProof/>
            <w:sz w:val="24"/>
          </w:rPr>
          <w:t>二十、基金合同内容摘要</w:t>
        </w:r>
        <w:r w:rsidRPr="00CC3008">
          <w:rPr>
            <w:rFonts w:ascii="宋体" w:hAnsi="宋体"/>
            <w:noProof/>
            <w:sz w:val="24"/>
          </w:rPr>
          <w:tab/>
        </w:r>
        <w:r w:rsidRPr="00CC3008">
          <w:rPr>
            <w:rFonts w:ascii="宋体" w:hAnsi="宋体"/>
            <w:noProof/>
            <w:sz w:val="24"/>
          </w:rPr>
          <w:fldChar w:fldCharType="begin"/>
        </w:r>
        <w:r w:rsidRPr="00CC3008">
          <w:rPr>
            <w:rFonts w:ascii="宋体" w:hAnsi="宋体"/>
            <w:noProof/>
            <w:sz w:val="24"/>
          </w:rPr>
          <w:instrText xml:space="preserve"> PAGEREF _Toc238729377 \h </w:instrText>
        </w:r>
        <w:r w:rsidRPr="00CC3008">
          <w:rPr>
            <w:rFonts w:ascii="宋体" w:hAnsi="宋体"/>
            <w:noProof/>
            <w:sz w:val="24"/>
          </w:rPr>
        </w:r>
        <w:r w:rsidRPr="00CC3008">
          <w:rPr>
            <w:rFonts w:ascii="宋体" w:hAnsi="宋体"/>
            <w:noProof/>
            <w:sz w:val="24"/>
          </w:rPr>
          <w:fldChar w:fldCharType="separate"/>
        </w:r>
        <w:r w:rsidRPr="00CC3008">
          <w:rPr>
            <w:rFonts w:ascii="宋体" w:hAnsi="宋体"/>
            <w:noProof/>
            <w:sz w:val="24"/>
          </w:rPr>
          <w:t>127</w:t>
        </w:r>
        <w:r w:rsidRPr="00CC3008">
          <w:rPr>
            <w:rFonts w:ascii="宋体" w:hAnsi="宋体"/>
            <w:noProof/>
            <w:sz w:val="24"/>
          </w:rPr>
          <w:fldChar w:fldCharType="end"/>
        </w:r>
      </w:hyperlink>
    </w:p>
    <w:p w:rsidR="00CC3008" w:rsidRPr="00CC3008" w:rsidRDefault="00CC3008" w:rsidP="00CC3008">
      <w:pPr>
        <w:pStyle w:val="10"/>
        <w:tabs>
          <w:tab w:val="right" w:leader="dot" w:pos="8550"/>
        </w:tabs>
        <w:spacing w:line="360" w:lineRule="auto"/>
        <w:rPr>
          <w:rFonts w:ascii="宋体" w:hAnsi="宋体" w:cstheme="minorBidi"/>
          <w:noProof/>
          <w:sz w:val="24"/>
        </w:rPr>
      </w:pPr>
      <w:hyperlink w:anchor="_Toc238729378" w:history="1">
        <w:r w:rsidRPr="00CC3008">
          <w:rPr>
            <w:rStyle w:val="aa"/>
            <w:rFonts w:ascii="宋体" w:hAnsi="宋体" w:hint="eastAsia"/>
            <w:noProof/>
            <w:sz w:val="24"/>
          </w:rPr>
          <w:t>二十一、托管协议的内容摘要</w:t>
        </w:r>
        <w:r w:rsidRPr="00CC3008">
          <w:rPr>
            <w:rFonts w:ascii="宋体" w:hAnsi="宋体"/>
            <w:noProof/>
            <w:sz w:val="24"/>
          </w:rPr>
          <w:tab/>
        </w:r>
        <w:r w:rsidRPr="00CC3008">
          <w:rPr>
            <w:rFonts w:ascii="宋体" w:hAnsi="宋体"/>
            <w:noProof/>
            <w:sz w:val="24"/>
          </w:rPr>
          <w:fldChar w:fldCharType="begin"/>
        </w:r>
        <w:r w:rsidRPr="00CC3008">
          <w:rPr>
            <w:rFonts w:ascii="宋体" w:hAnsi="宋体"/>
            <w:noProof/>
            <w:sz w:val="24"/>
          </w:rPr>
          <w:instrText xml:space="preserve"> PAGEREF _Toc238729378 \h </w:instrText>
        </w:r>
        <w:r w:rsidRPr="00CC3008">
          <w:rPr>
            <w:rFonts w:ascii="宋体" w:hAnsi="宋体"/>
            <w:noProof/>
            <w:sz w:val="24"/>
          </w:rPr>
        </w:r>
        <w:r w:rsidRPr="00CC3008">
          <w:rPr>
            <w:rFonts w:ascii="宋体" w:hAnsi="宋体"/>
            <w:noProof/>
            <w:sz w:val="24"/>
          </w:rPr>
          <w:fldChar w:fldCharType="separate"/>
        </w:r>
        <w:r w:rsidRPr="00CC3008">
          <w:rPr>
            <w:rFonts w:ascii="宋体" w:hAnsi="宋体"/>
            <w:noProof/>
            <w:sz w:val="24"/>
          </w:rPr>
          <w:t>144</w:t>
        </w:r>
        <w:r w:rsidRPr="00CC3008">
          <w:rPr>
            <w:rFonts w:ascii="宋体" w:hAnsi="宋体"/>
            <w:noProof/>
            <w:sz w:val="24"/>
          </w:rPr>
          <w:fldChar w:fldCharType="end"/>
        </w:r>
      </w:hyperlink>
    </w:p>
    <w:p w:rsidR="00CC3008" w:rsidRPr="00CC3008" w:rsidRDefault="00CC3008" w:rsidP="00CC3008">
      <w:pPr>
        <w:pStyle w:val="10"/>
        <w:tabs>
          <w:tab w:val="right" w:leader="dot" w:pos="8550"/>
        </w:tabs>
        <w:spacing w:line="360" w:lineRule="auto"/>
        <w:rPr>
          <w:rFonts w:ascii="宋体" w:hAnsi="宋体" w:cstheme="minorBidi"/>
          <w:noProof/>
          <w:sz w:val="24"/>
        </w:rPr>
      </w:pPr>
      <w:hyperlink w:anchor="_Toc238729379" w:history="1">
        <w:r w:rsidRPr="00CC3008">
          <w:rPr>
            <w:rStyle w:val="aa"/>
            <w:rFonts w:ascii="宋体" w:hAnsi="宋体" w:hint="eastAsia"/>
            <w:noProof/>
            <w:sz w:val="24"/>
          </w:rPr>
          <w:t>二十二、对基金份额持有人的服务</w:t>
        </w:r>
        <w:r w:rsidRPr="00CC3008">
          <w:rPr>
            <w:rFonts w:ascii="宋体" w:hAnsi="宋体"/>
            <w:noProof/>
            <w:sz w:val="24"/>
          </w:rPr>
          <w:tab/>
        </w:r>
        <w:r w:rsidRPr="00CC3008">
          <w:rPr>
            <w:rFonts w:ascii="宋体" w:hAnsi="宋体"/>
            <w:noProof/>
            <w:sz w:val="24"/>
          </w:rPr>
          <w:fldChar w:fldCharType="begin"/>
        </w:r>
        <w:r w:rsidRPr="00CC3008">
          <w:rPr>
            <w:rFonts w:ascii="宋体" w:hAnsi="宋体"/>
            <w:noProof/>
            <w:sz w:val="24"/>
          </w:rPr>
          <w:instrText xml:space="preserve"> PAGEREF _Toc238729379 \h </w:instrText>
        </w:r>
        <w:r w:rsidRPr="00CC3008">
          <w:rPr>
            <w:rFonts w:ascii="宋体" w:hAnsi="宋体"/>
            <w:noProof/>
            <w:sz w:val="24"/>
          </w:rPr>
        </w:r>
        <w:r w:rsidRPr="00CC3008">
          <w:rPr>
            <w:rFonts w:ascii="宋体" w:hAnsi="宋体"/>
            <w:noProof/>
            <w:sz w:val="24"/>
          </w:rPr>
          <w:fldChar w:fldCharType="separate"/>
        </w:r>
        <w:r w:rsidRPr="00CC3008">
          <w:rPr>
            <w:rFonts w:ascii="宋体" w:hAnsi="宋体"/>
            <w:noProof/>
            <w:sz w:val="24"/>
          </w:rPr>
          <w:t>159</w:t>
        </w:r>
        <w:r w:rsidRPr="00CC3008">
          <w:rPr>
            <w:rFonts w:ascii="宋体" w:hAnsi="宋体"/>
            <w:noProof/>
            <w:sz w:val="24"/>
          </w:rPr>
          <w:fldChar w:fldCharType="end"/>
        </w:r>
      </w:hyperlink>
    </w:p>
    <w:p w:rsidR="00CC3008" w:rsidRPr="00CC3008" w:rsidRDefault="00CC3008" w:rsidP="00CC3008">
      <w:pPr>
        <w:pStyle w:val="10"/>
        <w:tabs>
          <w:tab w:val="right" w:leader="dot" w:pos="8550"/>
        </w:tabs>
        <w:spacing w:line="360" w:lineRule="auto"/>
        <w:rPr>
          <w:rFonts w:ascii="宋体" w:hAnsi="宋体" w:cstheme="minorBidi"/>
          <w:noProof/>
          <w:sz w:val="24"/>
        </w:rPr>
      </w:pPr>
      <w:hyperlink w:anchor="_Toc238729380" w:history="1">
        <w:r w:rsidRPr="00CC3008">
          <w:rPr>
            <w:rStyle w:val="aa"/>
            <w:rFonts w:ascii="宋体" w:hAnsi="宋体" w:hint="eastAsia"/>
            <w:noProof/>
            <w:sz w:val="24"/>
          </w:rPr>
          <w:t>二十三、其他应披露事项</w:t>
        </w:r>
        <w:r w:rsidRPr="00CC3008">
          <w:rPr>
            <w:rFonts w:ascii="宋体" w:hAnsi="宋体"/>
            <w:noProof/>
            <w:sz w:val="24"/>
          </w:rPr>
          <w:tab/>
        </w:r>
        <w:r w:rsidRPr="00CC3008">
          <w:rPr>
            <w:rFonts w:ascii="宋体" w:hAnsi="宋体"/>
            <w:noProof/>
            <w:sz w:val="24"/>
          </w:rPr>
          <w:fldChar w:fldCharType="begin"/>
        </w:r>
        <w:r w:rsidRPr="00CC3008">
          <w:rPr>
            <w:rFonts w:ascii="宋体" w:hAnsi="宋体"/>
            <w:noProof/>
            <w:sz w:val="24"/>
          </w:rPr>
          <w:instrText xml:space="preserve"> PAGEREF _Toc238729380 \h </w:instrText>
        </w:r>
        <w:r w:rsidRPr="00CC3008">
          <w:rPr>
            <w:rFonts w:ascii="宋体" w:hAnsi="宋体"/>
            <w:noProof/>
            <w:sz w:val="24"/>
          </w:rPr>
        </w:r>
        <w:r w:rsidRPr="00CC3008">
          <w:rPr>
            <w:rFonts w:ascii="宋体" w:hAnsi="宋体"/>
            <w:noProof/>
            <w:sz w:val="24"/>
          </w:rPr>
          <w:fldChar w:fldCharType="separate"/>
        </w:r>
        <w:r w:rsidRPr="00CC3008">
          <w:rPr>
            <w:rFonts w:ascii="宋体" w:hAnsi="宋体"/>
            <w:noProof/>
            <w:sz w:val="24"/>
          </w:rPr>
          <w:t>161</w:t>
        </w:r>
        <w:r w:rsidRPr="00CC3008">
          <w:rPr>
            <w:rFonts w:ascii="宋体" w:hAnsi="宋体"/>
            <w:noProof/>
            <w:sz w:val="24"/>
          </w:rPr>
          <w:fldChar w:fldCharType="end"/>
        </w:r>
      </w:hyperlink>
    </w:p>
    <w:p w:rsidR="00CC3008" w:rsidRPr="00CC3008" w:rsidRDefault="00CC3008" w:rsidP="00CC3008">
      <w:pPr>
        <w:pStyle w:val="10"/>
        <w:tabs>
          <w:tab w:val="right" w:leader="dot" w:pos="8550"/>
        </w:tabs>
        <w:spacing w:line="360" w:lineRule="auto"/>
        <w:rPr>
          <w:rFonts w:ascii="宋体" w:hAnsi="宋体" w:cstheme="minorBidi"/>
          <w:noProof/>
          <w:sz w:val="24"/>
        </w:rPr>
      </w:pPr>
      <w:hyperlink w:anchor="_Toc238729381" w:history="1">
        <w:r w:rsidRPr="00CC3008">
          <w:rPr>
            <w:rStyle w:val="aa"/>
            <w:rFonts w:ascii="宋体" w:hAnsi="宋体" w:hint="eastAsia"/>
            <w:noProof/>
            <w:sz w:val="24"/>
          </w:rPr>
          <w:t>二十四、招募说明书的存放及查阅方式</w:t>
        </w:r>
        <w:r w:rsidRPr="00CC3008">
          <w:rPr>
            <w:rFonts w:ascii="宋体" w:hAnsi="宋体"/>
            <w:noProof/>
            <w:sz w:val="24"/>
          </w:rPr>
          <w:tab/>
        </w:r>
        <w:r w:rsidRPr="00CC3008">
          <w:rPr>
            <w:rFonts w:ascii="宋体" w:hAnsi="宋体"/>
            <w:noProof/>
            <w:sz w:val="24"/>
          </w:rPr>
          <w:fldChar w:fldCharType="begin"/>
        </w:r>
        <w:r w:rsidRPr="00CC3008">
          <w:rPr>
            <w:rFonts w:ascii="宋体" w:hAnsi="宋体"/>
            <w:noProof/>
            <w:sz w:val="24"/>
          </w:rPr>
          <w:instrText xml:space="preserve"> PAGEREF _Toc238729381 \h </w:instrText>
        </w:r>
        <w:r w:rsidRPr="00CC3008">
          <w:rPr>
            <w:rFonts w:ascii="宋体" w:hAnsi="宋体"/>
            <w:noProof/>
            <w:sz w:val="24"/>
          </w:rPr>
        </w:r>
        <w:r w:rsidRPr="00CC3008">
          <w:rPr>
            <w:rFonts w:ascii="宋体" w:hAnsi="宋体"/>
            <w:noProof/>
            <w:sz w:val="24"/>
          </w:rPr>
          <w:fldChar w:fldCharType="separate"/>
        </w:r>
        <w:r w:rsidRPr="00CC3008">
          <w:rPr>
            <w:rFonts w:ascii="宋体" w:hAnsi="宋体"/>
            <w:noProof/>
            <w:sz w:val="24"/>
          </w:rPr>
          <w:t>164</w:t>
        </w:r>
        <w:r w:rsidRPr="00CC3008">
          <w:rPr>
            <w:rFonts w:ascii="宋体" w:hAnsi="宋体"/>
            <w:noProof/>
            <w:sz w:val="24"/>
          </w:rPr>
          <w:fldChar w:fldCharType="end"/>
        </w:r>
      </w:hyperlink>
    </w:p>
    <w:p w:rsidR="00CC3008" w:rsidRPr="00CC3008" w:rsidRDefault="00CC3008" w:rsidP="00CC3008">
      <w:pPr>
        <w:pStyle w:val="10"/>
        <w:tabs>
          <w:tab w:val="right" w:leader="dot" w:pos="8550"/>
        </w:tabs>
        <w:spacing w:line="360" w:lineRule="auto"/>
        <w:rPr>
          <w:rFonts w:ascii="宋体" w:hAnsi="宋体" w:cstheme="minorBidi"/>
          <w:noProof/>
          <w:sz w:val="24"/>
        </w:rPr>
      </w:pPr>
      <w:hyperlink w:anchor="_Toc238729382" w:history="1">
        <w:r w:rsidRPr="00CC3008">
          <w:rPr>
            <w:rStyle w:val="aa"/>
            <w:rFonts w:ascii="宋体" w:hAnsi="宋体" w:hint="eastAsia"/>
            <w:noProof/>
            <w:sz w:val="24"/>
          </w:rPr>
          <w:t>二十五、备案文件</w:t>
        </w:r>
        <w:r w:rsidRPr="00CC3008">
          <w:rPr>
            <w:rFonts w:ascii="宋体" w:hAnsi="宋体"/>
            <w:noProof/>
            <w:sz w:val="24"/>
          </w:rPr>
          <w:tab/>
        </w:r>
        <w:r w:rsidRPr="00CC3008">
          <w:rPr>
            <w:rFonts w:ascii="宋体" w:hAnsi="宋体"/>
            <w:noProof/>
            <w:sz w:val="24"/>
          </w:rPr>
          <w:fldChar w:fldCharType="begin"/>
        </w:r>
        <w:r w:rsidRPr="00CC3008">
          <w:rPr>
            <w:rFonts w:ascii="宋体" w:hAnsi="宋体"/>
            <w:noProof/>
            <w:sz w:val="24"/>
          </w:rPr>
          <w:instrText xml:space="preserve"> PAGEREF _Toc238729382 \h </w:instrText>
        </w:r>
        <w:r w:rsidRPr="00CC3008">
          <w:rPr>
            <w:rFonts w:ascii="宋体" w:hAnsi="宋体"/>
            <w:noProof/>
            <w:sz w:val="24"/>
          </w:rPr>
        </w:r>
        <w:r w:rsidRPr="00CC3008">
          <w:rPr>
            <w:rFonts w:ascii="宋体" w:hAnsi="宋体"/>
            <w:noProof/>
            <w:sz w:val="24"/>
          </w:rPr>
          <w:fldChar w:fldCharType="separate"/>
        </w:r>
        <w:r w:rsidRPr="00CC3008">
          <w:rPr>
            <w:rFonts w:ascii="宋体" w:hAnsi="宋体"/>
            <w:noProof/>
            <w:sz w:val="24"/>
          </w:rPr>
          <w:t>165</w:t>
        </w:r>
        <w:r w:rsidRPr="00CC3008">
          <w:rPr>
            <w:rFonts w:ascii="宋体" w:hAnsi="宋体"/>
            <w:noProof/>
            <w:sz w:val="24"/>
          </w:rPr>
          <w:fldChar w:fldCharType="end"/>
        </w:r>
      </w:hyperlink>
    </w:p>
    <w:p w:rsidR="00CE114E" w:rsidRPr="00CC3008" w:rsidRDefault="00CC3008" w:rsidP="00CC3008">
      <w:pPr>
        <w:pStyle w:val="ad"/>
        <w:snapToGrid w:val="0"/>
        <w:spacing w:after="240" w:line="360" w:lineRule="auto"/>
        <w:jc w:val="center"/>
        <w:rPr>
          <w:rFonts w:ascii="宋体" w:hAnsi="宋体"/>
          <w:color w:val="000000"/>
          <w:sz w:val="24"/>
        </w:rPr>
      </w:pPr>
      <w:r w:rsidRPr="00CC3008">
        <w:rPr>
          <w:rFonts w:ascii="宋体" w:hAnsi="宋体"/>
          <w:color w:val="000000"/>
          <w:position w:val="-4"/>
          <w:sz w:val="24"/>
          <w:szCs w:val="30"/>
        </w:rPr>
        <w:fldChar w:fldCharType="end"/>
      </w:r>
      <w:bookmarkStart w:id="3" w:name="_GoBack"/>
      <w:bookmarkEnd w:id="3"/>
    </w:p>
    <w:p w:rsidR="00CE114E" w:rsidRDefault="00CE114E">
      <w:pPr>
        <w:autoSpaceDE w:val="0"/>
        <w:autoSpaceDN w:val="0"/>
        <w:adjustRightInd w:val="0"/>
        <w:snapToGrid w:val="0"/>
        <w:spacing w:line="360" w:lineRule="auto"/>
        <w:ind w:left="120" w:rightChars="6" w:right="13"/>
        <w:rPr>
          <w:rFonts w:ascii="宋体" w:hAnsi="宋体"/>
          <w:kern w:val="0"/>
          <w:szCs w:val="24"/>
        </w:rPr>
        <w:sectPr w:rsidR="00CE114E">
          <w:pgSz w:w="11920" w:h="16840"/>
          <w:pgMar w:top="1480" w:right="1680" w:bottom="280" w:left="1680" w:header="0" w:footer="1073" w:gutter="0"/>
          <w:cols w:space="720"/>
        </w:sectPr>
      </w:pPr>
    </w:p>
    <w:p w:rsidR="00CE114E" w:rsidRDefault="00F35430">
      <w:pPr>
        <w:pStyle w:val="1"/>
        <w:snapToGrid w:val="0"/>
        <w:spacing w:beforeLines="0" w:before="240" w:after="240"/>
        <w:rPr>
          <w:rFonts w:ascii="宋体" w:hAnsi="宋体"/>
          <w:szCs w:val="30"/>
        </w:rPr>
      </w:pPr>
      <w:bookmarkStart w:id="4" w:name="_Toc238729357"/>
      <w:r>
        <w:rPr>
          <w:rFonts w:ascii="Times New Roman" w:hAnsi="Times New Roman"/>
          <w:sz w:val="30"/>
        </w:rPr>
        <w:lastRenderedPageBreak/>
        <w:t>绪言</w:t>
      </w:r>
      <w:bookmarkEnd w:id="4"/>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启明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启明混合型证券投资基金基金合同》（以下简称“基金合同”）编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F354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E114E" w:rsidRDefault="00F35430">
      <w:pPr>
        <w:pStyle w:val="1"/>
        <w:snapToGrid w:val="0"/>
        <w:spacing w:beforeLines="0" w:before="240" w:after="240"/>
        <w:rPr>
          <w:rFonts w:ascii="宋体" w:hAnsi="宋体"/>
          <w:szCs w:val="30"/>
        </w:rPr>
      </w:pPr>
      <w:bookmarkStart w:id="5" w:name="_Toc238729358"/>
      <w:r>
        <w:rPr>
          <w:rFonts w:ascii="Times New Roman" w:hAnsi="Times New Roman"/>
          <w:sz w:val="30"/>
        </w:rPr>
        <w:lastRenderedPageBreak/>
        <w:t>一、释义</w:t>
      </w:r>
      <w:bookmarkEnd w:id="5"/>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1、基金或本基金：指交银施罗德启明混合型证券投资基金</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3、基金托管人：指中国建设银行股份有限公司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4、基金合同：指《交银施罗德启明混合型证券投资基金基金合同》及对基金合同的任何有效修订和补充</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5、托管协议：指基金管理人与基金托管人就本基金签订之《交银施罗德启明混合型证券投资基金托管协议》及对该托管协议的任何有效修订和补充</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6、招募说明书或本招募说明书：指《交银施罗德启明混合型证券投资基金招募说明书》及其更新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7、基金产品资料概要：指《交银施罗德启明混合型证券投资基金基金产品资料概要》及其更新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8、基金份额发售公告：指《交银施罗德启明混合型证券投资基金基金份额发售公告》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16、银行业监督管理机构：指中国人民银行和/或中国银行保险监督管理委员</w:t>
      </w:r>
      <w:r>
        <w:rPr>
          <w:rFonts w:ascii="宋体" w:hAnsi="宋体"/>
          <w:sz w:val="24"/>
        </w:rPr>
        <w:lastRenderedPageBreak/>
        <w:t>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21、人民币合格境外机构投资者：指按照《人民币合格境外机构投资者境内证券投资试点办法》及相关法律法规规定，运用来自境外的人民币资金进行境内证券投资的境外法人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22、投资人、投资者：指个人投资者、机构投资者、合格境外机构投资者和人民币合格境外机构投资者以及法律法规或中国证监会允许购买证券投资基金的其他投资人的合称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27、登记机构：指办理登记业务的机构。基金的登记机构为交银施罗德基金管理有限公司或接受交银施罗德基金管理有限公司委托代为办理登记业务的机构</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29、基金交易账户：指销售机构为投资人开立的、记录投资人通过该销售机构</w:t>
      </w:r>
      <w:r>
        <w:rPr>
          <w:rFonts w:ascii="宋体" w:hAnsi="宋体"/>
          <w:sz w:val="24"/>
        </w:rPr>
        <w:lastRenderedPageBreak/>
        <w:t>办理认购、申购、赎回、转换及转托管等业务而引起的基金份额变动及结余情况的账户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37、开放日：指为投资人办理基金份额申购、赎回或其他业务的工作日（若该工作日为非港股通交易日，则本基金可不开放）</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39、《业务规则》：指中国证券登记结算有限责任公司相关业务规则及其不时做出的修订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基金转换：指基金份额持有人按照基金合同和基金管理人届时有效公告规定的条件，申请将其持有基金管理人管理的、某一基金的基金份额转换为该基金其他份额（如有）或基金管理人管理的其他基金基金份额的行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44、转托管：指基金份额持有人在本基金的不同销售机构之间实施的变更所持基金份额销售机构的操作</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45、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47、元：指人民币元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48、基金收益：指基金投资所得红利、股息、债券利息、买卖证券价差、银行存款利息、已实现的其他合法收入及因运用基金财产带来的成本和费用的节约</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49、基金资产总值：指基金拥有的各类有价证券、股指期货合约、银行存款本息、基金应收申购款及其他资产的价值总和</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50、基金资产净值：指基金资产总值减去基金负债后的价值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51、基金份额净值：指计算日基金资产净值除以计算日基金份额总数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52、基金资产估值：指计算评估基金资产和负债的价值，以确定基金资产净值和基金份额净值的过程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53、销售服务费：指从基金财产中计提的，用于本基金市场推广、销售以及基金份额持有人服务的费用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54、A类基金份额：指在投资人申购时收取申购费用且不从本类别基金资产中计提销售服务费的基金份额</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55、C类基金份额：指在投资人申购时不收取申购费用，并从本类别基金资产中计提销售服务费的基金份额</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56、港股通：指内地投资者委托内地证券公司，经由内地证券交易所在香港设立的证券交易服务公司，向香港联合交易所进行申报，买卖规定范围内的香港联合交易所上市的股票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57、指定媒介：指中国证监会指定的用以进行信息披露的全国性报刊及指定互联网网站（包括基金管理人网站、基金托管人网站、中国证监会基金电子披露网站）等媒介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w:t>
      </w:r>
      <w:r>
        <w:rPr>
          <w:rFonts w:ascii="宋体" w:hAnsi="宋体"/>
          <w:sz w:val="24"/>
        </w:rPr>
        <w:lastRenderedPageBreak/>
        <w:t>及非公开发行股票、资产支持证券、因发行人债务违约无法进行转让或交易的债券等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62、不可抗力：指基金合同当事人不能预见、不能避免且不能克服的客观事件</w:t>
      </w:r>
    </w:p>
    <w:p w:rsidR="00B439CC" w:rsidRDefault="00F354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E114E" w:rsidRDefault="00F35430">
      <w:pPr>
        <w:pStyle w:val="1"/>
        <w:snapToGrid w:val="0"/>
        <w:spacing w:beforeLines="0" w:before="240" w:after="240"/>
        <w:rPr>
          <w:rFonts w:ascii="宋体" w:hAnsi="宋体"/>
          <w:szCs w:val="30"/>
        </w:rPr>
      </w:pPr>
      <w:bookmarkStart w:id="6" w:name="_Toc238729359"/>
      <w:r>
        <w:rPr>
          <w:rFonts w:ascii="Times New Roman" w:hAnsi="Times New Roman"/>
          <w:sz w:val="30"/>
        </w:rPr>
        <w:lastRenderedPageBreak/>
        <w:t>二、基金管理人</w:t>
      </w:r>
      <w:bookmarkEnd w:id="6"/>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珊珊女士:基金经理。北京大学软件工程硕士、厦门大学经济学学士。18年证券投资行业从业经验。2008年至2012年任华安基金管理有限公司交易员，2012年至2016年任银河基金管理有限公司基金经理，2016年任国金基金管理有限公司投资经理。2016年加入交银施罗德基金管理有限公司，曾任专户投资部投资经理、混合资产投资部混合资产投资助理总监，现任权益部三级专家、基金经理。曾任交银施罗德稳固收益债券型证券投资基金(2022年04月21日至2024年12月27日)、交银施罗德稳进丰利六个月持有期混合型证券投资基金(2023年06月21日至2024年11月23日)的基金经理。现任交银施罗德优择回报灵活配置混合型证券投资基金(2024年12月10日至今)、交银施罗德启明混合型证券投资基金(2025年09月15日至今)的基金经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芝廷先生:基金经理。上海财经大学经济学硕士，16年证券投资行业从业经验。2007年至2009年任通用电气金融（中国）有限公司消费者金融风险分析师，2009年至2010年任交通银行股份有限公司信用卡中心风险策略分析师，2010年至2015年任万家基金管理有限公司行业研究员。2015年加入交银施罗德基金管理有限公司，曾任行业分析师，专户投资部投资经理，现任权益部基金经理。现任交银施罗德启明混合型证券投资基金(2026年08月25日至今)的基金经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刘鹏先生(2020年05月27日至2025年09月20日)。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1、依法募集资金，办理或者委托经中国证监会认定的其他机构办理基金份额的发售、申购、赎回和登记事宜；</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w:t>
      </w:r>
      <w:r>
        <w:rPr>
          <w:rFonts w:ascii="宋体" w:hAnsi="宋体"/>
          <w:sz w:val="24"/>
        </w:rPr>
        <w:lastRenderedPageBreak/>
        <w:t>有关法律法规及行业规范，诚实信用、勤勉尽责；</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（1）董事会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风险管理是每一个业务部门首要的责任。部门负责人对本部门的风险负全部责任，负责履行公司的风险管理程序，负责本部门的风险管理系统的开发、执行和维护，用于识别、监控和降低风险。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F354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E114E" w:rsidRDefault="00F35430">
      <w:pPr>
        <w:pStyle w:val="1"/>
        <w:snapToGrid w:val="0"/>
        <w:spacing w:beforeLines="0" w:before="240" w:after="240"/>
        <w:rPr>
          <w:rFonts w:ascii="宋体" w:hAnsi="宋体"/>
          <w:szCs w:val="30"/>
        </w:rPr>
      </w:pPr>
      <w:bookmarkStart w:id="7" w:name="_Toc238729360"/>
      <w:r>
        <w:rPr>
          <w:rFonts w:ascii="Times New Roman" w:hAnsi="Times New Roman"/>
          <w:sz w:val="30"/>
        </w:rPr>
        <w:lastRenderedPageBreak/>
        <w:t>三、基金托管人</w:t>
      </w:r>
      <w:bookmarkEnd w:id="7"/>
    </w:p>
    <w:p w:rsidR="00CE114E" w:rsidRDefault="00F354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名称：中国建设银行股份有限公司(简称：中国建设银行)</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成立时间：2004年09月17日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注册资本：贰仟伍佰亿壹仟零玖拾柒万柒仟肆佰捌拾陆元整</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基金托管资格批文及文号：中国证监会证监基字[1998]12号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联系人：王小飞</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联系电话：(021)6063 7103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2024年末，中国建设银行已托管1405只</w:t>
      </w:r>
      <w:r>
        <w:rPr>
          <w:rFonts w:ascii="宋体" w:hAnsi="宋体"/>
          <w:sz w:val="24"/>
        </w:rPr>
        <w:lastRenderedPageBreak/>
        <w:t>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2020及2022年度“中国年度托管银行（大型银行）”奖项。2022年度，荣获《环球金融》 “中国最佳次托管银行”，并作为唯一中资银行获得《财资》“中国最佳QFI托管银行”奖项。2023年度，荣获中国基金报“公募基金25年最佳基金托管银行”奖项。2024年度，荣获《中国基金报》“优秀ETF托管人”、《中国证券报》“ETF金牛生态圈卓越托管机构（银行）”、《环球金融》“中国最佳次托管人”等奖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（二）基金托管人的内部控制制度</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w:t>
      </w:r>
      <w:r>
        <w:rPr>
          <w:rFonts w:ascii="宋体" w:hAnsi="宋体"/>
          <w:sz w:val="24"/>
        </w:rPr>
        <w:lastRenderedPageBreak/>
        <w:t>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1、监督方法</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2、监督流程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(2)收到基金管理人的划款指令后，对指令要素等内容进行核查。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(3)通过技术或非技术手段发现基金涉嫌违规交易，电话或书面要求基金管理人进行解释或举证，如有必要将及时报告中国证监会。</w:t>
      </w:r>
    </w:p>
    <w:p w:rsidR="00B439CC" w:rsidRDefault="00F354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E114E" w:rsidRDefault="00F35430">
      <w:pPr>
        <w:pStyle w:val="1"/>
        <w:snapToGrid w:val="0"/>
        <w:spacing w:beforeLines="0" w:before="240" w:after="240"/>
        <w:rPr>
          <w:rFonts w:ascii="宋体" w:hAnsi="宋体"/>
          <w:szCs w:val="30"/>
        </w:rPr>
      </w:pPr>
      <w:bookmarkStart w:id="8" w:name="_Toc238729361"/>
      <w:r>
        <w:rPr>
          <w:rFonts w:ascii="Times New Roman" w:hAnsi="Times New Roman"/>
          <w:sz w:val="30"/>
        </w:rPr>
        <w:lastRenderedPageBreak/>
        <w:t>四、相关服务机构</w:t>
      </w:r>
      <w:bookmarkEnd w:id="8"/>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个人投资者可以通过本公司网上直销交易平台办理开户、本基金的申购、赎回、定期定额投资、转换等业务，具体交易细则请参阅本公司网站。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（1）名称：中国建设银行股份有限公司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办公地址：上海市中山东一路12 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（3）名称：东吴证券股份有限公司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住所：苏州工业园区星阳街5号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法定代表人：范力</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电话：0512-62938521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传真：0512-62938527</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联系人：陆晓</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网址：www.dwjq.com.cn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（4）名称：平安银行股份有限公司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（5）名称：中国光大银行股份有限公司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联系人：刘昭宇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（6）名称：中国民生银行股份有限公司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（7）名称：中国农业银行股份有限公司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（8）名称：东莞农村商业银行股份有限公司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（9）名称：中信银行股份有限公司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（10）名称：交通银行股份有限公司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（11）名称：招商银行股份有限公司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（12）名称：宁波银行股份有限公司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电话：（021）63586210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（13）名称：上海银行股份有限公司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传真：（021）68476111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（14）名称：兴业银行股份有限公司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（15）名称：光大证券股份有限公司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网址：www.ebscn.com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（16）名称：中信证券股份有限公司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（17）名称：中国中金财富证券有限公司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（18）名称：山西证券股份有限公司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（19）名称：方正证券股份有限公司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传真：（010）68546792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（20）名称：德邦证券股份有限公司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（21）名称：国投证券股份有限公司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（22）名称：中信建投证券股份有限公司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（23）名称：中原证券股份有限公司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办公地址：郑州市郑东新区商务外环路10号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（24）名称：东方财富证券股份有限公司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（25）名称：国信证券股份有限公司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（26）名称：金融街证券股份有限公司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联系人：熊丽、王捷勋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（27）名称：华泰证券股份有限公司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（28）名称：兴业证券股份有限公司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（29）名称：广发证券股份有限公司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（30）名称：海通证券股份有限公司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（31）名称：中国银河证券股份有限公司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（32）名称：申万宏源证券有限公司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（33）名称：国都证券股份有限公司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网址：www.guodu.com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（34）名称：平安证券股份有限公司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（35）名称：中信证券（山东）有限责任公司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（36）名称：申万宏源西部证券有限公司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（37）名称：中国国际金融股份有限公司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办公地址：北京建国门外大街1号国贸大厦2座27层及28层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（38）名称：长城证券有限责任公司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（39）名称：国金证券股份有限公司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（40）名称：国新证券股份有限公司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客户服务电话：（010）58568118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（41）名称：华西证券股份有限公司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（42）名称：第一创业证券股份有限公司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（43）名称：中信证券华南股份有限公司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（44）名称：国泰海通证券股份有限公司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注册地址：中国（上海）自由贸易试验区商城路618号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（45）名称：招商证券股份有限公司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（46）名称：大同证券有限责任公司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（47）名称：万联证券股份有限公司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 系 人：丁思</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（48）名称：华龙证券股份有限公司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（49）名称：西部证券股份有限公司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（50）名称：国联民生证券股份有限公司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（51）名称：财通证券股份有限公司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注册地址：杭州市杭大路15号嘉华国际商务中心201、501、502、1103、1601-1615、1701-1716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（52）名称：中邮证券有限责任公司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注册地址：陕西省西安市唐延路5号（陕西邮政信息大厦9-11层）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办公地址：北京市东城区珠市口东大街17号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法定代表人：郭成林</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电话：010-67017788-8914</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传真：010-67017788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联系人：史蕾</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客户服务电话：4008-888-005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网址：www.cnpsec.com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（53）名称：开源证券股份有限公司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（54）名称：东兴证券股份有限公司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住所：北京市西城区金融大街5号新盛大厦B座12-15层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法定代表人：徐勇力</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电话：（010）66555316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传真：（010）66555246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联系人：汤漫川</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400-8888-993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网址：www.dxzq.net</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（55）名称：浙商证券股份有限公司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住所：浙江省杭州市江干区五星路201号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办公地址：浙江省杭州市江干区五星路201号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法定代表人：吴承根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电话：（0571）87901964</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传真：（0571）87901955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联系人：胡相斌</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客户服务电话：95345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网址：www.stocke.com.cn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（56）名称：华宝证券股份有限公司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（57）名称：南京证券股份有限公司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网址：www.nizq.com.cn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（58）名称：华福证券有限责任公司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住所：福州市五四路157号新天地大厦7、8层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办公地址：福州市五四路新天地大厦7至10层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法定代表人：黄金琳</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（59）名称：东莞证券股份有限公司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（60）名称：深圳市新兰德证券投资咨询有限公司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（61）名称：大连网金基金销售有限公司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电话：（0411-39027810）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（62）名称：阳光人寿保险股份有限公司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（63）名称：玄元保险代理有限公司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（64）名称：京东肯特瑞基金销售有限公司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客服热线：95118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（65）名称：上海大智慧基金销售有限公司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（66）名称：珠海盈米基金销售有限公司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（67）名称：北京度小满基金销售有限公司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（68）名称：南京苏宁基金销售有限公司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住所：南京市玄武区苏宁大道1-5号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（69）名称：嘉实财富管理有限公司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（70）名称：北京汇成基金销售有限公司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（71）名称：上海利得基金销售有限公司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电话：021-50583533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（72）名称：北京虹点基金销售有限公司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（73）名称：上海陆金所基金销售有限公司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（74）名称：上海挖财基金销售有限公司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联系人：毛善波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（75）名称：万家财富基金销售（天津）有限公司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（76）名称：上海万得基金销售有限公司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（77）名称：格上富信投资顾问有限公司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（78）名称：深圳市金斧子基金销售有限公司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（79）名称：北京雪球基金销售有限公司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（80）名称：北京新浪仓石基金销售有限公司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（81）名称：中证金牛（北京）基金销售有限公司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 北京市西城区宣武门外大街甲一号环球财讯中心A座5层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（82）名称：上海证达通基金销售有限公司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（83）名称：奕丰基金销售有限公司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（84）名称：上海天天基金销售有限公司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电话：（021）54509998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（85）名称：和讯信息科技有限公司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（86）名称：诺亚正行基金销售有限公司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（87）名称：上海好买基金销售有限公司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网址：www.howbuy.com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（88）名称：深圳众禄基金销售股份有限公司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（89）名称：蚂蚁（杭州）基金销售有限公司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（90）名称：中信期货有限公司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（91）名称：上海基煜基金销售有限公司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（92）名称：浙江同花顺基金销售有限公司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（93）名称：宜信普泽（北京）基金销售有限公司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（94）名称：上海联泰基金销售有限公司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办公地址：上海市虹口区临潼路188号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（95）名称：泛华普益基金销售有限公司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（96）名称：北京展恒基金销售股份有限公司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（97）名称：和耕传承基金销售有限公司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电话：0371-85518395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（98）名称：中国人寿保险股份有限公司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（99）名称：腾安基金销售（深圳）有限公司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（100）名称：北京创金启富基金销售有限公司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（101）名称：上海长量基金销售有限公司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住所：上海市浦东新区高翔路526号2幢220室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（102）名称：上海中欧财富基金销售有限公司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（103）名称：济安财富（北京）基金销售有限公司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（104）名称：上海华夏财富投资管理有限公司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电话：010-88066632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（105）名称：博时财富基金销售有限公司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（106）名称：深圳前海微众银行股份有限公司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法定代表人：于文强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F354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E114E" w:rsidRDefault="00F35430">
      <w:pPr>
        <w:pStyle w:val="1"/>
        <w:snapToGrid w:val="0"/>
        <w:spacing w:beforeLines="0" w:before="240" w:after="240"/>
        <w:rPr>
          <w:rFonts w:ascii="宋体" w:hAnsi="宋体"/>
          <w:szCs w:val="30"/>
        </w:rPr>
      </w:pPr>
      <w:bookmarkStart w:id="9" w:name="_Toc238729362"/>
      <w:r>
        <w:rPr>
          <w:rFonts w:ascii="Times New Roman" w:hAnsi="Times New Roman"/>
          <w:sz w:val="30"/>
        </w:rPr>
        <w:lastRenderedPageBreak/>
        <w:t>五、基金的募集</w:t>
      </w:r>
      <w:bookmarkEnd w:id="9"/>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本基金由基金管理人依照《基金法》、《运作办法》、《销售办法》、基金合同及其他有关规定，并经中国证监会2020年3月26日证监许可【2020】584号文准予募集注册。</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本基金为契约型开放式混合型证券投资基金，基金的存续期间为不定期。</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本基金自2020年5月18日至2020年5月21日进行发售，本基金设立募集期共募集4,790,396,457.84份基金份额，有效认购户数为52,974户。</w:t>
      </w:r>
    </w:p>
    <w:p w:rsidR="00B439CC" w:rsidRDefault="00F354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E114E" w:rsidRDefault="00F35430">
      <w:pPr>
        <w:pStyle w:val="1"/>
        <w:snapToGrid w:val="0"/>
        <w:spacing w:beforeLines="0" w:before="240" w:after="240"/>
        <w:rPr>
          <w:rFonts w:ascii="宋体" w:hAnsi="宋体"/>
          <w:szCs w:val="30"/>
        </w:rPr>
      </w:pPr>
      <w:bookmarkStart w:id="10" w:name="_Toc238729363"/>
      <w:r>
        <w:rPr>
          <w:rFonts w:ascii="Times New Roman" w:hAnsi="Times New Roman"/>
          <w:sz w:val="30"/>
        </w:rPr>
        <w:lastRenderedPageBreak/>
        <w:t>六、基金合同的生效</w:t>
      </w:r>
      <w:bookmarkEnd w:id="10"/>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根据有关规定，本基金满足基金合同生效条件，基金合同已于2020年5月27日正式生效。自基金合同生效之日起，本基金管理人正式开始管理本基金。</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F354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E114E" w:rsidRDefault="00F35430">
      <w:pPr>
        <w:pStyle w:val="1"/>
        <w:snapToGrid w:val="0"/>
        <w:spacing w:beforeLines="0" w:before="240" w:after="240"/>
        <w:rPr>
          <w:rFonts w:ascii="宋体" w:hAnsi="宋体"/>
          <w:szCs w:val="30"/>
        </w:rPr>
      </w:pPr>
      <w:bookmarkStart w:id="11" w:name="_Toc238729364"/>
      <w:r>
        <w:rPr>
          <w:rFonts w:ascii="Times New Roman" w:hAnsi="Times New Roman"/>
          <w:sz w:val="30"/>
        </w:rPr>
        <w:lastRenderedPageBreak/>
        <w:t>七、基金份额的申购与赎回</w:t>
      </w:r>
      <w:bookmarkEnd w:id="11"/>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个人投资者可以通过基金管理人网上直销交易平台办理开户、本基金A类基金份额和C类基金份额的申购、赎回、定期定额投资、转换等业务，具体交易细则请参阅基金管理人网站。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（二）申购和赎回的开放日及时间</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投资人在开放日办理基金份额的申购和赎回，具体办理时间为上海证券交易所、深圳证券交易所的正常交易日的交易时间（若该工作日为非港股通交易日，则</w:t>
      </w:r>
      <w:r>
        <w:rPr>
          <w:rFonts w:ascii="宋体" w:hAnsi="宋体"/>
          <w:sz w:val="24"/>
        </w:rPr>
        <w:lastRenderedPageBreak/>
        <w:t>本基金可不开放），但基金管理人根据法律法规、中国证监会的要求或基金合同的规定公告暂停申购、赎回时除外。</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指定媒介上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本基金A类基金份额已于2020年7月3日起开放申购、赎回业务。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本基金C类基金份额已于2021年11月12日起开放申购、赎回业务。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在确定申购开始与赎回开始时间后，基金管理人应在申购、赎回开放日前依照《信息披露办法》的有关规定在指定媒介上公告申购与赎回的开始时间。</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（三）申购与赎回的原则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5、基金管理人可在法律法规允许的情况下，调整上述规定申购金额和赎回份额的数量限制。基金管理人必须在调整实施前依照《信息披露办法》的有关规定在指定媒介上公告。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w:t>
      </w:r>
      <w:r>
        <w:rPr>
          <w:rFonts w:ascii="宋体" w:hAnsi="宋体"/>
          <w:sz w:val="24"/>
        </w:rPr>
        <w:lastRenderedPageBreak/>
        <w:t>全额到账则申购不成立。投资人全额交付申购款项，申购成立；基金登记机构确认基金份额时，申购生效。</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（六）基金的申购费和赎回费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w:t>
      </w:r>
      <w:r>
        <w:rPr>
          <w:rFonts w:ascii="宋体" w:hAnsi="宋体"/>
          <w:sz w:val="24"/>
        </w:rPr>
        <w:lastRenderedPageBreak/>
        <w:t>计提销售服务费。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本基金A类基金份额的申购费用由申购A类基金份额的申购人承担，不列入基金财产，主要用于本基金的市场推广、销售、登记等各项费用。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CE114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CE114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E114E" w:rsidRDefault="00CE114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CE114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E114E" w:rsidRDefault="00CE114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CE114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E114E" w:rsidRDefault="00CE114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CE114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E114E" w:rsidRDefault="00CE114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本基金对通过基金管理人直销柜台申购本基金A类基金份额的养老金客户实施特定申购费率。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CE114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类基金份额的申购费率</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CE114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E114E" w:rsidRDefault="00CE114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CE114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E114E" w:rsidRDefault="00CE114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CE114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E114E" w:rsidRDefault="00CE114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CE114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E114E" w:rsidRDefault="00CE114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w:t>
      </w:r>
      <w:r>
        <w:rPr>
          <w:rFonts w:ascii="宋体" w:hAnsi="宋体"/>
          <w:sz w:val="24"/>
        </w:rPr>
        <w:lastRenderedPageBreak/>
        <w:t>卡交易金额限额请参阅本基金管理人网站。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在基金份额持有人赎回A类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将赎回费总额的25%计入基金财产。上述“月”指的是30个自然日。未归入基金财产的部分用于支付登记费和其他必要的手续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CE114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类基金份额赎回费率</w:t>
            </w:r>
          </w:p>
        </w:tc>
      </w:tr>
      <w:tr w:rsidR="00CE114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E114E" w:rsidRDefault="00CE114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CE114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E114E" w:rsidRDefault="00CE114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CE114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E114E" w:rsidRDefault="00CE114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CE114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E114E" w:rsidRDefault="00CE114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年（含）</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rsidR="00CE114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E114E" w:rsidRDefault="00CE114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CE114E">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类基金份额赎回费率</w:t>
            </w:r>
          </w:p>
        </w:tc>
      </w:tr>
      <w:tr w:rsidR="00CE114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E114E" w:rsidRDefault="00CE114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CE114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E114E" w:rsidRDefault="00CE114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CE114E">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CE114E" w:rsidRDefault="00CE114E">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w:t>
      </w:r>
      <w:r>
        <w:rPr>
          <w:rFonts w:ascii="宋体" w:hAnsi="宋体"/>
          <w:sz w:val="24"/>
        </w:rPr>
        <w:lastRenderedPageBreak/>
        <w:t>制，以确保基金估值的公平性。具体处理原则与操作规范遵循相关法律法规以及监管部门、自律规则的规定。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（七）申购和赎回的数额和价格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A类基金份额或C类基金份额有效赎回份额乘以当日该类基金份额的基金份额净值并扣除相应的费用（如有），赎回金额单位为元。赎回金额计算结果按四舍五入方法，保留到小数点后2位，由此产生的收益或损失由基金财产承担。</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申购份额=（申购总金额-申购费用）/T日A类基金份额净值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例一：某投资者（非养老金客户）投资40,000元申购本基金A类基金份额，假设申购当日A类基金份额净值为1.0400元，申购费率为1.5%，则其可得到的申购份额为：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申购份额=（40,000-591.13）/1.0400=37,893.14份</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即：该投资者（非养老金客户）投资40,000元申购本基金A类基金份额，假设申购当日A类基金份额净值为1.0400元，则其可得到37,893.14份A类基金份额。</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例二：某养老金客户投资100,000元通过基金管理人的直销柜台申购本基金A类基金份额，假设申购当日A类基金份额净值为1.0400元，申购费率为0.6%，则其可得到的申购份额为：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净申购金额=100,000/（1+0.6%）=99,403.58元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申购费用=100,000-99,403.58=596.42元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申购份额=（100,000-596.42）/1.0400=95,580.37份</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即：该养老金客户投资100,000元通过基金管理人的直销柜台申购本基金A类基金份额，假设申购当日A类基金份额净值为1.0400元，则其可得到95,580.37份A类基金份额。</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例四：某投资者赎回持有的10,000份A类基金份额，持有期限为30日，对应的赎回费率为0.5%，假设赎回当日A类基金份额净值是1.0160元，则其可得到的赎回金额为：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赎回金额=10,000×1.0160-50.80＝10,109.20元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即：该投资者赎回本基金10,000份A类基金份额，持有期限为30日，对应的赎回费率为0.5%，假设赎回当日A类基金份额净值是1.0160元，则其可得到的赎回金额为10,109.20元。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例五：某投资者赎回10,000份C类基金份额，持有期限为20日，对应的赎回费率为0.5%，假设赎回当日C类基金份额净值是1.0160元，则其可得到的赎回金额为：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赎回金额=10,000×1.0160-50.80＝10,109.20元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即：投资者赎回10,000份C类基金份额，持有期限为20日，对应的赎回费率为0.5%，假设赎回当日C类基金份额净值是1.0160元，则其可得到的赎回金额为10,109.20元。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A类基金份额和C类基金份额的基金份额净值的计算，均保留到小数点后4位，小数点后第5位四舍五入，由此产生的收益或损失由基金财产承担。</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（八）拒绝或暂停申购的情形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3、证券、期货交易所交易时间非正常停市或港股通临时停市，导致基金管理人无法计算当日基金资产净值。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（九）暂停赎回或延缓支付赎回款项的情形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w:t>
      </w:r>
      <w:r>
        <w:rPr>
          <w:rFonts w:ascii="宋体" w:hAnsi="宋体"/>
          <w:sz w:val="24"/>
        </w:rPr>
        <w:lastRenderedPageBreak/>
        <w:t>基金管理人应当延缓支付赎回款项或暂停接受基金赎回申请。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7、法律法规规定、中国证监会认定或基金合同约定的其他情形。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（十）巨额赎回的情形及处理方式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（3）本基金如发生巨额赎回且单个开放日内单个基金份额持有人申请赎回的基金份额超过前一开放日的基金总份额的20%时，本基金管理人有权采取如下措施：</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当发生上述巨额赎回并延期办理时，基金管理人应当通过邮寄、传真或者通知销售机构代为告知等方式在3个交易日内通知基金份额持有人，说明有关处理方法，并在两日内在指定媒介上刊登公告。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（十一）暂停申购或赎回的公告和重新开放申购或赎回的公告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2、如发生暂停的时间为1日，基金管理人应于重新开放日，在指定媒介上刊登基金重新开放申购或赎回公告，并公布最近1个开放日各类基金份额的基金份额净值。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（十二）基金的非交易过户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（十三）基金的转托管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（十四）定期定额投资计划</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2020年7月1日刊登公告自2020年7月3日起开通A类基金份额的定期定额投资计划业务，本基金2021年11月9日刊登公告自2021年11月12日起增设C类基金份额并开通C类基金份额的定期定额投资计划业务，具体开通销售机构名单和业务规则参见相关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（十五）定期定额赎回业务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中国农业银行股份有限公司申请办理本基金A类基金份额的定期定额赎回业务。定期定额赎回业务是指投资人可以委托中国农业银行股份有限公司每月固定时间从指定的基金账户代投资人赎回固定份额的基金。本基金2020年7月1日刊登公告自2020年7月3日起在中国农业银行股份有限公司下属各销售网点开通本基金A类基金份额的定期定额赎回业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投资人通过中国农业银行股份有限公司办理本基金A类基金份额的定期定额赎回业务，相关流程和业务规则遵循中国农业银行股份有限公司的有关规定。详情请</w:t>
      </w:r>
      <w:r>
        <w:rPr>
          <w:rFonts w:ascii="宋体" w:hAnsi="宋体"/>
          <w:sz w:val="24"/>
        </w:rPr>
        <w:lastRenderedPageBreak/>
        <w:t>咨询当地中国农业银行股份有限公司的销售网点或中国农业银行股份有限公司客户服务热线（95599）。</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（十六）基金份额的冻结和解冻</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（十七）基金份额的转让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（十八）实施侧袋机制期间本基金的申购与赎回</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（十九）其他业务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F354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E114E" w:rsidRDefault="00F35430">
      <w:pPr>
        <w:pStyle w:val="1"/>
        <w:snapToGrid w:val="0"/>
        <w:spacing w:beforeLines="0" w:before="240" w:after="240"/>
        <w:rPr>
          <w:rFonts w:ascii="宋体" w:hAnsi="宋体"/>
          <w:szCs w:val="30"/>
        </w:rPr>
      </w:pPr>
      <w:bookmarkStart w:id="12" w:name="_Toc238729365"/>
      <w:r>
        <w:rPr>
          <w:rFonts w:ascii="Times New Roman" w:hAnsi="Times New Roman"/>
          <w:sz w:val="30"/>
        </w:rPr>
        <w:lastRenderedPageBreak/>
        <w:t>八、基金的转换</w:t>
      </w:r>
      <w:bookmarkEnd w:id="12"/>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该基金其他份额（如有）或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2020年9月24日刊登公告自2020年9月28日起开放A类基金份额的日常转换业务，本基金2021年12月20日刊登公告自2021年12月20日起开放C类基金份额的日常转换业务。本基金2025年10月23日刊登公告自2025年10月23日起开放开通同一基金不同类别基金份额转换业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w:t>
      </w:r>
      <w:r>
        <w:rPr>
          <w:rFonts w:ascii="宋体" w:hAnsi="宋体"/>
          <w:sz w:val="24"/>
        </w:rPr>
        <w:lastRenderedPageBreak/>
        <w:t>日）投资人可向销售机构查询基金转换的成交情况，并有权转换或赎回该部分基金份额。</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（四）基金转换的数额限制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4、后端收费模式下转出与转入基金的申购补差费用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A为货币市场基金转出的基金份额按比例结转的账户当前累计待支付收益（仅限转出基金为货币市场基金的情形，否则A为0）。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转入基金确认份额=（125,000-1,847.29）/2.2700=54,252.30份</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转出与转入基金的申购补差费=124,750×0=0元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F354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E114E" w:rsidRDefault="00F35430">
      <w:pPr>
        <w:pStyle w:val="1"/>
        <w:snapToGrid w:val="0"/>
        <w:spacing w:beforeLines="0" w:before="240" w:after="240"/>
        <w:rPr>
          <w:rFonts w:ascii="宋体" w:hAnsi="宋体"/>
          <w:szCs w:val="30"/>
        </w:rPr>
      </w:pPr>
      <w:bookmarkStart w:id="13" w:name="_Toc238729366"/>
      <w:r>
        <w:rPr>
          <w:rFonts w:ascii="Times New Roman" w:hAnsi="Times New Roman"/>
          <w:sz w:val="30"/>
        </w:rPr>
        <w:lastRenderedPageBreak/>
        <w:t>九、基金的投资</w:t>
      </w:r>
      <w:bookmarkEnd w:id="13"/>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在合理控制风险并保持基金资产良好流动性的前提下，充分发挥专业研究与管理能力，追求超越业绩比较基准的投资回报，力争实现基金资产的长期稳健增值。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券；在保持总体风险水平相对稳定的基础上，力争获取投资组合的较高回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充分发挥基金管理人的研究优势，以长期历史数据为基础，运用稳健的投资理念和严谨的分析方法对经济基本面进行深入的定量和定性分析，确定基金资产在沪深A股、港股、债券及货币市场工具等各类别资产的初步分配比例。同时，再辅以投资时钟模型以及周期轮动理论“自上而下”对各类资产配比进行灵活调整，及时应对市场变化，在有效规避或控制市场风险的基础上，为投资者获取稳定的投资收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（1）定量筛选指标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盈利能力指标：如市盈率（P/E）、市现率（P/Cash Flow）、股价与每股自由现金流比率（P/FCF）、市销率（P/S）、股价与每股息税前利润比率（P/EBIT）等；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经营效率指标：如净资产收益率（ROE）、资产收益率（ROA）、经营资产回报率（Return on operating assets）等；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财务状况指标：如资产负债率（D/A）、流动比率等。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（3）港股通标的股票投资策略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基金可根据投资策略需要或不同配置地市场环境的变化，选择将部分基金资产投资于港股或选择不将基金资产投资于港股，基金资产并非必然投资港股。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（4）存托凭证的投资策略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3、债券投资策略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以期获取债券市场的长期稳定收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4、资产支持证券投资策略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5、股指期货投资策略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w:t>
      </w:r>
      <w:r>
        <w:rPr>
          <w:rFonts w:ascii="宋体" w:hAnsi="宋体"/>
          <w:sz w:val="24"/>
        </w:rPr>
        <w:lastRenderedPageBreak/>
        <w:t>通标的股票的比例占股票资产的0%-50%；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 股合计计算），不超过该证券的10％，完全按照有关指数的构成比例进行证券投资的基金品种可以不受此条款规定的比例限制；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（15）本基金参与股指期货交易，则：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法律法规对上述投资组合比例限制进行变更的，以变更后的规定为准。法律法规或监管部门取消上述限制，如适用于本基金，基金管理人在履行适当程序后，则本基金投资不再受相关限制。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沪深300指数收益率×70%+恒生指数收益率×5%+中证综合债券指数收益率×25%</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w:t>
      </w:r>
      <w:r>
        <w:rPr>
          <w:rFonts w:ascii="宋体" w:hAnsi="宋体"/>
          <w:sz w:val="24"/>
        </w:rPr>
        <w:lastRenderedPageBreak/>
        <w:t>金A股资产投资的业绩比较基准。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恒生指数是由恒生指数服务有限公司编制，以香港股票市场中的50 家上市股票为成份股样本，以其发行量为权数的加权平均股价指数，是反映香港股市价幅趋势最有影响的一种股价指数。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本基金债券资产投资的业绩比较基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本基金是一只混合型基金，其预期风险和预期收益高于债券型基金和货币市场基金，低于股票型基金。</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（七）基金管理人代表基金行使股东或债权人权利的处理原则及方法</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（八）侧袋机制的实施和投资运作安排</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侧袋机制实施期间，本部分约定的投资组合比例、投资策略、组合限制、业绩比较基准、风险收益特征等约定仅适用于主袋账户。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（九）基金投资组合报告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本基金托管人中国建设银行股份有限公司根据本基金合同规定，于2025年10月27日复核了本报告中的财务指标、净值表现和投资组合报告等内容，保证复核内容不存在虚假记载、误导性陈述或者重大遗漏。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本投资组合报告期为2025年07月01日起至09月30日，所载财务数据未经审计师审计。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1,606,024,551.84</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89.70</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1,606,024,551.84</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89.70</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36,190,304.55</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2.02</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36,190,304.55</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2.02</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145,704,572.08</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8.14</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2,572,627.30</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1,790,492,055.77</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注：本基金本报告期末通过港股通机制投资香港股票的公允价值为270,705,206.47元，占基金资产净值比例为15.67%。</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4,857,600.00</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0.28</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1,187,527,579.50</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68.74</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10,042,239.01</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0.58</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128,221,084.52</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7.42</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4,670,842.34</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0.27</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1,335,319,345.37</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77.30</w:t>
            </w:r>
          </w:p>
        </w:tc>
      </w:tr>
    </w:tbl>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100,266,003.62</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5.80</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70,193,367.63</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4.06</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信息技术</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62,404,485.89</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3.61</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26,627,919.90</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1.54</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原材料</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8,181,994.38</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0.47</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工业</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3,031,435.05</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0.18</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270,705,206.47</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15.67</w:t>
            </w:r>
          </w:p>
        </w:tc>
      </w:tr>
    </w:tbl>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注：本报告采用中证CICS一级分类标准编制。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3、期末按公允价值占基金资产净值比例大小排序的股票投资明细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300502</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新易盛</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319,703</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116,937,766.31</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6.77</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289,120</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116,711,961.60</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6.76</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603986</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兆易创新</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531,640</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113,398,812.00</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6.56</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688256</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寒武纪</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76,525</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101,395,625.00</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5.87</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688002</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睿创微纳</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1,057,209</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93,499,563.96</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5.41</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06869 HK</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长飞光纤光缆</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1,680,000</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72,579,718.85</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4.20</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09988 HK</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阿里巴巴</w:t>
            </w:r>
            <w:r>
              <w:rPr>
                <w:rFonts w:ascii="Times New Roman" w:hAnsi="Times New Roman"/>
                <w:color w:val="000000"/>
                <w:kern w:val="0"/>
                <w:sz w:val="25"/>
                <w:szCs w:val="24"/>
              </w:rPr>
              <w:t>-W</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308,600</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49,868,976.16</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2.89</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601689</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拓普集团</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538,000</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43,572,620.00</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2.52</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300750</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宁德时代</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106,478</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42,804,156.00</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2.48</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300680</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隆盛科技</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672,900</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42,365,784.00</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2.45</w:t>
            </w:r>
          </w:p>
        </w:tc>
      </w:tr>
    </w:tbl>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36,190,304.55</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2.09</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36,190,304.55</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2.09</w:t>
            </w:r>
          </w:p>
        </w:tc>
      </w:tr>
    </w:tbl>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246,000</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24,648,654.08</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1.43</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019758</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国债</w:t>
            </w: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114,000</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11,541,650.47</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0.67</w:t>
            </w:r>
          </w:p>
        </w:tc>
      </w:tr>
    </w:tbl>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7、报告期末按公允价值占基金资产净值比例大小排序的前五名贵金属投资明细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447,435.39</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911,303.92</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1,213,887.99</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6</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right"/>
              <w:rPr>
                <w:rFonts w:ascii="宋体" w:hAnsi="宋体"/>
                <w:color w:val="000000"/>
                <w:kern w:val="0"/>
                <w:sz w:val="25"/>
                <w:szCs w:val="24"/>
              </w:rPr>
            </w:pPr>
            <w:r>
              <w:rPr>
                <w:rFonts w:ascii="Times New Roman" w:hAnsi="Times New Roman"/>
                <w:color w:val="000000"/>
                <w:kern w:val="0"/>
                <w:sz w:val="25"/>
                <w:szCs w:val="24"/>
              </w:rPr>
              <w:t>2,572,627.30</w:t>
            </w:r>
          </w:p>
        </w:tc>
      </w:tr>
    </w:tbl>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F354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E114E" w:rsidRDefault="00F35430">
      <w:pPr>
        <w:pStyle w:val="1"/>
        <w:snapToGrid w:val="0"/>
        <w:spacing w:beforeLines="0" w:before="240" w:after="240"/>
        <w:rPr>
          <w:rFonts w:ascii="宋体" w:hAnsi="宋体"/>
          <w:szCs w:val="30"/>
        </w:rPr>
      </w:pPr>
      <w:bookmarkStart w:id="14" w:name="_Toc238729367"/>
      <w:r>
        <w:rPr>
          <w:rFonts w:ascii="Times New Roman" w:hAnsi="Times New Roman"/>
          <w:sz w:val="30"/>
        </w:rPr>
        <w:lastRenderedPageBreak/>
        <w:t>十、基金的业绩</w:t>
      </w:r>
      <w:bookmarkEnd w:id="14"/>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基金业绩截止日为2025年09月30日，所载财务数据未经审计师审计。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（1）交银施罗德启明混合型证券投资基金A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CE114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CE114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25.83%</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12.64%</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13.19%</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r>
      <w:tr w:rsidR="00CE114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12.36%</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1.36%</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1.39%</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10.97%</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r>
      <w:tr w:rsidR="00CE114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5.68%</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1.72%</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13.66%</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-7.98%</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r>
      <w:tr w:rsidR="00CE114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-23.91%</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0.96%</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-7.50%</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-16.41%</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r>
      <w:tr w:rsidR="00CE114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-12.90%</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1.32%</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-15.29%</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2.39%</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r>
      <w:tr w:rsidR="00CE114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37.08%</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1.34%</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-2.82%</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0.86%</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39.90%</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r>
      <w:tr w:rsidR="00CE114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2020</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32.98%</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24.26%</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0.93%</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8.72%</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r>
    </w:tbl>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（2）交银施罗德启明混合型证券投资基金C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CE114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CE114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25.63%</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12.64%</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12.99%</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0.55%</w:t>
            </w:r>
          </w:p>
        </w:tc>
      </w:tr>
      <w:tr w:rsidR="00CE114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12.03%</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1.36%</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1.39%</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10.64%</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r>
      <w:tr w:rsidR="00CE114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4.95%</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1.72%</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13.66%</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-8.71%</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r>
      <w:tr w:rsidR="00CE114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-24.37%</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0.96%</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-7.50%</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-16.87%</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r>
      <w:tr w:rsidR="00CE114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-13.42%</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1.32%</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-15.29%</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1.87%</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r>
      <w:tr w:rsidR="00CE114E">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2021</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2.75%</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0.61%</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2.14%</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r>
    </w:tbl>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注：本基金的业绩比较基准为沪深300指数收益率×70%+恒生指数收益率×5%+中证综合债券指数收益率×25%，每日进行再平衡过程。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CE114E" w:rsidRDefault="00F35430">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交银施罗德启明混合型证券投资基金</w:t>
      </w:r>
    </w:p>
    <w:p w:rsidR="00CE114E" w:rsidRDefault="00F35430">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CE114E" w:rsidRDefault="00F35430">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（2020年5月27日至2025年09月30日）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(1)交银施罗德启明混合型证券投资基金A</w:t>
      </w:r>
    </w:p>
    <w:p w:rsidR="00CE114E" w:rsidRDefault="00CC300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(2)交银施罗德启明混合型证券投资基金C</w:t>
      </w:r>
    </w:p>
    <w:p w:rsidR="00CE114E" w:rsidRDefault="00CC300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2、本基金自2021年11月12日起，开始销售C类份额，投资者提交的申购申请于2021年11月15日被确认并将有效份额登记在册。</w:t>
      </w:r>
    </w:p>
    <w:p w:rsidR="00B439CC" w:rsidRDefault="00F354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E114E" w:rsidRDefault="00F35430">
      <w:pPr>
        <w:pStyle w:val="1"/>
        <w:snapToGrid w:val="0"/>
        <w:spacing w:beforeLines="0" w:before="240" w:after="240"/>
        <w:rPr>
          <w:rFonts w:ascii="宋体" w:hAnsi="宋体"/>
          <w:szCs w:val="30"/>
        </w:rPr>
      </w:pPr>
      <w:bookmarkStart w:id="15" w:name="_Toc238729368"/>
      <w:r>
        <w:rPr>
          <w:rFonts w:ascii="Times New Roman" w:hAnsi="Times New Roman"/>
          <w:sz w:val="30"/>
        </w:rPr>
        <w:lastRenderedPageBreak/>
        <w:t>十一、基金的财产</w:t>
      </w:r>
      <w:bookmarkEnd w:id="15"/>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F354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E114E" w:rsidRDefault="00F35430">
      <w:pPr>
        <w:pStyle w:val="1"/>
        <w:snapToGrid w:val="0"/>
        <w:spacing w:beforeLines="0" w:before="240" w:after="240"/>
        <w:rPr>
          <w:rFonts w:ascii="宋体" w:hAnsi="宋体"/>
          <w:szCs w:val="30"/>
        </w:rPr>
      </w:pPr>
      <w:bookmarkStart w:id="16" w:name="_Toc238729369"/>
      <w:r>
        <w:rPr>
          <w:rFonts w:ascii="Times New Roman" w:hAnsi="Times New Roman"/>
          <w:sz w:val="30"/>
        </w:rPr>
        <w:lastRenderedPageBreak/>
        <w:t>十二、基金资产的估值</w:t>
      </w:r>
      <w:bookmarkEnd w:id="16"/>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（二）估值对象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基金所拥有的股票、债券、衍生工具和其他投资等持续以公允价值计量的金融资产及负债。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（三）估值原则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形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（四）估值方法</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以每日收盘价作为估值全价；估值日没有交易的，且最近交易日后经济环境未发生重大变化，按最近交易日债券收盘价作为估值全价。如最近交易日后经济环境发生了重大变化的，可参考类似投资品种现行市价及重大变化因素，调整最近交易市价，确定公允价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5、同一股票同时在两个或两个以上市场交易的，按股票所处的市场分别估值。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估值计算中涉及港币对人民币汇率的，将依据下列信息提供机构所提供的汇率为基准：当日中国人民银行或其授权机构公布的人民币汇率中间价。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7、当发生大额申购或赎回情形时，基金管理人可以采用摆动定价机制，以确保基金估值的公平性。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w:t>
      </w:r>
      <w:r>
        <w:rPr>
          <w:rFonts w:ascii="宋体" w:hAnsi="宋体"/>
          <w:sz w:val="24"/>
        </w:rPr>
        <w:lastRenderedPageBreak/>
        <w:t>题，如经相关各方在平等基础上充分讨论后，仍无法达成一致的意见，按照基金管理人对基金净值信息的计算结果对外予以公布。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（五）估值程序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（六）估值错误的处理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基金管理人和基金托管人将采取必要、适当、合理的措施确保基金资产估值的准确性、及时性。当任一类基金份额净值小数点后4位以内（含第4位）发生估值错误时，视为该类基金份额净值错误。</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2、估值错误处理原则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w:t>
      </w:r>
      <w:r>
        <w:rPr>
          <w:rFonts w:ascii="宋体" w:hAnsi="宋体"/>
          <w:sz w:val="24"/>
        </w:rPr>
        <w:lastRenderedPageBreak/>
        <w:t>金托管人，并采取合理的措施防止损失进一步扩大。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（2）错误偏差达到该类基金份额净值的0.25%时，基金管理人应当通报基金托管人并报中国证监会备案；错误偏差达到该类基金份额净值的0.5%时，基金管理人应当公告，并报中国证监会备案。</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（八）基金净值的确认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（九）特殊情形的处理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（十）实施侧袋机制期间的基金资产估值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F354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E114E" w:rsidRDefault="00F35430">
      <w:pPr>
        <w:pStyle w:val="1"/>
        <w:snapToGrid w:val="0"/>
        <w:spacing w:beforeLines="0" w:before="240" w:after="240"/>
        <w:rPr>
          <w:rFonts w:ascii="宋体" w:hAnsi="宋体"/>
          <w:szCs w:val="30"/>
        </w:rPr>
      </w:pPr>
      <w:bookmarkStart w:id="17" w:name="_Toc238729370"/>
      <w:r>
        <w:rPr>
          <w:rFonts w:ascii="Times New Roman" w:hAnsi="Times New Roman"/>
          <w:sz w:val="30"/>
        </w:rPr>
        <w:lastRenderedPageBreak/>
        <w:t>十三、基金收益与分配</w:t>
      </w:r>
      <w:bookmarkEnd w:id="17"/>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3、基金收益分配后任一类基金份额净值不能低于面值；即基金收益分配基准日的任一类基金份额净值减去每单位该类基金份额收益分配金额后不能低于面值；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4、由于本基金A类基金份额不收取销售服务费，C类基金份额收取销售服务费，各基金份额类别对应的可供分配利润将有所不同；本基金同一基金份额类别的每一基金份额享有同等分配权；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本基金收益分配方案由基金管理人拟定，并由基金托管人复核，依照《信息披露办法》的规定在指定媒介公告。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F354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E114E" w:rsidRDefault="00F35430">
      <w:pPr>
        <w:pStyle w:val="1"/>
        <w:snapToGrid w:val="0"/>
        <w:spacing w:beforeLines="0" w:before="240" w:after="240"/>
        <w:rPr>
          <w:rFonts w:ascii="宋体" w:hAnsi="宋体"/>
          <w:szCs w:val="30"/>
        </w:rPr>
      </w:pPr>
      <w:bookmarkStart w:id="18" w:name="_Toc238729371"/>
      <w:r>
        <w:rPr>
          <w:rFonts w:ascii="Times New Roman" w:hAnsi="Times New Roman"/>
          <w:sz w:val="30"/>
        </w:rPr>
        <w:lastRenderedPageBreak/>
        <w:t>十四、基金的费用与税收</w:t>
      </w:r>
      <w:bookmarkEnd w:id="18"/>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9、因投资港股通标的股票而产生的各项合理费用；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10、本基金从C类基金份额的基金财产中计提的销售服务费；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11、按照国家有关规定和《基金合同》约定，可以在基金财产中列支的其他费用。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本基金的管理费按前一日基金资产净值的1.2%年费率计提。管理费的计算方法如下：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基金合同生效日起，基金管理费每日计提，按月支付。由基金托管人根据与基金管理人核对一致的财务数据，自动在月初5个工作日内、按照指定的账户路径进行资金支付，基金管理人无需再出具资金划拨指令。若遇法定节假日、休息日或不可抗力致使无法按时支付的，支付日期顺延。费用自动扣划后，基金管理人应进行核对，如发现数据不符，及时联系基金托管人协商解决。</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本基金的托管费按前一日基金资产净值的0.2%年费率计提。托管费的计算方法</w:t>
      </w:r>
      <w:r>
        <w:rPr>
          <w:rFonts w:ascii="宋体" w:hAnsi="宋体"/>
          <w:sz w:val="24"/>
        </w:rPr>
        <w:lastRenderedPageBreak/>
        <w:t>如下：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H＝E×年托管费率÷当年天数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基金合同生效日起，基金托管费每日计提，按月支付。由基金托管人根据与基金管理人核对一致的财务数据，自动在月初5个工作日内、按照指定的账户路径进行资金支付，基金管理人无需再出具资金划拨指令。若遇法定节假日、休息日或不可抗力致使无法按时支付的，支付日期顺延。费用自动扣划后，基金管理人应进行核对，如发现数据不符，及时联系基金托管人协商解决。</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托管人根据与基金管理人核对一致的财务数据，自动在月初5个工作日内、按照指定的账户路径进行资金支付，基金管理人无需再出具资金划拨指令。若遇法定节假日、休息日或不可抗力致使无法按时支付的，顺延至最近可支付日支付。</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C类基金份额的销售服务费将专门用于本基金的市场推广、销售与基金份额持有人服务。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（4）上述“（一）基金费用的种类”中第3－9、11项费用，根据有关法规及相应协议规定，按费用实际支出金额列入当期费用，由基金托管人从基金财产中支付。</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w:t>
      </w:r>
      <w:r>
        <w:rPr>
          <w:rFonts w:ascii="宋体" w:hAnsi="宋体"/>
          <w:sz w:val="24"/>
        </w:rPr>
        <w:lastRenderedPageBreak/>
        <w:t>回”一章。</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本基金实施侧袋机制的，与侧袋账户有关的费用可以从侧袋账户中列支，但应待侧袋账户资产变现后方可列支，有关费用可酌情收取或减免，但不得收取管理费，详见招募说明书“侧袋机制”部分的规定。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（五）基金税收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F354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E114E" w:rsidRDefault="00F35430">
      <w:pPr>
        <w:pStyle w:val="1"/>
        <w:snapToGrid w:val="0"/>
        <w:spacing w:beforeLines="0" w:before="240" w:after="240"/>
        <w:rPr>
          <w:rFonts w:ascii="宋体" w:hAnsi="宋体"/>
          <w:szCs w:val="30"/>
        </w:rPr>
      </w:pPr>
      <w:bookmarkStart w:id="19" w:name="_Toc238729372"/>
      <w:r>
        <w:rPr>
          <w:rFonts w:ascii="Times New Roman" w:hAnsi="Times New Roman"/>
          <w:sz w:val="30"/>
        </w:rPr>
        <w:lastRenderedPageBreak/>
        <w:t>十五、基金的会计与审计</w:t>
      </w:r>
      <w:bookmarkEnd w:id="19"/>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3、基金管理人认为有充足理由更换会计师事务所，须通报基金托管人。更换会计师事务所需依照《信息披露办法》的规定在指定媒介公告。</w:t>
      </w:r>
    </w:p>
    <w:p w:rsidR="00B439CC" w:rsidRDefault="00F354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E114E" w:rsidRDefault="00F35430">
      <w:pPr>
        <w:pStyle w:val="1"/>
        <w:snapToGrid w:val="0"/>
        <w:spacing w:beforeLines="0" w:before="240" w:after="240"/>
        <w:rPr>
          <w:rFonts w:ascii="宋体" w:hAnsi="宋体"/>
          <w:szCs w:val="30"/>
        </w:rPr>
      </w:pPr>
      <w:bookmarkStart w:id="20" w:name="_Toc238729373"/>
      <w:r>
        <w:rPr>
          <w:rFonts w:ascii="Times New Roman" w:hAnsi="Times New Roman"/>
          <w:sz w:val="30"/>
        </w:rPr>
        <w:lastRenderedPageBreak/>
        <w:t>十六、基金的信息披露</w:t>
      </w:r>
      <w:bookmarkEnd w:id="20"/>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招募说明书提示性公告和《基金合同》提示性公告登载在指定报刊上，将基金份额发售公告、基金招募说明书、基金产品资料概要、《基金合同》和基金托管协议登载在指定网站上，并将基金产品资料概要登载在基金销售机构网站或营业网点；基金托管人应当同时将《基金合同》、基金托管协议登载在网站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w:t>
      </w:r>
      <w:r>
        <w:rPr>
          <w:rFonts w:ascii="宋体" w:hAnsi="宋体"/>
          <w:sz w:val="24"/>
        </w:rPr>
        <w:lastRenderedPageBreak/>
        <w:t>至少每周在指定网站分别披露一次A类基金份额和C类基金份额所对应的基金份额净值和基金份额累计净值。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指定网站、基金销售机构网站或者营业网点分别披露开放日A类基金份额和C类基金份额所对应的基金份额净值和基金份额累计净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基金管理人应当在不晚于半年度和年度最后一日的次日，在指定网站披露半年度和年度最后一日A类基金份额和C类基金份额所对应的基金份额净值和基金份额累计净值。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w:t>
      </w:r>
      <w:r>
        <w:rPr>
          <w:rFonts w:ascii="宋体" w:hAnsi="宋体"/>
          <w:sz w:val="24"/>
        </w:rPr>
        <w:lastRenderedPageBreak/>
        <w:t>编制临时报告书，并登载在指定报刊和指定网站上。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（17）本基金开始办理申购、赎回；</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（25）《基金合同》生效后，本基金连续30、40、45个工作日出现基金份额持有人数量不满200人或者基金资产净值低于5000万元情形，基金管理人应当发布提示性公告；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11、基金投资资产支持证券情况</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12、基金投资股指期货情况</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13、投资港股通标的股票相关公告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14、实施侧袋机制期间的信息披露</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本基金实施侧袋机制的，相关信息披露义务人应当根据法律法规、基金合同和招募说明书的规定进行信息披露，详见招募说明书“侧袋机制”部分的规定。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基金管理人、基金托管人应当在指定报刊中选择一家披露信息的报刊。基金管理人、基金托管人应当向中国证监会基金电子披露网站报送拟披露的基金信息，并保证相关报送信息的真实、准确、完整、及时。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基金管理人、基金托管人除依法在指定媒介上披露信息外，还可以根据需要在其他公共媒介披露信息，但是其他公共媒介不得早于指定媒介披露信息，并且在不同媒介上披露同一信息的内容应当一致。</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F354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E114E" w:rsidRDefault="00F35430">
      <w:pPr>
        <w:pStyle w:val="1"/>
        <w:snapToGrid w:val="0"/>
        <w:spacing w:beforeLines="0" w:before="240" w:after="240"/>
        <w:rPr>
          <w:rFonts w:ascii="宋体" w:hAnsi="宋体"/>
          <w:szCs w:val="30"/>
        </w:rPr>
      </w:pPr>
      <w:bookmarkStart w:id="21" w:name="_Toc238729374"/>
      <w:r>
        <w:rPr>
          <w:rFonts w:ascii="Times New Roman" w:hAnsi="Times New Roman"/>
          <w:sz w:val="30"/>
        </w:rPr>
        <w:lastRenderedPageBreak/>
        <w:t>十七、侧袋机制</w:t>
      </w:r>
      <w:bookmarkEnd w:id="21"/>
    </w:p>
    <w:p w:rsidR="00CE114E" w:rsidRDefault="00F354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F35430"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CE114E" w:rsidRDefault="00F35430">
      <w:pPr>
        <w:pStyle w:val="1"/>
        <w:snapToGrid w:val="0"/>
        <w:spacing w:beforeLines="0" w:before="240" w:after="240"/>
        <w:rPr>
          <w:rFonts w:ascii="宋体" w:hAnsi="宋体"/>
          <w:szCs w:val="30"/>
        </w:rPr>
      </w:pPr>
      <w:bookmarkStart w:id="22" w:name="_Toc238729375"/>
      <w:r>
        <w:rPr>
          <w:rFonts w:ascii="Times New Roman" w:hAnsi="Times New Roman"/>
          <w:sz w:val="30"/>
        </w:rPr>
        <w:lastRenderedPageBreak/>
        <w:t>十八、风险揭示</w:t>
      </w:r>
      <w:bookmarkEnd w:id="22"/>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投资人应当认真阅读《基金合同》、《招募说明书》等基金法律文件，了解基金的风险收益特征，并根据自身的投资目的、投资期限、投资经验、资产状况等判断基金是否和投资人的风险承受能力相适应。</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基金份额持有人须了解并承受以下风险：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w:t>
      </w:r>
      <w:r>
        <w:rPr>
          <w:rFonts w:ascii="宋体" w:hAnsi="宋体"/>
          <w:sz w:val="24"/>
        </w:rPr>
        <w:lastRenderedPageBreak/>
        <w:t>金份额净值。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自基金合同生效之日起不超过3个月开始办理申购和赎回业务，具体业务办理时间在申购赎回开始公告中规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w:t>
      </w:r>
      <w:r>
        <w:rPr>
          <w:rFonts w:ascii="宋体" w:hAnsi="宋体"/>
          <w:sz w:val="24"/>
        </w:rPr>
        <w:lastRenderedPageBreak/>
        <w:t>为止。如投资人在提交赎回申请时未作明确选择，投资人未能赎回部分作自动延期赎回处理。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w:t>
      </w:r>
      <w:r>
        <w:rPr>
          <w:rFonts w:ascii="宋体" w:hAnsi="宋体"/>
          <w:sz w:val="24"/>
        </w:rPr>
        <w:lastRenderedPageBreak/>
        <w:t>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 因此实施侧袋机制后主袋账户份额存在暂停申购的可能。</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（四）信用风险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（五）本基金的特有风险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3、基金合同提前终止风险。连续50个工作日出现基金份额持有人数量不满200人或者基金资产净值低于5000万元情形的，基金管理人提前终止基金合同，不需召开基金份额持有人大会。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4、本基金可投资科创板股票和创业板股票，科创板和创业板个股上市后的前五个交易日不设价格涨跌幅限制，第六个交易日开始涨跌幅限制比例为20%。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（六）投资股指期货的特定风险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（七）投资资产支持证券的特定风险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（八）投资流通受限证券的特定风险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（九）投资存托凭证的特定风险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w:t>
      </w:r>
      <w:r>
        <w:rPr>
          <w:rFonts w:ascii="宋体" w:hAnsi="宋体"/>
          <w:sz w:val="24"/>
        </w:rPr>
        <w:lastRenderedPageBreak/>
        <w:t>境内外交易机制相关的风险可能直接或间接成为本基金风险。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（十）投资科创板股票的特定风险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4、系统性风险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（十一）投资港股通标的股票的特定风险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1）香港市场实行T+0回转交易机制（即当日买入的股票，在交收前可以于当日卖出），且证券交易价格并无涨跌幅上下限的规定，因此每日涨跌幅空间相对较大，可能表现出比A股更为剧烈的股价波动；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香港联合交易所出现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4、本基金可根据投资策略需要或不同配置地市场环境的变化，选择将部分基金资产投资于港股通标的股票或选择不将基金资产投资于港股通标的股票，基金资产并非必然投资港股通标的股票。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（十二）本基金法律文件风险收益特征表述与销售机构基金风险评价可能不一致的风险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（十三）其他风险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F354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E114E" w:rsidRDefault="00F35430">
      <w:pPr>
        <w:pStyle w:val="1"/>
        <w:snapToGrid w:val="0"/>
        <w:spacing w:beforeLines="0" w:before="240" w:after="240"/>
        <w:rPr>
          <w:rFonts w:ascii="宋体" w:hAnsi="宋体"/>
          <w:szCs w:val="30"/>
        </w:rPr>
      </w:pPr>
      <w:bookmarkStart w:id="23" w:name="_Toc238729376"/>
      <w:r>
        <w:rPr>
          <w:rFonts w:ascii="Times New Roman" w:hAnsi="Times New Roman"/>
          <w:sz w:val="30"/>
        </w:rPr>
        <w:lastRenderedPageBreak/>
        <w:t>十九、基金合同的变更、终止与基金财产的清算</w:t>
      </w:r>
      <w:bookmarkEnd w:id="23"/>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2、关于《基金合同》变更的基金份额持有人大会决议自生效后方可执行，自决议生效后依照《信息披露办法》的规定在指定媒介公告。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（2）对基金财产和债权债务进行清理和确认；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F354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E114E" w:rsidRDefault="00F35430">
      <w:pPr>
        <w:pStyle w:val="1"/>
        <w:snapToGrid w:val="0"/>
        <w:spacing w:beforeLines="0" w:before="240" w:after="240"/>
        <w:rPr>
          <w:rFonts w:ascii="宋体" w:hAnsi="宋体"/>
          <w:szCs w:val="30"/>
        </w:rPr>
      </w:pPr>
      <w:bookmarkStart w:id="24" w:name="_Toc238729377"/>
      <w:r>
        <w:rPr>
          <w:rFonts w:ascii="Times New Roman" w:hAnsi="Times New Roman"/>
          <w:sz w:val="30"/>
        </w:rPr>
        <w:lastRenderedPageBreak/>
        <w:t>二十、基金合同内容摘要</w:t>
      </w:r>
      <w:bookmarkEnd w:id="24"/>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（一）基金份额持有人、基金管理人和基金托管人的权利与义务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（4）根据相关市场规则，为基金开设资金账户、证券账户等投资所需账户、为基金办理证券、期货交易资金清算；</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（8）复核、审查基金管理人计算的基金资产净值、各类基金份额净值、基金份额申购、赎回价格；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（9）办理与基金托管业务活动有关的信息披露事项；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同一类别的每份基金份额具有同等的合法权益。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根据《基金法》、《运作办法》及其他有关规定，基金份额持有人的权利包括但不限于：</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（11）法律法规及中国证监会规定的和《基金合同》约定的其他义务。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（二）基金份额持有人大会召集、议事及表决的程序和规则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（1）当出现或需要决定下列事由之一的，应当召开基金份额持有人大会，法律法规和中国证监会另有规定的除外：</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1）终止《基金合同》，基金合同另有规定的除外；</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5）调整基金管理人、基金托管人的报酬标准或提高销售服务费率；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8）变更基金投资目标、范围或策略，基金合同另有规定的除外；</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9）变更基金份额持有人大会程序，基金合同另有规定的除外；</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1）法律法规要求增加的基金费用的收取；</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2）在法律法规和《基金合同》规定的范围内调整本基金的申购费率、调低赎</w:t>
      </w:r>
      <w:r>
        <w:rPr>
          <w:rFonts w:ascii="宋体" w:hAnsi="宋体"/>
          <w:sz w:val="24"/>
        </w:rPr>
        <w:lastRenderedPageBreak/>
        <w:t>回费率及销售服务费率、在对现有基金份额持有人利益无实质性不利影响的前提下变更收费方式；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3）因相应的法律法规、登记机构的相关业务规则发生变动而应当对《基金合同》进行修改；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5）在法律法规允许的情况下，且在对现有基金份额持有人利益无实质性不利影响的前提下，基金推出新业务或服务；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6）在符合法律法规及本基金合同规定、并且对基金份额持有人利益无实质不利影响的前提下，调整本基金份额类别的设置；</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7）在不违反法律法规及对基金份额持有人利益无实质性不利影响的前提下，基金管理人、登记机构、销售机构调整有关基金认购、申购、赎回、转换、收益分配、非交易过户、转托管等业务的规则；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8）按照法律法规和《基金合同》规定不需召开基金份额持有人大会的其他情形。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w:t>
      </w:r>
      <w:r>
        <w:rPr>
          <w:rFonts w:ascii="宋体" w:hAnsi="宋体"/>
          <w:sz w:val="24"/>
        </w:rPr>
        <w:lastRenderedPageBreak/>
        <w:t>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w:t>
      </w:r>
      <w:r>
        <w:rPr>
          <w:rFonts w:ascii="宋体" w:hAnsi="宋体"/>
          <w:sz w:val="24"/>
        </w:rPr>
        <w:lastRenderedPageBreak/>
        <w:t>力。</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w:t>
      </w:r>
      <w:r>
        <w:rPr>
          <w:rFonts w:ascii="宋体" w:hAnsi="宋体"/>
          <w:sz w:val="24"/>
        </w:rPr>
        <w:lastRenderedPageBreak/>
        <w:t>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w:t>
      </w:r>
      <w:r>
        <w:rPr>
          <w:rFonts w:ascii="宋体" w:hAnsi="宋体"/>
          <w:sz w:val="24"/>
        </w:rPr>
        <w:lastRenderedPageBreak/>
        <w:t>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（1）现场开会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基金份额持有人大会决议自生效之日起依照《信息披露办法》的规定在指定媒介上公告。如果采用通讯方式进行表决，在公告基金份额持有人大会决议时，必须将公证书全文、公证机构、公证员姓名等一同公告。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w:t>
      </w:r>
      <w:r>
        <w:rPr>
          <w:rFonts w:ascii="宋体" w:hAnsi="宋体"/>
          <w:sz w:val="24"/>
        </w:rPr>
        <w:lastRenderedPageBreak/>
        <w:t>基金托管人均有约束力。</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（三）基金合同解除和终止的事由、程序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（2）关于《基金合同》变更的基金份额持有人大会决议自生效后方可执行，自决议生效后依照《信息披露办法》的规定在指定媒介公告。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w:t>
      </w:r>
      <w:r>
        <w:rPr>
          <w:rFonts w:ascii="宋体" w:hAnsi="宋体"/>
          <w:sz w:val="24"/>
        </w:rPr>
        <w:lastRenderedPageBreak/>
        <w:t>履行基金合同规定的义务，维护基金份额持有人的合法权益。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（五）基金合同存放地和投资者取得基金合同的方式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F354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E114E" w:rsidRDefault="00F35430">
      <w:pPr>
        <w:pStyle w:val="1"/>
        <w:snapToGrid w:val="0"/>
        <w:spacing w:beforeLines="0" w:before="240" w:after="240"/>
        <w:rPr>
          <w:rFonts w:ascii="宋体" w:hAnsi="宋体"/>
          <w:szCs w:val="30"/>
        </w:rPr>
      </w:pPr>
      <w:bookmarkStart w:id="25" w:name="_Toc238729378"/>
      <w:r>
        <w:rPr>
          <w:rFonts w:ascii="Times New Roman" w:hAnsi="Times New Roman"/>
          <w:sz w:val="30"/>
        </w:rPr>
        <w:lastRenderedPageBreak/>
        <w:t>二十一、托管协议的内容摘要</w:t>
      </w:r>
      <w:bookmarkEnd w:id="25"/>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注册资本：贰亿元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名称：中国建设银行股份有限公司（简称：中国建设银行）</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邮政编码：100033</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法定代表人：田国立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成立日期：2004年09月17日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基金托管业务批准文号：中国证监会证监基字[1998]12号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注册资本：贰仟伍佰亿壹仟零玖拾柒万柒仟肆佰捌拾陆元整</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从事银行卡业务；提供</w:t>
      </w:r>
      <w:r>
        <w:rPr>
          <w:rFonts w:ascii="宋体" w:hAnsi="宋体"/>
          <w:sz w:val="24"/>
        </w:rPr>
        <w:lastRenderedPageBreak/>
        <w:t>信用证服务及担保；代理收付款项及代理保险业务；提供保管箱服务；经中国银行业监督管理机构等监管部门批准的其他业务。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w:t>
      </w:r>
      <w:r>
        <w:rPr>
          <w:rFonts w:ascii="宋体" w:hAnsi="宋体"/>
          <w:sz w:val="24"/>
        </w:rPr>
        <w:lastRenderedPageBreak/>
        <w:t>有的现金或者到期日在一年以内的政府债券的投资比例合计不低于基金资产净值的5%，其中现金不包括结算备付金、存出保证金和应收申购款等；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（4）本基金管理人管理且由本基金托管人托管的全部基金持有一家公司发行的证券（同一家公司在内地和香港同时上市的A+H 股合计计算），不超过该证券的10％，完全按照有关指数的构成比例进行证券投资的基金品种可以不受此条款规定的比例限制；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（8）本基金管理人管理且由本基金托管人托管的全部基金投资于同一原始权益人的各类资产支持证券，不得超过其各类资产支持证券合计规模的10%；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且由本基金托管人托管的全部开放式基金（包括开放式基金以及处于开放期的定期开放基金）持有一家上市公司发行的可流通股票，不得超过该上市公司可流通股票的15%；本基金管理人管理且由本基金托管人托管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（15）本基金参与股指期货交易，则：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本基金在开始进行股指期货投资之前，应与基金托管人、期货公司三方共同就股指期货开户、清算、估值、交收等事宜另行签署《期货投资托管操作三方备忘录》；</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（17）本基金持有的所有流通受限证券，其公允价值不得超过本基金资产净值的15%；本基金持有的同一流通受限证券，其公允价值不得超过本基金资产净值的10%；</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（18）本基金投资存托凭证的比例限制依照境内上市交易的股票执行；</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（19）法律法规及中国证监会规定的和《基金合同》约定的其他投资限制。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除上述第（2）、（9）、（13）、（14)项情形之外，因证券、期货市场波动、证券</w:t>
      </w:r>
      <w:r>
        <w:rPr>
          <w:rFonts w:ascii="宋体" w:hAnsi="宋体"/>
          <w:sz w:val="24"/>
        </w:rPr>
        <w:lastRenderedPageBreak/>
        <w:t>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3、基金托管人根据有关法律法规的规定及《基金合同》的约定，对本托管协议第十五条第九款基金投资禁止行为通过事后监督方式进行监督。</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5、基金托管人根据有关法律法规的规定及《基金合同》的约定，对基金管理人投资流通受限证券进行监督。</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的流通受限证券须为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本基金投资的流通受限证券限于可由中国证券登记结算有限责任公司或中央国债登记结算有限责任公司负责登记和存管，并可在证券交易所或全国银行间债券市场交易的证券。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的流通受限证券应保证登记存管在本基金名下，基金管理人负责相关工作的落实和协调，并确保基金托管人能够正常查询。因基金管理人原因产生的流通受限证券登记存管问题，造成基金托管人无法安全保管本基金资产的责任与损失，及因流通受限证券存管直接影响本基金安全的责任及损失，由基金管理人承担。</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本基金投资流通受限证券，不得预付任何形式的保证金。</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投资非公开发行股票，应制订流动性风险处置预案并经其董事会批准。风险处置预案应包括但不限于因投资流通受限证券需要解决的基金投资比例限制失调、基金流动性困难以及相关损失的应对解决措施，以及有关异常情况</w:t>
      </w:r>
      <w:r>
        <w:rPr>
          <w:rFonts w:ascii="宋体" w:hAnsi="宋体"/>
          <w:sz w:val="24"/>
        </w:rPr>
        <w:lastRenderedPageBreak/>
        <w:t>的处置。基金管理人应在首次投资流通受限证券前向基金托管人提供基金投资非公开发行股票相关流动性风险处置预案。</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如因基金管理人原因导致本基金出现损失致使基金托管人承担连带赔偿责任的，基金管理人应赔偿基金托管人由此遭受的损失。</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非公开发行股票，基金管理人应至少于投资前三个工作日向基金托管人提交有关书面资料，并保证向基金托管人提供的有关资料真实、准确、完整。有关资料如有调整，基金管理人应及时提供调整后的资料。上述书面资料包括但不限于：</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1）中国证监会批准发行非公开发行股票的批准文件。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2）非公开发行股票有关发行数量、发行价格、锁定期等发行资料。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3）非公开发行股票发行人与中国证券登记结算有限责任公司或中央国债登记结算有限责任公司签订的证券登记及服务协议。</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4）基金拟认购的数量、价格、总成本、账面价值。</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应在本基金投资非公开发行股票后两个交易日内，在中国证监会指定媒介披露所投资非公开发行股票的名称、数量、总成本、账面价值，以及总成本和账面价值占基金资产净值的比例、锁定期等信息。</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本基金有关投资流通受限证券比例如违反有关限制规定，在合理期限内未能进行及时调整，基金管理人应依照《信息披露办法》的规定编制临时报告书，予以公告。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（5）基金托管人根据有关规定有权对基金管理人进行以下事项监督：</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1）本基金投资流通受限证券时的法律法规遵守情况。</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2）在基金投资流通受限证券管理工作方面有关制度、流动性风险处置预案的建立与完善情况。</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3）有关比例限制的执行情况。</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4）信息披露情况。</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（6）相关法律法规对基金投资流通受限证券有新规定的，从其规定。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9、若基金托管人发现基金管理人依据交易程序已经生效的指令违反法律、行政法规和其他有关规定，或者违反《基金合同》约定的，应当立即通知基金管理人，由此造成的损失由基金管理人承担。</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基金资产净值和各类基金份额净值、根据基金管理人指令办</w:t>
      </w:r>
      <w:r>
        <w:rPr>
          <w:rFonts w:ascii="宋体" w:hAnsi="宋体"/>
          <w:sz w:val="24"/>
        </w:rPr>
        <w:lastRenderedPageBreak/>
        <w:t>理清算交收、相关信息披露和监督基金投资运作等行为。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按照《基金合同》和本协议的约定保管基金财产，如有特殊情况双方可另行协商解决。基金托管人未经基金管理人的指令，不得自行运用、处分、分配本基金的任何资产（不包含基金托管人依据中国证券登记结算有限责任公司结算数据完成场内交易交收、开户银行或交易/登记结算机构扣收交易费、结算费和账户维护费等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（7）除依据法律法规和《基金合同》的规定外，基金托管人不得委托第三人托管基金财产。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（1）基金募集期间募集认购款项应存于基金管理人在具有托管资格的商业银行开立的“基金募集专户”。该账户由基金管理人开立并管理。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为本基金开立的基金银行账户，同时在规定时间内，聘请具有从事证券、期货相关业务资格的会计师事务所进行验资，出具验资报告。出具的验资报告由参加验资的2名或2名以上中国注册会计师签字方为有效。</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（1）基金托管人应以本基金的名义在其营业机构开立基金的银行账户，并根据基金管理人合法合规的指令办理资金收付。本基金的银行预留印鉴由基金托管人保管和使用。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（2）基金银行账户的开立和使用，限于满足开展本基金业务的需要。基金托管人和基金管理人不得假借本基金的名义开立任何其他银行账户；亦不得使用基金的任何账户进行本基金业务以外的活动。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（3）基金银行账户的开立和管理应符合银行业监督管理机构的有关规定。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（4）在符合法律法规规定的条件下，基金托管人可以通过基金托管人专用账户办理基金资产的支付。</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（5）管理人应于托管产品清盘后及时完成收益兑付、费用结清及其他应收应付款项资金划转，在确保后续不再发生款项进出后的10个工作日内向托管人发出销户申请。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（1）基金托管人在中国证券登记结算有限责任公司为基金开立基金托管人与本基金联名的证券账户。</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w:t>
      </w:r>
      <w:r>
        <w:rPr>
          <w:rFonts w:ascii="宋体" w:hAnsi="宋体"/>
          <w:sz w:val="24"/>
        </w:rPr>
        <w:lastRenderedPageBreak/>
        <w:t>托管人和基金管理人不得出借或未经对方同意擅自转让基金的任何证券账户，亦不得使用基金的任何账户进行本基金业务以外的活动。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证券账户开户费由基金管理人先行垫付，待托管产品启始运营后，基金管理人可向基金托管人发送划款指令，将代垫开户费从本基金托管资金账户中扣还基金管理人。</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交收资金等的收取按照中国证券登记结算有限责任公司的规定以及基金管理人与基金托管人签署的《托管银行证券资金结算协议》执行。</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（5）账户注销时，在遵守中国证券登记结算公司的相关规定下，由管理人和托管人协商确认主要办理人。账户注销期间，主要办理人如需另一方提供配合的，另一方应予以配合。</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（6）若中国证监会或其他监管机构在本托管协议订立日之后允许基金从事其他投资品种的投资业务，涉及相关账户的开立、使用的，若无相关规定，则基金托管人比照上述关于账户开立、使用的规定执行。</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管理人负责以基金的名义申请并取得进入全国银行间同业拆借市场的交易资格，并代表基金进行交易；基金托管人根据中国人民银行、银行间市场登记结算机构的有关规定，以本基金的名义在银行间市场登记结算机构开立债券托管账户，持有人账户和资金结算账户，并代表基金进行银行间市场债券的结算。基金管理人和基金托管人共同代表基金签订全国银行间债券市场债券回购主协议。</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本托管协议订立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（2）法律法规等有关规定对相关账户的开立和管理另有规定的，从其规定办理。</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存款开户证实书等有价凭证由基金托管人存放于基金托管人的保管库，也可存入中央国债登记结算有限责任公司、中国证券登记结算有限责任公司上海分公司/深圳分公司/北京分公司、银行间市场清算所股份有限公司或票据营业中心的代保管库，保管凭证由基金托管人持有。实物证券、银行定期存款证实书等有价凭证的购买和转让，按基金管理人和基金托管人双方约定办理。基金托管人对由基金托管人以外机构实际有效控制或保管的资产不承担任何责任。</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（五）基金资产净值计算与复核</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是指基金资产总值减去负债后的金额。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w:t>
      </w:r>
      <w:r>
        <w:rPr>
          <w:rFonts w:ascii="宋体" w:hAnsi="宋体"/>
          <w:sz w:val="24"/>
        </w:rPr>
        <w:lastRenderedPageBreak/>
        <w:t>人依据基金合同和相关法律法规的规定对外公布。月末、年中和年末估值复核与基金会计账目的核对同时进行。</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（六）基金份额持有人名册的登记与保管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和持有的基金份额。基金份额持有人名册由基金登记机构根据基金管理人的指令编制和保管，基金管理人和基金托管人应分别保管基金份额持有人名册，保存期不少于15年。如不能妥善保管，则按相关法规承担责任。</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中期报告和年度报告前，基金管理人应将有关资料送交基金托管人，不得无故拒绝或延误提供，并保证其真实性、准确性和完整性。基金托管人不得将所保管的基金份额持有人名册用于基金托管业务以外的其他用途，并应遵守保密义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用、律师费由败诉方承担。</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本协议受中国法律（不含港澳台地区法律）管辖。</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本协议双方当事人经协商一致，可以对协议进行修改。修改后的新协议，其内容不得与《基金合同》的规定有任何冲突。基金托管协议的变更报中国证监会备案后生效。</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2、托管协议终止的情形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（3）基金管理人解散、依法被撤销、破产或由其他基金管理人接管基金管理权；</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（4）发生法律法规、中国证监会规定或《基金合同》约定的终止事项。</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（6）清算费用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（7）基金财产清算剩余资产的分配：</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（8）基金财产清算的公告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（9）基金财产清算账册及文件的保存</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F354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E114E" w:rsidRDefault="00F35430">
      <w:pPr>
        <w:pStyle w:val="1"/>
        <w:snapToGrid w:val="0"/>
        <w:spacing w:beforeLines="0" w:before="240" w:after="240"/>
        <w:rPr>
          <w:rFonts w:ascii="宋体" w:hAnsi="宋体"/>
          <w:szCs w:val="30"/>
        </w:rPr>
      </w:pPr>
      <w:bookmarkStart w:id="26" w:name="_Toc238729379"/>
      <w:r>
        <w:rPr>
          <w:rFonts w:ascii="Times New Roman" w:hAnsi="Times New Roman"/>
          <w:sz w:val="30"/>
        </w:rPr>
        <w:lastRenderedPageBreak/>
        <w:t>二十二、对基金份额持有人的服务</w:t>
      </w:r>
      <w:bookmarkEnd w:id="26"/>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每次交易结束后，可在T+2个工作日后通过销售机构的网点查询和打印确认单。</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本基金A类基金份额的申购、赎回、转换、定期定额投资及本基金C类基金份额的申购、赎回、定期定额投资等业务。通过网上直销交易平台办理本基金A类基金份额申购和定期定额投资业务的个人投资者将享受申购费率的优惠，其他费率标准不变。具体优惠费率请参见公司网站列示的网上直销交易平台申购、定期定额投资费率表或相关公告。基金网上直销交易平台已开通的银行卡及各银行卡交易金额限额请参阅本基金管理人网站。</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（四）基金红利再投资</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w:t>
      </w:r>
      <w:r>
        <w:rPr>
          <w:rFonts w:ascii="宋体" w:hAnsi="宋体"/>
          <w:sz w:val="24"/>
        </w:rPr>
        <w:lastRenderedPageBreak/>
        <w:t>利再投将现金红利自动转为相应类别的基金份额进行再投资，若投资人不选择，本基金默认的收益分配方式是现金分红。再投资红利按红利再投日（即除息日）除息后的基金份额净值自动转为相应类别的基金份额，并免收申购费用。</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F354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E114E" w:rsidRDefault="00F35430">
      <w:pPr>
        <w:pStyle w:val="1"/>
        <w:snapToGrid w:val="0"/>
        <w:spacing w:beforeLines="0" w:before="240" w:after="240"/>
        <w:rPr>
          <w:rFonts w:ascii="宋体" w:hAnsi="宋体"/>
          <w:szCs w:val="30"/>
        </w:rPr>
      </w:pPr>
      <w:bookmarkStart w:id="27" w:name="_Toc238729380"/>
      <w:r>
        <w:rPr>
          <w:rFonts w:ascii="Times New Roman" w:hAnsi="Times New Roman"/>
          <w:sz w:val="30"/>
        </w:rPr>
        <w:lastRenderedPageBreak/>
        <w:t>二十三、其他应披露事项</w:t>
      </w:r>
      <w:bookmarkEnd w:id="27"/>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2024-12-06</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交银施罗德基金管理有限公司关于旗下部分基金投资非公开发行股票的公告</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13</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交银施罗德基金管理有限公司关于增加东莞证券股份有限公司为旗下基金的销售机构的公告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2025-07-28</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交银施罗德基金管理有限公司关于交银施罗德启明混合型证券投资基金基金经理变更公告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2025-09-15</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2025-09-18</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2025-09-18</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2025-09-18</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交银施罗德基金管理有限公司关于交银施罗德启明混合型证券投资基金基金经理变更公告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2025-09-20</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2025-09-24</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2025-09-24</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2025-09-24</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交银施罗德启明混合型证券投资基金基金合同</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2025-10-23</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交银施罗德启明混合型证券投资基金托管协议</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2025-10-23</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2025-10-23</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27</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交银施罗德基金管理有限公司关于旗下部分基金开通同一基金不同类别基金份额转换业务并修改基金合同的公告</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2025-10-23</w:t>
            </w:r>
          </w:p>
        </w:tc>
      </w:tr>
      <w:tr w:rsidR="00CE114E">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交银施罗德启明混合型证券投资基金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E114E" w:rsidRDefault="00F3543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bl>
    <w:p w:rsidR="00B439CC" w:rsidRDefault="00F354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E114E" w:rsidRDefault="00F35430">
      <w:pPr>
        <w:pStyle w:val="1"/>
        <w:snapToGrid w:val="0"/>
        <w:spacing w:beforeLines="0" w:before="240" w:after="240"/>
        <w:rPr>
          <w:rFonts w:ascii="宋体" w:hAnsi="宋体"/>
          <w:szCs w:val="30"/>
        </w:rPr>
      </w:pPr>
      <w:bookmarkStart w:id="28" w:name="_Toc238729381"/>
      <w:r>
        <w:rPr>
          <w:rFonts w:ascii="Times New Roman" w:hAnsi="Times New Roman"/>
          <w:sz w:val="30"/>
        </w:rPr>
        <w:lastRenderedPageBreak/>
        <w:t>二十四、招募说明书的存放及查阅方式</w:t>
      </w:r>
      <w:bookmarkEnd w:id="28"/>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F3543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E114E" w:rsidRDefault="00F35430">
      <w:pPr>
        <w:pStyle w:val="1"/>
        <w:snapToGrid w:val="0"/>
        <w:spacing w:beforeLines="0" w:before="240" w:after="240"/>
        <w:rPr>
          <w:rFonts w:ascii="宋体" w:hAnsi="宋体"/>
          <w:szCs w:val="30"/>
        </w:rPr>
      </w:pPr>
      <w:bookmarkStart w:id="29" w:name="_Toc238729382"/>
      <w:r>
        <w:rPr>
          <w:rFonts w:ascii="Times New Roman" w:hAnsi="Times New Roman"/>
          <w:sz w:val="30"/>
        </w:rPr>
        <w:lastRenderedPageBreak/>
        <w:t>二十五、备案文件</w:t>
      </w:r>
      <w:bookmarkEnd w:id="29"/>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（一）中国证监会准予交银施罗德启明混合型证券投资基金募集注册的文件</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（二）《交银施罗德启明混合型证券投资基金基金合同》</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（三）《交银施罗德启明混合型证券投资基金托管协议》</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CE114E" w:rsidRDefault="00F3543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（六）关于申请募集注册交银施罗德启明混合型证券投资基金的法律意见书</w:t>
      </w:r>
    </w:p>
    <w:sectPr w:rsidR="00CE114E">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4FFE" w:rsidRDefault="00F35430">
      <w:r>
        <w:separator/>
      </w:r>
    </w:p>
  </w:endnote>
  <w:endnote w:type="continuationSeparator" w:id="0">
    <w:p w:rsidR="00CD4FFE" w:rsidRDefault="00F35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14E" w:rsidRDefault="00CE114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14E" w:rsidRDefault="00CC300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CE114E" w:rsidRDefault="00F35430">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CC3008">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14E" w:rsidRDefault="00CE114E">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14E" w:rsidRDefault="00CC300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CE114E" w:rsidRDefault="00F35430">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CC3008">
                  <w:rPr>
                    <w:rFonts w:ascii="Times New Roman" w:hAnsi="Times New Roman"/>
                    <w:noProof/>
                    <w:kern w:val="0"/>
                    <w:sz w:val="18"/>
                    <w:szCs w:val="18"/>
                  </w:rPr>
                  <w:t>165</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4FFE" w:rsidRDefault="00F35430">
      <w:r>
        <w:separator/>
      </w:r>
    </w:p>
  </w:footnote>
  <w:footnote w:type="continuationSeparator" w:id="0">
    <w:p w:rsidR="00CD4FFE" w:rsidRDefault="00F354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14E" w:rsidRDefault="00CE114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14E" w:rsidRDefault="00F35430">
    <w:pPr>
      <w:pStyle w:val="a3"/>
      <w:jc w:val="right"/>
      <w:rPr>
        <w:rFonts w:ascii="宋体" w:hAnsi="宋体"/>
      </w:rPr>
    </w:pPr>
    <w:r>
      <w:rPr>
        <w:rFonts w:ascii="宋体" w:hAnsi="宋体" w:hint="eastAsia"/>
      </w:rPr>
      <w:t>交银施罗德启明混合型证券投资基金招募说明书更新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14E" w:rsidRDefault="00CE114E">
    <w:pPr>
      <w:pStyle w:val="10"/>
      <w:jc w:val="right"/>
    </w:pPr>
  </w:p>
  <w:p w:rsidR="00CE114E" w:rsidRDefault="00CE114E">
    <w:pPr>
      <w:pStyle w:val="10"/>
      <w:jc w:val="right"/>
    </w:pPr>
  </w:p>
  <w:p w:rsidR="00CE114E" w:rsidRDefault="00CE114E">
    <w:pPr>
      <w:pStyle w:val="a3"/>
      <w:jc w:val="right"/>
    </w:pPr>
  </w:p>
  <w:p w:rsidR="00CE114E" w:rsidRDefault="00F35430">
    <w:pPr>
      <w:pStyle w:val="a3"/>
      <w:jc w:val="right"/>
      <w:rPr>
        <w:rFonts w:ascii="宋体" w:hAnsi="宋体"/>
      </w:rPr>
    </w:pPr>
    <w:r>
      <w:rPr>
        <w:rFonts w:ascii="宋体" w:hAnsi="宋体" w:hint="eastAsia"/>
      </w:rPr>
      <w:t>交银施罗德启明混合型证券投资基金招募说明书更新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114E" w:rsidRDefault="00CE114E">
    <w:pPr>
      <w:pStyle w:val="a3"/>
      <w:jc w:val="right"/>
    </w:pPr>
  </w:p>
  <w:p w:rsidR="00CE114E" w:rsidRDefault="00CE114E">
    <w:pPr>
      <w:pStyle w:val="a3"/>
      <w:jc w:val="right"/>
    </w:pPr>
  </w:p>
  <w:p w:rsidR="00CE114E" w:rsidRDefault="00CE114E">
    <w:pPr>
      <w:pStyle w:val="a3"/>
      <w:jc w:val="right"/>
    </w:pPr>
  </w:p>
  <w:p w:rsidR="00CE114E" w:rsidRDefault="00F35430">
    <w:pPr>
      <w:pStyle w:val="a3"/>
      <w:jc w:val="right"/>
      <w:rPr>
        <w:rFonts w:ascii="宋体" w:hAnsi="宋体"/>
      </w:rPr>
    </w:pPr>
    <w:r>
      <w:rPr>
        <w:rFonts w:ascii="宋体" w:hAnsi="宋体" w:hint="eastAsia"/>
      </w:rPr>
      <w:t>交银施罗德启明混合型证券投资基金招募说明书更新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008"/>
    <w:rsid w:val="00CC34E2"/>
    <w:rsid w:val="00CC4A5C"/>
    <w:rsid w:val="00CC5BB7"/>
    <w:rsid w:val="00CC5F62"/>
    <w:rsid w:val="00CC69B4"/>
    <w:rsid w:val="00CC6D17"/>
    <w:rsid w:val="00CC7102"/>
    <w:rsid w:val="00CC7CF3"/>
    <w:rsid w:val="00CD1E85"/>
    <w:rsid w:val="00CD3AEA"/>
    <w:rsid w:val="00CD3C32"/>
    <w:rsid w:val="00CD4235"/>
    <w:rsid w:val="00CD4FFE"/>
    <w:rsid w:val="00CD56D7"/>
    <w:rsid w:val="00CD57FC"/>
    <w:rsid w:val="00CD632A"/>
    <w:rsid w:val="00CE0B6D"/>
    <w:rsid w:val="00CE114E"/>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30"/>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296401E9-B311-4ADA-A85D-A85F7EFF7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166</Pages>
  <Words>17172</Words>
  <Characters>97884</Characters>
  <Application>Microsoft Office Word</Application>
  <DocSecurity>0</DocSecurity>
  <Lines>815</Lines>
  <Paragraphs>229</Paragraphs>
  <ScaleCrop>false</ScaleCrop>
  <Company>Microsoft</Company>
  <LinksUpToDate>false</LinksUpToDate>
  <CharactersWithSpaces>114827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2026-08-27T05:22:00Z</dcterms:created>
  <dcterms:modified xsi:type="dcterms:W3CDTF">2026-08-27T05:22:00Z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