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166808">
      <w:pPr>
        <w:rPr>
          <w:sz w:val="32"/>
        </w:rPr>
      </w:pPr>
    </w:p>
    <w:p w:rsidR="00C92FC0" w:rsidRPr="00EB07BC" w:rsidRDefault="00166808">
      <w:pPr>
        <w:rPr>
          <w:sz w:val="32"/>
        </w:rPr>
      </w:pPr>
    </w:p>
    <w:p w:rsidR="00C92FC0" w:rsidRPr="00EB07BC" w:rsidRDefault="00166808">
      <w:pPr>
        <w:rPr>
          <w:sz w:val="32"/>
        </w:rPr>
      </w:pPr>
    </w:p>
    <w:p w:rsidR="00B11CA4" w:rsidRDefault="00B11CA4">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B11CA4" w:rsidRDefault="00B11CA4">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B11CA4" w:rsidRDefault="00B11CA4">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B11CA4" w:rsidRDefault="00145B85">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交银施罗德优享一年持有期混合型基金中基金（</w:t>
      </w:r>
      <w:r>
        <w:rPr>
          <w:rFonts w:ascii="Times New Roman" w:hAnsi="Times New Roman"/>
          <w:b/>
          <w:spacing w:val="2"/>
          <w:w w:val="99"/>
          <w:kern w:val="0"/>
          <w:position w:val="-4"/>
          <w:sz w:val="44"/>
          <w:szCs w:val="44"/>
        </w:rPr>
        <w:t>FOF</w:t>
      </w:r>
      <w:r>
        <w:rPr>
          <w:rFonts w:ascii="Times New Roman" w:hAnsi="Times New Roman"/>
          <w:b/>
          <w:spacing w:val="2"/>
          <w:w w:val="99"/>
          <w:kern w:val="0"/>
          <w:position w:val="-4"/>
          <w:sz w:val="44"/>
          <w:szCs w:val="44"/>
        </w:rPr>
        <w:t>）</w:t>
      </w:r>
    </w:p>
    <w:p w:rsidR="00B11CA4" w:rsidRDefault="00145B85">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B11CA4" w:rsidRDefault="00B11CA4">
      <w:pPr>
        <w:snapToGrid w:val="0"/>
        <w:spacing w:line="360" w:lineRule="auto"/>
        <w:jc w:val="center"/>
        <w:rPr>
          <w:rFonts w:ascii="宋体" w:hAnsi="宋体"/>
          <w:b/>
          <w:sz w:val="30"/>
          <w:szCs w:val="30"/>
        </w:rPr>
      </w:pPr>
    </w:p>
    <w:p w:rsidR="00B11CA4" w:rsidRDefault="00B11CA4">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B11CA4" w:rsidRDefault="00B11CA4">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B11CA4" w:rsidRDefault="00B11CA4">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B11CA4" w:rsidRDefault="00B11CA4">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B11CA4" w:rsidRDefault="00B11CA4">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B11CA4" w:rsidRDefault="00B11CA4">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B11CA4" w:rsidRDefault="00145B85">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B11CA4" w:rsidRDefault="00145B85">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基金托管人：上海浦东发展银行股份有限公司</w:t>
      </w:r>
    </w:p>
    <w:p w:rsidR="00B11CA4" w:rsidRDefault="00B11CA4">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B11CA4" w:rsidRDefault="00B11CA4">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B11CA4" w:rsidRDefault="00145B85">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二〇二六年八月</w:t>
      </w:r>
    </w:p>
    <w:p w:rsidR="00B11CA4" w:rsidRDefault="00B11CA4">
      <w:pPr>
        <w:autoSpaceDE w:val="0"/>
        <w:autoSpaceDN w:val="0"/>
        <w:adjustRightInd w:val="0"/>
        <w:snapToGrid w:val="0"/>
        <w:spacing w:line="360" w:lineRule="auto"/>
        <w:ind w:left="1347" w:rightChars="6" w:right="13"/>
        <w:rPr>
          <w:rFonts w:ascii="宋体" w:hAnsi="宋体"/>
          <w:kern w:val="0"/>
          <w:sz w:val="32"/>
          <w:szCs w:val="32"/>
        </w:rPr>
        <w:sectPr w:rsidR="00B11CA4">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B11CA4" w:rsidRDefault="00145B85">
      <w:pPr>
        <w:pStyle w:val="1"/>
        <w:snapToGrid w:val="0"/>
        <w:spacing w:beforeLines="0" w:before="240" w:after="240"/>
        <w:rPr>
          <w:rFonts w:ascii="宋体" w:hAnsi="宋体"/>
          <w:kern w:val="0"/>
        </w:rPr>
      </w:pPr>
      <w:bookmarkStart w:id="0" w:name="_Toc324920538"/>
      <w:bookmarkStart w:id="1" w:name="_Toc496884613"/>
      <w:bookmarkStart w:id="2" w:name="_Toc238542754"/>
      <w:r>
        <w:rPr>
          <w:rFonts w:ascii="Times New Roman" w:hAnsi="Times New Roman"/>
          <w:kern w:val="0"/>
        </w:rPr>
        <w:lastRenderedPageBreak/>
        <w:t>重要提示</w:t>
      </w:r>
      <w:bookmarkEnd w:id="0"/>
      <w:bookmarkEnd w:id="1"/>
      <w:bookmarkEnd w:id="2"/>
    </w:p>
    <w:p w:rsidR="00B11CA4" w:rsidRDefault="00145B8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交银施罗德优享一年持有期混合型基金中基金（</w:t>
      </w:r>
      <w:r>
        <w:rPr>
          <w:rFonts w:ascii="Times New Roman" w:hAnsi="Times New Roman"/>
          <w:kern w:val="0"/>
          <w:sz w:val="24"/>
        </w:rPr>
        <w:t>FOF</w:t>
      </w:r>
      <w:r>
        <w:rPr>
          <w:rFonts w:ascii="Times New Roman" w:hAnsi="Times New Roman"/>
          <w:kern w:val="0"/>
          <w:sz w:val="24"/>
        </w:rPr>
        <w:t>）（以下简称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2021</w:t>
      </w:r>
      <w:r>
        <w:rPr>
          <w:rFonts w:ascii="Times New Roman" w:hAnsi="Times New Roman"/>
          <w:kern w:val="0"/>
          <w:sz w:val="24"/>
        </w:rPr>
        <w:t>年</w:t>
      </w:r>
      <w:r>
        <w:rPr>
          <w:rFonts w:ascii="Times New Roman" w:hAnsi="Times New Roman"/>
          <w:kern w:val="0"/>
          <w:sz w:val="24"/>
        </w:rPr>
        <w:t>12</w:t>
      </w:r>
      <w:r>
        <w:rPr>
          <w:rFonts w:ascii="Times New Roman" w:hAnsi="Times New Roman"/>
          <w:kern w:val="0"/>
          <w:sz w:val="24"/>
        </w:rPr>
        <w:t>月</w:t>
      </w:r>
      <w:r>
        <w:rPr>
          <w:rFonts w:ascii="Times New Roman" w:hAnsi="Times New Roman"/>
          <w:kern w:val="0"/>
          <w:sz w:val="24"/>
        </w:rPr>
        <w:t>13</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2021</w:t>
      </w:r>
      <w:r>
        <w:rPr>
          <w:rFonts w:ascii="Times New Roman" w:hAnsi="Times New Roman"/>
          <w:kern w:val="0"/>
          <w:sz w:val="24"/>
        </w:rPr>
        <w:t>】</w:t>
      </w:r>
      <w:r>
        <w:rPr>
          <w:rFonts w:ascii="Times New Roman" w:hAnsi="Times New Roman"/>
          <w:kern w:val="0"/>
          <w:sz w:val="24"/>
        </w:rPr>
        <w:t>3911</w:t>
      </w:r>
      <w:r>
        <w:rPr>
          <w:rFonts w:ascii="Times New Roman" w:hAnsi="Times New Roman"/>
          <w:kern w:val="0"/>
          <w:sz w:val="24"/>
        </w:rPr>
        <w:t>号文准予募集注册。本基金基金合同于</w:t>
      </w:r>
      <w:r>
        <w:rPr>
          <w:rFonts w:ascii="Times New Roman" w:hAnsi="Times New Roman"/>
          <w:kern w:val="0"/>
          <w:sz w:val="24"/>
        </w:rPr>
        <w:t>2022</w:t>
      </w:r>
      <w:r>
        <w:rPr>
          <w:rFonts w:ascii="Times New Roman" w:hAnsi="Times New Roman"/>
          <w:kern w:val="0"/>
          <w:sz w:val="24"/>
        </w:rPr>
        <w:t>年</w:t>
      </w:r>
      <w:r>
        <w:rPr>
          <w:rFonts w:ascii="Times New Roman" w:hAnsi="Times New Roman"/>
          <w:kern w:val="0"/>
          <w:sz w:val="24"/>
        </w:rPr>
        <w:t>1</w:t>
      </w:r>
      <w:r>
        <w:rPr>
          <w:rFonts w:ascii="Times New Roman" w:hAnsi="Times New Roman"/>
          <w:kern w:val="0"/>
          <w:sz w:val="24"/>
        </w:rPr>
        <w:t>月</w:t>
      </w:r>
      <w:r>
        <w:rPr>
          <w:rFonts w:ascii="Times New Roman" w:hAnsi="Times New Roman"/>
          <w:kern w:val="0"/>
          <w:sz w:val="24"/>
        </w:rPr>
        <w:t>27</w:t>
      </w:r>
      <w:r>
        <w:rPr>
          <w:rFonts w:ascii="Times New Roman" w:hAnsi="Times New Roman"/>
          <w:kern w:val="0"/>
          <w:sz w:val="24"/>
        </w:rPr>
        <w:t>日正式生效。</w:t>
      </w:r>
    </w:p>
    <w:p w:rsidR="00B11CA4" w:rsidRDefault="00145B8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投资价值和市场前景作出实质性判断或保证，也不表明投资于本基金没有风险。</w:t>
      </w:r>
    </w:p>
    <w:p w:rsidR="00B11CA4" w:rsidRDefault="00145B8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谨慎勤勉的原则管理和运用基金财产，但不保证投资本基金一定盈利，也不保证基金份额持有人的最低收益；因基金价格可升可跌，亦不保证基金份额持有人能全数取回其原本投资。</w:t>
      </w:r>
    </w:p>
    <w:p w:rsidR="00B11CA4" w:rsidRDefault="00145B8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本基金为基金中基金，由于本基金主要投资于经中国证监会依法核准或注册的公开募集证券投资基金的基金份额，投资本基金可能遇到的风险包括：因受到经济因素、政治因素、投资心理和交易制度等各种因素的影响而引起的市场风险；基金管理人在基金管理运作过程中产生的基金管理风险；流动性风险（包括实施侧袋机制时的特定风险）；信用风险；基金中基金的特有风险；投资资产支持证券的特定风险；投资流通受限证券的特定风险；投资科创板股票的特定风险；连续</w:t>
      </w:r>
      <w:r>
        <w:rPr>
          <w:rFonts w:ascii="Times New Roman" w:hAnsi="Times New Roman"/>
          <w:kern w:val="0"/>
          <w:sz w:val="24"/>
        </w:rPr>
        <w:t>50</w:t>
      </w:r>
      <w:r>
        <w:rPr>
          <w:rFonts w:ascii="Times New Roman" w:hAnsi="Times New Roman"/>
          <w:kern w:val="0"/>
          <w:sz w:val="24"/>
        </w:rPr>
        <w:t>个工作日出现基金份额持有人数量不满</w:t>
      </w:r>
      <w:r>
        <w:rPr>
          <w:rFonts w:ascii="Times New Roman" w:hAnsi="Times New Roman"/>
          <w:kern w:val="0"/>
          <w:sz w:val="24"/>
        </w:rPr>
        <w:t>200</w:t>
      </w:r>
      <w:r>
        <w:rPr>
          <w:rFonts w:ascii="Times New Roman" w:hAnsi="Times New Roman"/>
          <w:kern w:val="0"/>
          <w:sz w:val="24"/>
        </w:rPr>
        <w:t>人或基金资产净值低于</w:t>
      </w:r>
      <w:r>
        <w:rPr>
          <w:rFonts w:ascii="Times New Roman" w:hAnsi="Times New Roman"/>
          <w:kern w:val="0"/>
          <w:sz w:val="24"/>
        </w:rPr>
        <w:t>5000</w:t>
      </w:r>
      <w:r>
        <w:rPr>
          <w:rFonts w:ascii="Times New Roman" w:hAnsi="Times New Roman"/>
          <w:kern w:val="0"/>
          <w:sz w:val="24"/>
        </w:rPr>
        <w:t>万元情形时，基金合同终止的风险；投资本基金的其他风险等等。本基金为混合型基金中基金，其预期风险与预期收益理论上高于债券型基金、债券型基金中基金、货币市场基金和货币型基金中基金，低于股票型基金和股票型基金中基金。</w:t>
      </w:r>
    </w:p>
    <w:p w:rsidR="00B11CA4" w:rsidRDefault="00145B8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B11CA4" w:rsidRDefault="00145B8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lastRenderedPageBreak/>
        <w:t>基金份额持有人持有的每份基金份额最短持有期限为一年，在最短持有期限内该份基金份额不可赎回，自最短持有期限届满的下一工作日起（含该日）可赎回。对于每笔认购的基金份额而言，最短持有期限自基金合同生效之日起（含该日）至一年后年度对日的前一日；对于每笔申购的基金份额而言，最短持有期限自该笔申购份额确认日（含该日）至一年后年度对日的前一日。因此，对于基金份额持有人而言，存在投资本基金后一年内无法赎回的风险。</w:t>
      </w:r>
    </w:p>
    <w:p w:rsidR="00B11CA4" w:rsidRDefault="00145B8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若基金份额持有人多次认购或申购本基金导致持有多笔不同期限的本基金份额时，基金份额持有人在赎回时需特别关注申请赎回的基金份额数量，若申请赎回的基金份额超过了该份额持有人持续持有超过一年的基金份额数量，则基金份额持有人的赎回申请将全部被予以拒绝。基金份额持有人需承担赎回申请失败的风险。</w:t>
      </w:r>
    </w:p>
    <w:p w:rsidR="00B11CA4" w:rsidRDefault="00145B8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B11CA4" w:rsidRDefault="00145B8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rsidR="00B11CA4" w:rsidRDefault="00145B8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B11CA4" w:rsidRDefault="00145B8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本基金单一投资者持有基金份额数不得超过基金份额总数的</w:t>
      </w:r>
      <w:r>
        <w:rPr>
          <w:rFonts w:ascii="Times New Roman" w:hAnsi="Times New Roman"/>
          <w:kern w:val="0"/>
          <w:sz w:val="24"/>
        </w:rPr>
        <w:t>50%</w:t>
      </w:r>
      <w:r>
        <w:rPr>
          <w:rFonts w:ascii="Times New Roman" w:hAnsi="Times New Roman"/>
          <w:kern w:val="0"/>
          <w:sz w:val="24"/>
        </w:rPr>
        <w:t>，但在基金运作过程中因基金份额赎回等情形导致被动超过前述</w:t>
      </w:r>
      <w:r>
        <w:rPr>
          <w:rFonts w:ascii="Times New Roman" w:hAnsi="Times New Roman"/>
          <w:kern w:val="0"/>
          <w:sz w:val="24"/>
        </w:rPr>
        <w:t>50%</w:t>
      </w:r>
      <w:r>
        <w:rPr>
          <w:rFonts w:ascii="Times New Roman" w:hAnsi="Times New Roman"/>
          <w:kern w:val="0"/>
          <w:sz w:val="24"/>
        </w:rPr>
        <w:t>比例的除外。</w:t>
      </w:r>
    </w:p>
    <w:p w:rsidR="00B11CA4" w:rsidRDefault="00145B8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本次更新招募说明书主要对基金经理变更相关事项进行了相应更新，更新截止日为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08</w:t>
      </w:r>
      <w:r>
        <w:rPr>
          <w:rFonts w:ascii="Times New Roman" w:hAnsi="Times New Roman"/>
          <w:kern w:val="0"/>
          <w:sz w:val="24"/>
        </w:rPr>
        <w:t>月</w:t>
      </w:r>
      <w:r>
        <w:rPr>
          <w:rFonts w:ascii="Times New Roman" w:hAnsi="Times New Roman"/>
          <w:kern w:val="0"/>
          <w:sz w:val="24"/>
        </w:rPr>
        <w:t>22</w:t>
      </w:r>
      <w:r>
        <w:rPr>
          <w:rFonts w:ascii="Times New Roman" w:hAnsi="Times New Roman"/>
          <w:kern w:val="0"/>
          <w:sz w:val="24"/>
        </w:rPr>
        <w:t>日，除非另有说明，本招募说明书其他所载内容截止日为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12</w:t>
      </w:r>
      <w:r>
        <w:rPr>
          <w:rFonts w:ascii="Times New Roman" w:hAnsi="Times New Roman"/>
          <w:kern w:val="0"/>
          <w:sz w:val="24"/>
        </w:rPr>
        <w:t>月</w:t>
      </w:r>
      <w:r>
        <w:rPr>
          <w:rFonts w:ascii="Times New Roman" w:hAnsi="Times New Roman"/>
          <w:kern w:val="0"/>
          <w:sz w:val="24"/>
        </w:rPr>
        <w:t>01</w:t>
      </w:r>
      <w:r>
        <w:rPr>
          <w:rFonts w:ascii="Times New Roman" w:hAnsi="Times New Roman"/>
          <w:kern w:val="0"/>
          <w:sz w:val="24"/>
        </w:rPr>
        <w:t>日，有关财务数据和净值表现截止日为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30</w:t>
      </w:r>
      <w:r>
        <w:rPr>
          <w:rFonts w:ascii="Times New Roman" w:hAnsi="Times New Roman"/>
          <w:kern w:val="0"/>
          <w:sz w:val="24"/>
        </w:rPr>
        <w:t>日。本招募说明书所载的财务数据未经审计。</w:t>
      </w:r>
    </w:p>
    <w:p w:rsidR="00B11CA4" w:rsidRDefault="00B11CA4">
      <w:pPr>
        <w:autoSpaceDE w:val="0"/>
        <w:autoSpaceDN w:val="0"/>
        <w:adjustRightInd w:val="0"/>
        <w:snapToGrid w:val="0"/>
        <w:spacing w:before="51" w:line="360" w:lineRule="auto"/>
        <w:ind w:left="120" w:rightChars="6" w:right="13" w:firstLine="480"/>
        <w:rPr>
          <w:rFonts w:ascii="宋体" w:hAnsi="宋体"/>
          <w:kern w:val="0"/>
          <w:szCs w:val="24"/>
        </w:rPr>
        <w:sectPr w:rsidR="00B11CA4">
          <w:headerReference w:type="default" r:id="rId14"/>
          <w:pgSz w:w="11920" w:h="16840"/>
          <w:pgMar w:top="1440" w:right="1680" w:bottom="280" w:left="1680" w:header="0" w:footer="1073" w:gutter="0"/>
          <w:pgNumType w:start="1"/>
          <w:cols w:space="720"/>
        </w:sectPr>
      </w:pPr>
    </w:p>
    <w:p w:rsidR="00166808" w:rsidRPr="00166808" w:rsidRDefault="00145B85" w:rsidP="00166808">
      <w:pPr>
        <w:pStyle w:val="ad"/>
        <w:snapToGrid w:val="0"/>
        <w:spacing w:after="240" w:line="360" w:lineRule="auto"/>
        <w:jc w:val="center"/>
        <w:rPr>
          <w:rFonts w:ascii="宋体" w:hAnsi="宋体"/>
          <w:noProof/>
          <w:sz w:val="24"/>
        </w:rPr>
      </w:pPr>
      <w:r w:rsidRPr="00166808">
        <w:rPr>
          <w:rFonts w:ascii="宋体" w:hAnsi="宋体"/>
          <w:color w:val="000000"/>
          <w:position w:val="-4"/>
          <w:sz w:val="24"/>
          <w:szCs w:val="30"/>
        </w:rPr>
        <w:lastRenderedPageBreak/>
        <w:t>目</w:t>
      </w:r>
      <w:r w:rsidRPr="00166808">
        <w:rPr>
          <w:rFonts w:ascii="宋体" w:hAnsi="宋体"/>
          <w:color w:val="000000"/>
          <w:position w:val="-4"/>
          <w:sz w:val="24"/>
          <w:szCs w:val="30"/>
        </w:rPr>
        <w:tab/>
        <w:t>录</w:t>
      </w:r>
      <w:r w:rsidR="00166808" w:rsidRPr="00166808">
        <w:rPr>
          <w:rFonts w:ascii="宋体" w:hAnsi="宋体"/>
          <w:color w:val="000000"/>
          <w:position w:val="-4"/>
          <w:sz w:val="24"/>
          <w:szCs w:val="30"/>
        </w:rPr>
        <w:fldChar w:fldCharType="begin"/>
      </w:r>
      <w:r w:rsidR="00166808" w:rsidRPr="00166808">
        <w:rPr>
          <w:rFonts w:ascii="宋体" w:hAnsi="宋体"/>
          <w:color w:val="000000"/>
          <w:position w:val="-4"/>
          <w:sz w:val="24"/>
          <w:szCs w:val="30"/>
        </w:rPr>
        <w:instrText xml:space="preserve"> TOC \o "1-3" \f - \h \t "-1" </w:instrText>
      </w:r>
      <w:r w:rsidR="00166808" w:rsidRPr="00166808">
        <w:rPr>
          <w:rFonts w:ascii="宋体" w:hAnsi="宋体"/>
          <w:color w:val="000000"/>
          <w:position w:val="-4"/>
          <w:sz w:val="24"/>
          <w:szCs w:val="30"/>
        </w:rPr>
        <w:fldChar w:fldCharType="separate"/>
      </w:r>
    </w:p>
    <w:p w:rsidR="00166808" w:rsidRPr="00166808" w:rsidRDefault="00166808" w:rsidP="00166808">
      <w:pPr>
        <w:pStyle w:val="10"/>
        <w:tabs>
          <w:tab w:val="right" w:leader="dot" w:pos="8550"/>
        </w:tabs>
        <w:spacing w:line="360" w:lineRule="auto"/>
        <w:rPr>
          <w:rFonts w:ascii="宋体" w:hAnsi="宋体" w:cstheme="minorBidi"/>
          <w:noProof/>
          <w:sz w:val="24"/>
        </w:rPr>
      </w:pPr>
      <w:hyperlink w:anchor="_Toc238542754" w:history="1">
        <w:r w:rsidRPr="00166808">
          <w:rPr>
            <w:rStyle w:val="aa"/>
            <w:rFonts w:ascii="宋体" w:hAnsi="宋体" w:hint="eastAsia"/>
            <w:noProof/>
            <w:kern w:val="0"/>
            <w:sz w:val="24"/>
          </w:rPr>
          <w:t>重要提示</w:t>
        </w:r>
        <w:r w:rsidRPr="00166808">
          <w:rPr>
            <w:rFonts w:ascii="宋体" w:hAnsi="宋体"/>
            <w:noProof/>
            <w:sz w:val="24"/>
          </w:rPr>
          <w:tab/>
        </w:r>
        <w:r w:rsidRPr="00166808">
          <w:rPr>
            <w:rFonts w:ascii="宋体" w:hAnsi="宋体"/>
            <w:noProof/>
            <w:sz w:val="24"/>
          </w:rPr>
          <w:fldChar w:fldCharType="begin"/>
        </w:r>
        <w:r w:rsidRPr="00166808">
          <w:rPr>
            <w:rFonts w:ascii="宋体" w:hAnsi="宋体"/>
            <w:noProof/>
            <w:sz w:val="24"/>
          </w:rPr>
          <w:instrText xml:space="preserve"> PAGEREF _Toc238542754 \h </w:instrText>
        </w:r>
        <w:r w:rsidRPr="00166808">
          <w:rPr>
            <w:rFonts w:ascii="宋体" w:hAnsi="宋体"/>
            <w:noProof/>
            <w:sz w:val="24"/>
          </w:rPr>
        </w:r>
        <w:r w:rsidRPr="00166808">
          <w:rPr>
            <w:rFonts w:ascii="宋体" w:hAnsi="宋体"/>
            <w:noProof/>
            <w:sz w:val="24"/>
          </w:rPr>
          <w:fldChar w:fldCharType="separate"/>
        </w:r>
        <w:r w:rsidRPr="00166808">
          <w:rPr>
            <w:rFonts w:ascii="宋体" w:hAnsi="宋体"/>
            <w:noProof/>
            <w:sz w:val="24"/>
          </w:rPr>
          <w:t>1</w:t>
        </w:r>
        <w:r w:rsidRPr="00166808">
          <w:rPr>
            <w:rFonts w:ascii="宋体" w:hAnsi="宋体"/>
            <w:noProof/>
            <w:sz w:val="24"/>
          </w:rPr>
          <w:fldChar w:fldCharType="end"/>
        </w:r>
      </w:hyperlink>
    </w:p>
    <w:p w:rsidR="00166808" w:rsidRPr="00166808" w:rsidRDefault="00166808" w:rsidP="00166808">
      <w:pPr>
        <w:pStyle w:val="10"/>
        <w:tabs>
          <w:tab w:val="right" w:leader="dot" w:pos="8550"/>
        </w:tabs>
        <w:spacing w:line="360" w:lineRule="auto"/>
        <w:rPr>
          <w:rFonts w:ascii="宋体" w:hAnsi="宋体" w:cstheme="minorBidi"/>
          <w:noProof/>
          <w:sz w:val="24"/>
        </w:rPr>
      </w:pPr>
      <w:hyperlink w:anchor="_Toc238542755" w:history="1">
        <w:r w:rsidRPr="00166808">
          <w:rPr>
            <w:rStyle w:val="aa"/>
            <w:rFonts w:ascii="宋体" w:hAnsi="宋体" w:hint="eastAsia"/>
            <w:noProof/>
            <w:sz w:val="24"/>
          </w:rPr>
          <w:t>一、绪言</w:t>
        </w:r>
        <w:r w:rsidRPr="00166808">
          <w:rPr>
            <w:rFonts w:ascii="宋体" w:hAnsi="宋体"/>
            <w:noProof/>
            <w:sz w:val="24"/>
          </w:rPr>
          <w:tab/>
        </w:r>
        <w:r w:rsidRPr="00166808">
          <w:rPr>
            <w:rFonts w:ascii="宋体" w:hAnsi="宋体"/>
            <w:noProof/>
            <w:sz w:val="24"/>
          </w:rPr>
          <w:fldChar w:fldCharType="begin"/>
        </w:r>
        <w:r w:rsidRPr="00166808">
          <w:rPr>
            <w:rFonts w:ascii="宋体" w:hAnsi="宋体"/>
            <w:noProof/>
            <w:sz w:val="24"/>
          </w:rPr>
          <w:instrText xml:space="preserve"> PAGEREF _Toc238542755 \h </w:instrText>
        </w:r>
        <w:r w:rsidRPr="00166808">
          <w:rPr>
            <w:rFonts w:ascii="宋体" w:hAnsi="宋体"/>
            <w:noProof/>
            <w:sz w:val="24"/>
          </w:rPr>
        </w:r>
        <w:r w:rsidRPr="00166808">
          <w:rPr>
            <w:rFonts w:ascii="宋体" w:hAnsi="宋体"/>
            <w:noProof/>
            <w:sz w:val="24"/>
          </w:rPr>
          <w:fldChar w:fldCharType="separate"/>
        </w:r>
        <w:r w:rsidRPr="00166808">
          <w:rPr>
            <w:rFonts w:ascii="宋体" w:hAnsi="宋体"/>
            <w:noProof/>
            <w:sz w:val="24"/>
          </w:rPr>
          <w:t>4</w:t>
        </w:r>
        <w:r w:rsidRPr="00166808">
          <w:rPr>
            <w:rFonts w:ascii="宋体" w:hAnsi="宋体"/>
            <w:noProof/>
            <w:sz w:val="24"/>
          </w:rPr>
          <w:fldChar w:fldCharType="end"/>
        </w:r>
      </w:hyperlink>
    </w:p>
    <w:p w:rsidR="00166808" w:rsidRPr="00166808" w:rsidRDefault="00166808" w:rsidP="00166808">
      <w:pPr>
        <w:pStyle w:val="10"/>
        <w:tabs>
          <w:tab w:val="right" w:leader="dot" w:pos="8550"/>
        </w:tabs>
        <w:spacing w:line="360" w:lineRule="auto"/>
        <w:rPr>
          <w:rFonts w:ascii="宋体" w:hAnsi="宋体" w:cstheme="minorBidi"/>
          <w:noProof/>
          <w:sz w:val="24"/>
        </w:rPr>
      </w:pPr>
      <w:hyperlink w:anchor="_Toc238542756" w:history="1">
        <w:r w:rsidRPr="00166808">
          <w:rPr>
            <w:rStyle w:val="aa"/>
            <w:rFonts w:ascii="宋体" w:hAnsi="宋体" w:hint="eastAsia"/>
            <w:noProof/>
            <w:sz w:val="24"/>
          </w:rPr>
          <w:t>二、释义</w:t>
        </w:r>
        <w:r w:rsidRPr="00166808">
          <w:rPr>
            <w:rFonts w:ascii="宋体" w:hAnsi="宋体"/>
            <w:noProof/>
            <w:sz w:val="24"/>
          </w:rPr>
          <w:tab/>
        </w:r>
        <w:r w:rsidRPr="00166808">
          <w:rPr>
            <w:rFonts w:ascii="宋体" w:hAnsi="宋体"/>
            <w:noProof/>
            <w:sz w:val="24"/>
          </w:rPr>
          <w:fldChar w:fldCharType="begin"/>
        </w:r>
        <w:r w:rsidRPr="00166808">
          <w:rPr>
            <w:rFonts w:ascii="宋体" w:hAnsi="宋体"/>
            <w:noProof/>
            <w:sz w:val="24"/>
          </w:rPr>
          <w:instrText xml:space="preserve"> PAGEREF _Toc238542756 \h </w:instrText>
        </w:r>
        <w:r w:rsidRPr="00166808">
          <w:rPr>
            <w:rFonts w:ascii="宋体" w:hAnsi="宋体"/>
            <w:noProof/>
            <w:sz w:val="24"/>
          </w:rPr>
        </w:r>
        <w:r w:rsidRPr="00166808">
          <w:rPr>
            <w:rFonts w:ascii="宋体" w:hAnsi="宋体"/>
            <w:noProof/>
            <w:sz w:val="24"/>
          </w:rPr>
          <w:fldChar w:fldCharType="separate"/>
        </w:r>
        <w:r w:rsidRPr="00166808">
          <w:rPr>
            <w:rFonts w:ascii="宋体" w:hAnsi="宋体"/>
            <w:noProof/>
            <w:sz w:val="24"/>
          </w:rPr>
          <w:t>5</w:t>
        </w:r>
        <w:r w:rsidRPr="00166808">
          <w:rPr>
            <w:rFonts w:ascii="宋体" w:hAnsi="宋体"/>
            <w:noProof/>
            <w:sz w:val="24"/>
          </w:rPr>
          <w:fldChar w:fldCharType="end"/>
        </w:r>
      </w:hyperlink>
    </w:p>
    <w:p w:rsidR="00166808" w:rsidRPr="00166808" w:rsidRDefault="00166808" w:rsidP="00166808">
      <w:pPr>
        <w:pStyle w:val="10"/>
        <w:tabs>
          <w:tab w:val="right" w:leader="dot" w:pos="8550"/>
        </w:tabs>
        <w:spacing w:line="360" w:lineRule="auto"/>
        <w:rPr>
          <w:rFonts w:ascii="宋体" w:hAnsi="宋体" w:cstheme="minorBidi"/>
          <w:noProof/>
          <w:sz w:val="24"/>
        </w:rPr>
      </w:pPr>
      <w:hyperlink w:anchor="_Toc238542757" w:history="1">
        <w:r w:rsidRPr="00166808">
          <w:rPr>
            <w:rStyle w:val="aa"/>
            <w:rFonts w:ascii="宋体" w:hAnsi="宋体" w:hint="eastAsia"/>
            <w:noProof/>
            <w:sz w:val="24"/>
          </w:rPr>
          <w:t>三、基金管理人</w:t>
        </w:r>
        <w:r w:rsidRPr="00166808">
          <w:rPr>
            <w:rFonts w:ascii="宋体" w:hAnsi="宋体"/>
            <w:noProof/>
            <w:sz w:val="24"/>
          </w:rPr>
          <w:tab/>
        </w:r>
        <w:r w:rsidRPr="00166808">
          <w:rPr>
            <w:rFonts w:ascii="宋体" w:hAnsi="宋体"/>
            <w:noProof/>
            <w:sz w:val="24"/>
          </w:rPr>
          <w:fldChar w:fldCharType="begin"/>
        </w:r>
        <w:r w:rsidRPr="00166808">
          <w:rPr>
            <w:rFonts w:ascii="宋体" w:hAnsi="宋体"/>
            <w:noProof/>
            <w:sz w:val="24"/>
          </w:rPr>
          <w:instrText xml:space="preserve"> PAGEREF _Toc238542757 \h </w:instrText>
        </w:r>
        <w:r w:rsidRPr="00166808">
          <w:rPr>
            <w:rFonts w:ascii="宋体" w:hAnsi="宋体"/>
            <w:noProof/>
            <w:sz w:val="24"/>
          </w:rPr>
        </w:r>
        <w:r w:rsidRPr="00166808">
          <w:rPr>
            <w:rFonts w:ascii="宋体" w:hAnsi="宋体"/>
            <w:noProof/>
            <w:sz w:val="24"/>
          </w:rPr>
          <w:fldChar w:fldCharType="separate"/>
        </w:r>
        <w:r w:rsidRPr="00166808">
          <w:rPr>
            <w:rFonts w:ascii="宋体" w:hAnsi="宋体"/>
            <w:noProof/>
            <w:sz w:val="24"/>
          </w:rPr>
          <w:t>10</w:t>
        </w:r>
        <w:r w:rsidRPr="00166808">
          <w:rPr>
            <w:rFonts w:ascii="宋体" w:hAnsi="宋体"/>
            <w:noProof/>
            <w:sz w:val="24"/>
          </w:rPr>
          <w:fldChar w:fldCharType="end"/>
        </w:r>
      </w:hyperlink>
    </w:p>
    <w:p w:rsidR="00166808" w:rsidRPr="00166808" w:rsidRDefault="00166808" w:rsidP="00166808">
      <w:pPr>
        <w:pStyle w:val="10"/>
        <w:tabs>
          <w:tab w:val="right" w:leader="dot" w:pos="8550"/>
        </w:tabs>
        <w:spacing w:line="360" w:lineRule="auto"/>
        <w:rPr>
          <w:rFonts w:ascii="宋体" w:hAnsi="宋体" w:cstheme="minorBidi"/>
          <w:noProof/>
          <w:sz w:val="24"/>
        </w:rPr>
      </w:pPr>
      <w:hyperlink w:anchor="_Toc238542758" w:history="1">
        <w:r w:rsidRPr="00166808">
          <w:rPr>
            <w:rStyle w:val="aa"/>
            <w:rFonts w:ascii="宋体" w:hAnsi="宋体" w:hint="eastAsia"/>
            <w:noProof/>
            <w:sz w:val="24"/>
          </w:rPr>
          <w:t>四、基金托管人</w:t>
        </w:r>
        <w:r w:rsidRPr="00166808">
          <w:rPr>
            <w:rFonts w:ascii="宋体" w:hAnsi="宋体"/>
            <w:noProof/>
            <w:sz w:val="24"/>
          </w:rPr>
          <w:tab/>
        </w:r>
        <w:r w:rsidRPr="00166808">
          <w:rPr>
            <w:rFonts w:ascii="宋体" w:hAnsi="宋体"/>
            <w:noProof/>
            <w:sz w:val="24"/>
          </w:rPr>
          <w:fldChar w:fldCharType="begin"/>
        </w:r>
        <w:r w:rsidRPr="00166808">
          <w:rPr>
            <w:rFonts w:ascii="宋体" w:hAnsi="宋体"/>
            <w:noProof/>
            <w:sz w:val="24"/>
          </w:rPr>
          <w:instrText xml:space="preserve"> PAGEREF _Toc238542758 \h </w:instrText>
        </w:r>
        <w:r w:rsidRPr="00166808">
          <w:rPr>
            <w:rFonts w:ascii="宋体" w:hAnsi="宋体"/>
            <w:noProof/>
            <w:sz w:val="24"/>
          </w:rPr>
        </w:r>
        <w:r w:rsidRPr="00166808">
          <w:rPr>
            <w:rFonts w:ascii="宋体" w:hAnsi="宋体"/>
            <w:noProof/>
            <w:sz w:val="24"/>
          </w:rPr>
          <w:fldChar w:fldCharType="separate"/>
        </w:r>
        <w:r w:rsidRPr="00166808">
          <w:rPr>
            <w:rFonts w:ascii="宋体" w:hAnsi="宋体"/>
            <w:noProof/>
            <w:sz w:val="24"/>
          </w:rPr>
          <w:t>18</w:t>
        </w:r>
        <w:r w:rsidRPr="00166808">
          <w:rPr>
            <w:rFonts w:ascii="宋体" w:hAnsi="宋体"/>
            <w:noProof/>
            <w:sz w:val="24"/>
          </w:rPr>
          <w:fldChar w:fldCharType="end"/>
        </w:r>
      </w:hyperlink>
    </w:p>
    <w:p w:rsidR="00166808" w:rsidRPr="00166808" w:rsidRDefault="00166808" w:rsidP="00166808">
      <w:pPr>
        <w:pStyle w:val="10"/>
        <w:tabs>
          <w:tab w:val="right" w:leader="dot" w:pos="8550"/>
        </w:tabs>
        <w:spacing w:line="360" w:lineRule="auto"/>
        <w:rPr>
          <w:rFonts w:ascii="宋体" w:hAnsi="宋体" w:cstheme="minorBidi"/>
          <w:noProof/>
          <w:sz w:val="24"/>
        </w:rPr>
      </w:pPr>
      <w:hyperlink w:anchor="_Toc238542759" w:history="1">
        <w:r w:rsidRPr="00166808">
          <w:rPr>
            <w:rStyle w:val="aa"/>
            <w:rFonts w:ascii="宋体" w:hAnsi="宋体" w:hint="eastAsia"/>
            <w:noProof/>
            <w:sz w:val="24"/>
          </w:rPr>
          <w:t>五、相关服务机构</w:t>
        </w:r>
        <w:r w:rsidRPr="00166808">
          <w:rPr>
            <w:rFonts w:ascii="宋体" w:hAnsi="宋体"/>
            <w:noProof/>
            <w:sz w:val="24"/>
          </w:rPr>
          <w:tab/>
        </w:r>
        <w:r w:rsidRPr="00166808">
          <w:rPr>
            <w:rFonts w:ascii="宋体" w:hAnsi="宋体"/>
            <w:noProof/>
            <w:sz w:val="24"/>
          </w:rPr>
          <w:fldChar w:fldCharType="begin"/>
        </w:r>
        <w:r w:rsidRPr="00166808">
          <w:rPr>
            <w:rFonts w:ascii="宋体" w:hAnsi="宋体"/>
            <w:noProof/>
            <w:sz w:val="24"/>
          </w:rPr>
          <w:instrText xml:space="preserve"> PAGEREF _Toc238542759 \h </w:instrText>
        </w:r>
        <w:r w:rsidRPr="00166808">
          <w:rPr>
            <w:rFonts w:ascii="宋体" w:hAnsi="宋体"/>
            <w:noProof/>
            <w:sz w:val="24"/>
          </w:rPr>
        </w:r>
        <w:r w:rsidRPr="00166808">
          <w:rPr>
            <w:rFonts w:ascii="宋体" w:hAnsi="宋体"/>
            <w:noProof/>
            <w:sz w:val="24"/>
          </w:rPr>
          <w:fldChar w:fldCharType="separate"/>
        </w:r>
        <w:r w:rsidRPr="00166808">
          <w:rPr>
            <w:rFonts w:ascii="宋体" w:hAnsi="宋体"/>
            <w:noProof/>
            <w:sz w:val="24"/>
          </w:rPr>
          <w:t>22</w:t>
        </w:r>
        <w:r w:rsidRPr="00166808">
          <w:rPr>
            <w:rFonts w:ascii="宋体" w:hAnsi="宋体"/>
            <w:noProof/>
            <w:sz w:val="24"/>
          </w:rPr>
          <w:fldChar w:fldCharType="end"/>
        </w:r>
      </w:hyperlink>
    </w:p>
    <w:p w:rsidR="00166808" w:rsidRPr="00166808" w:rsidRDefault="00166808" w:rsidP="00166808">
      <w:pPr>
        <w:pStyle w:val="10"/>
        <w:tabs>
          <w:tab w:val="right" w:leader="dot" w:pos="8550"/>
        </w:tabs>
        <w:spacing w:line="360" w:lineRule="auto"/>
        <w:rPr>
          <w:rFonts w:ascii="宋体" w:hAnsi="宋体" w:cstheme="minorBidi"/>
          <w:noProof/>
          <w:sz w:val="24"/>
        </w:rPr>
      </w:pPr>
      <w:hyperlink w:anchor="_Toc238542760" w:history="1">
        <w:r w:rsidRPr="00166808">
          <w:rPr>
            <w:rStyle w:val="aa"/>
            <w:rFonts w:ascii="宋体" w:hAnsi="宋体" w:hint="eastAsia"/>
            <w:noProof/>
            <w:sz w:val="24"/>
          </w:rPr>
          <w:t>六、基金的募集</w:t>
        </w:r>
        <w:r w:rsidRPr="00166808">
          <w:rPr>
            <w:rFonts w:ascii="宋体" w:hAnsi="宋体"/>
            <w:noProof/>
            <w:sz w:val="24"/>
          </w:rPr>
          <w:tab/>
        </w:r>
        <w:r w:rsidRPr="00166808">
          <w:rPr>
            <w:rFonts w:ascii="宋体" w:hAnsi="宋体"/>
            <w:noProof/>
            <w:sz w:val="24"/>
          </w:rPr>
          <w:fldChar w:fldCharType="begin"/>
        </w:r>
        <w:r w:rsidRPr="00166808">
          <w:rPr>
            <w:rFonts w:ascii="宋体" w:hAnsi="宋体"/>
            <w:noProof/>
            <w:sz w:val="24"/>
          </w:rPr>
          <w:instrText xml:space="preserve"> PAGEREF _Toc238542760 \h </w:instrText>
        </w:r>
        <w:r w:rsidRPr="00166808">
          <w:rPr>
            <w:rFonts w:ascii="宋体" w:hAnsi="宋体"/>
            <w:noProof/>
            <w:sz w:val="24"/>
          </w:rPr>
        </w:r>
        <w:r w:rsidRPr="00166808">
          <w:rPr>
            <w:rFonts w:ascii="宋体" w:hAnsi="宋体"/>
            <w:noProof/>
            <w:sz w:val="24"/>
          </w:rPr>
          <w:fldChar w:fldCharType="separate"/>
        </w:r>
        <w:r w:rsidRPr="00166808">
          <w:rPr>
            <w:rFonts w:ascii="宋体" w:hAnsi="宋体"/>
            <w:noProof/>
            <w:sz w:val="24"/>
          </w:rPr>
          <w:t>44</w:t>
        </w:r>
        <w:r w:rsidRPr="00166808">
          <w:rPr>
            <w:rFonts w:ascii="宋体" w:hAnsi="宋体"/>
            <w:noProof/>
            <w:sz w:val="24"/>
          </w:rPr>
          <w:fldChar w:fldCharType="end"/>
        </w:r>
      </w:hyperlink>
    </w:p>
    <w:p w:rsidR="00166808" w:rsidRPr="00166808" w:rsidRDefault="00166808" w:rsidP="00166808">
      <w:pPr>
        <w:pStyle w:val="10"/>
        <w:tabs>
          <w:tab w:val="right" w:leader="dot" w:pos="8550"/>
        </w:tabs>
        <w:spacing w:line="360" w:lineRule="auto"/>
        <w:rPr>
          <w:rFonts w:ascii="宋体" w:hAnsi="宋体" w:cstheme="minorBidi"/>
          <w:noProof/>
          <w:sz w:val="24"/>
        </w:rPr>
      </w:pPr>
      <w:hyperlink w:anchor="_Toc238542761" w:history="1">
        <w:r w:rsidRPr="00166808">
          <w:rPr>
            <w:rStyle w:val="aa"/>
            <w:rFonts w:ascii="宋体" w:hAnsi="宋体" w:hint="eastAsia"/>
            <w:noProof/>
            <w:sz w:val="24"/>
          </w:rPr>
          <w:t>七、基金合同的生效</w:t>
        </w:r>
        <w:r w:rsidRPr="00166808">
          <w:rPr>
            <w:rFonts w:ascii="宋体" w:hAnsi="宋体"/>
            <w:noProof/>
            <w:sz w:val="24"/>
          </w:rPr>
          <w:tab/>
        </w:r>
        <w:r w:rsidRPr="00166808">
          <w:rPr>
            <w:rFonts w:ascii="宋体" w:hAnsi="宋体"/>
            <w:noProof/>
            <w:sz w:val="24"/>
          </w:rPr>
          <w:fldChar w:fldCharType="begin"/>
        </w:r>
        <w:r w:rsidRPr="00166808">
          <w:rPr>
            <w:rFonts w:ascii="宋体" w:hAnsi="宋体"/>
            <w:noProof/>
            <w:sz w:val="24"/>
          </w:rPr>
          <w:instrText xml:space="preserve"> PAGEREF _Toc238542761 \h </w:instrText>
        </w:r>
        <w:r w:rsidRPr="00166808">
          <w:rPr>
            <w:rFonts w:ascii="宋体" w:hAnsi="宋体"/>
            <w:noProof/>
            <w:sz w:val="24"/>
          </w:rPr>
        </w:r>
        <w:r w:rsidRPr="00166808">
          <w:rPr>
            <w:rFonts w:ascii="宋体" w:hAnsi="宋体"/>
            <w:noProof/>
            <w:sz w:val="24"/>
          </w:rPr>
          <w:fldChar w:fldCharType="separate"/>
        </w:r>
        <w:r w:rsidRPr="00166808">
          <w:rPr>
            <w:rFonts w:ascii="宋体" w:hAnsi="宋体"/>
            <w:noProof/>
            <w:sz w:val="24"/>
          </w:rPr>
          <w:t>45</w:t>
        </w:r>
        <w:r w:rsidRPr="00166808">
          <w:rPr>
            <w:rFonts w:ascii="宋体" w:hAnsi="宋体"/>
            <w:noProof/>
            <w:sz w:val="24"/>
          </w:rPr>
          <w:fldChar w:fldCharType="end"/>
        </w:r>
      </w:hyperlink>
    </w:p>
    <w:p w:rsidR="00166808" w:rsidRPr="00166808" w:rsidRDefault="00166808" w:rsidP="00166808">
      <w:pPr>
        <w:pStyle w:val="10"/>
        <w:tabs>
          <w:tab w:val="right" w:leader="dot" w:pos="8550"/>
        </w:tabs>
        <w:spacing w:line="360" w:lineRule="auto"/>
        <w:rPr>
          <w:rFonts w:ascii="宋体" w:hAnsi="宋体" w:cstheme="minorBidi"/>
          <w:noProof/>
          <w:sz w:val="24"/>
        </w:rPr>
      </w:pPr>
      <w:hyperlink w:anchor="_Toc238542762" w:history="1">
        <w:r w:rsidRPr="00166808">
          <w:rPr>
            <w:rStyle w:val="aa"/>
            <w:rFonts w:ascii="宋体" w:hAnsi="宋体" w:hint="eastAsia"/>
            <w:noProof/>
            <w:sz w:val="24"/>
          </w:rPr>
          <w:t>八、基金份额的申购与赎回</w:t>
        </w:r>
        <w:r w:rsidRPr="00166808">
          <w:rPr>
            <w:rFonts w:ascii="宋体" w:hAnsi="宋体"/>
            <w:noProof/>
            <w:sz w:val="24"/>
          </w:rPr>
          <w:tab/>
        </w:r>
        <w:r w:rsidRPr="00166808">
          <w:rPr>
            <w:rFonts w:ascii="宋体" w:hAnsi="宋体"/>
            <w:noProof/>
            <w:sz w:val="24"/>
          </w:rPr>
          <w:fldChar w:fldCharType="begin"/>
        </w:r>
        <w:r w:rsidRPr="00166808">
          <w:rPr>
            <w:rFonts w:ascii="宋体" w:hAnsi="宋体"/>
            <w:noProof/>
            <w:sz w:val="24"/>
          </w:rPr>
          <w:instrText xml:space="preserve"> PAGEREF _Toc238542762 \h </w:instrText>
        </w:r>
        <w:r w:rsidRPr="00166808">
          <w:rPr>
            <w:rFonts w:ascii="宋体" w:hAnsi="宋体"/>
            <w:noProof/>
            <w:sz w:val="24"/>
          </w:rPr>
        </w:r>
        <w:r w:rsidRPr="00166808">
          <w:rPr>
            <w:rFonts w:ascii="宋体" w:hAnsi="宋体"/>
            <w:noProof/>
            <w:sz w:val="24"/>
          </w:rPr>
          <w:fldChar w:fldCharType="separate"/>
        </w:r>
        <w:r w:rsidRPr="00166808">
          <w:rPr>
            <w:rFonts w:ascii="宋体" w:hAnsi="宋体"/>
            <w:noProof/>
            <w:sz w:val="24"/>
          </w:rPr>
          <w:t>46</w:t>
        </w:r>
        <w:r w:rsidRPr="00166808">
          <w:rPr>
            <w:rFonts w:ascii="宋体" w:hAnsi="宋体"/>
            <w:noProof/>
            <w:sz w:val="24"/>
          </w:rPr>
          <w:fldChar w:fldCharType="end"/>
        </w:r>
      </w:hyperlink>
    </w:p>
    <w:p w:rsidR="00166808" w:rsidRPr="00166808" w:rsidRDefault="00166808" w:rsidP="00166808">
      <w:pPr>
        <w:pStyle w:val="10"/>
        <w:tabs>
          <w:tab w:val="right" w:leader="dot" w:pos="8550"/>
        </w:tabs>
        <w:spacing w:line="360" w:lineRule="auto"/>
        <w:rPr>
          <w:rFonts w:ascii="宋体" w:hAnsi="宋体" w:cstheme="minorBidi"/>
          <w:noProof/>
          <w:sz w:val="24"/>
        </w:rPr>
      </w:pPr>
      <w:hyperlink w:anchor="_Toc238542763" w:history="1">
        <w:r w:rsidRPr="00166808">
          <w:rPr>
            <w:rStyle w:val="aa"/>
            <w:rFonts w:ascii="宋体" w:hAnsi="宋体" w:hint="eastAsia"/>
            <w:noProof/>
            <w:sz w:val="24"/>
          </w:rPr>
          <w:t>九、基金的投资</w:t>
        </w:r>
        <w:r w:rsidRPr="00166808">
          <w:rPr>
            <w:rFonts w:ascii="宋体" w:hAnsi="宋体"/>
            <w:noProof/>
            <w:sz w:val="24"/>
          </w:rPr>
          <w:tab/>
        </w:r>
        <w:r w:rsidRPr="00166808">
          <w:rPr>
            <w:rFonts w:ascii="宋体" w:hAnsi="宋体"/>
            <w:noProof/>
            <w:sz w:val="24"/>
          </w:rPr>
          <w:fldChar w:fldCharType="begin"/>
        </w:r>
        <w:r w:rsidRPr="00166808">
          <w:rPr>
            <w:rFonts w:ascii="宋体" w:hAnsi="宋体"/>
            <w:noProof/>
            <w:sz w:val="24"/>
          </w:rPr>
          <w:instrText xml:space="preserve"> PAGEREF _Toc238542763 \h </w:instrText>
        </w:r>
        <w:r w:rsidRPr="00166808">
          <w:rPr>
            <w:rFonts w:ascii="宋体" w:hAnsi="宋体"/>
            <w:noProof/>
            <w:sz w:val="24"/>
          </w:rPr>
        </w:r>
        <w:r w:rsidRPr="00166808">
          <w:rPr>
            <w:rFonts w:ascii="宋体" w:hAnsi="宋体"/>
            <w:noProof/>
            <w:sz w:val="24"/>
          </w:rPr>
          <w:fldChar w:fldCharType="separate"/>
        </w:r>
        <w:r w:rsidRPr="00166808">
          <w:rPr>
            <w:rFonts w:ascii="宋体" w:hAnsi="宋体"/>
            <w:noProof/>
            <w:sz w:val="24"/>
          </w:rPr>
          <w:t>59</w:t>
        </w:r>
        <w:r w:rsidRPr="00166808">
          <w:rPr>
            <w:rFonts w:ascii="宋体" w:hAnsi="宋体"/>
            <w:noProof/>
            <w:sz w:val="24"/>
          </w:rPr>
          <w:fldChar w:fldCharType="end"/>
        </w:r>
      </w:hyperlink>
    </w:p>
    <w:p w:rsidR="00166808" w:rsidRPr="00166808" w:rsidRDefault="00166808" w:rsidP="00166808">
      <w:pPr>
        <w:pStyle w:val="10"/>
        <w:tabs>
          <w:tab w:val="right" w:leader="dot" w:pos="8550"/>
        </w:tabs>
        <w:spacing w:line="360" w:lineRule="auto"/>
        <w:rPr>
          <w:rFonts w:ascii="宋体" w:hAnsi="宋体" w:cstheme="minorBidi"/>
          <w:noProof/>
          <w:sz w:val="24"/>
        </w:rPr>
      </w:pPr>
      <w:hyperlink w:anchor="_Toc238542764" w:history="1">
        <w:r w:rsidRPr="00166808">
          <w:rPr>
            <w:rStyle w:val="aa"/>
            <w:rFonts w:ascii="宋体" w:hAnsi="宋体" w:hint="eastAsia"/>
            <w:noProof/>
            <w:sz w:val="24"/>
          </w:rPr>
          <w:t>十、基金的业绩</w:t>
        </w:r>
        <w:r w:rsidRPr="00166808">
          <w:rPr>
            <w:rFonts w:ascii="宋体" w:hAnsi="宋体"/>
            <w:noProof/>
            <w:sz w:val="24"/>
          </w:rPr>
          <w:tab/>
        </w:r>
        <w:r w:rsidRPr="00166808">
          <w:rPr>
            <w:rFonts w:ascii="宋体" w:hAnsi="宋体"/>
            <w:noProof/>
            <w:sz w:val="24"/>
          </w:rPr>
          <w:fldChar w:fldCharType="begin"/>
        </w:r>
        <w:r w:rsidRPr="00166808">
          <w:rPr>
            <w:rFonts w:ascii="宋体" w:hAnsi="宋体"/>
            <w:noProof/>
            <w:sz w:val="24"/>
          </w:rPr>
          <w:instrText xml:space="preserve"> PAGEREF _Toc238542764 \h </w:instrText>
        </w:r>
        <w:r w:rsidRPr="00166808">
          <w:rPr>
            <w:rFonts w:ascii="宋体" w:hAnsi="宋体"/>
            <w:noProof/>
            <w:sz w:val="24"/>
          </w:rPr>
        </w:r>
        <w:r w:rsidRPr="00166808">
          <w:rPr>
            <w:rFonts w:ascii="宋体" w:hAnsi="宋体"/>
            <w:noProof/>
            <w:sz w:val="24"/>
          </w:rPr>
          <w:fldChar w:fldCharType="separate"/>
        </w:r>
        <w:r w:rsidRPr="00166808">
          <w:rPr>
            <w:rFonts w:ascii="宋体" w:hAnsi="宋体"/>
            <w:noProof/>
            <w:sz w:val="24"/>
          </w:rPr>
          <w:t>69</w:t>
        </w:r>
        <w:r w:rsidRPr="00166808">
          <w:rPr>
            <w:rFonts w:ascii="宋体" w:hAnsi="宋体"/>
            <w:noProof/>
            <w:sz w:val="24"/>
          </w:rPr>
          <w:fldChar w:fldCharType="end"/>
        </w:r>
      </w:hyperlink>
    </w:p>
    <w:p w:rsidR="00166808" w:rsidRPr="00166808" w:rsidRDefault="00166808" w:rsidP="00166808">
      <w:pPr>
        <w:pStyle w:val="10"/>
        <w:tabs>
          <w:tab w:val="right" w:leader="dot" w:pos="8550"/>
        </w:tabs>
        <w:spacing w:line="360" w:lineRule="auto"/>
        <w:rPr>
          <w:rFonts w:ascii="宋体" w:hAnsi="宋体" w:cstheme="minorBidi"/>
          <w:noProof/>
          <w:sz w:val="24"/>
        </w:rPr>
      </w:pPr>
      <w:hyperlink w:anchor="_Toc238542765" w:history="1">
        <w:r w:rsidRPr="00166808">
          <w:rPr>
            <w:rStyle w:val="aa"/>
            <w:rFonts w:ascii="宋体" w:hAnsi="宋体" w:hint="eastAsia"/>
            <w:noProof/>
            <w:sz w:val="24"/>
          </w:rPr>
          <w:t>十一、基金的财产</w:t>
        </w:r>
        <w:r w:rsidRPr="00166808">
          <w:rPr>
            <w:rFonts w:ascii="宋体" w:hAnsi="宋体"/>
            <w:noProof/>
            <w:sz w:val="24"/>
          </w:rPr>
          <w:tab/>
        </w:r>
        <w:r w:rsidRPr="00166808">
          <w:rPr>
            <w:rFonts w:ascii="宋体" w:hAnsi="宋体"/>
            <w:noProof/>
            <w:sz w:val="24"/>
          </w:rPr>
          <w:fldChar w:fldCharType="begin"/>
        </w:r>
        <w:r w:rsidRPr="00166808">
          <w:rPr>
            <w:rFonts w:ascii="宋体" w:hAnsi="宋体"/>
            <w:noProof/>
            <w:sz w:val="24"/>
          </w:rPr>
          <w:instrText xml:space="preserve"> PAGEREF _Toc238542765 \h </w:instrText>
        </w:r>
        <w:r w:rsidRPr="00166808">
          <w:rPr>
            <w:rFonts w:ascii="宋体" w:hAnsi="宋体"/>
            <w:noProof/>
            <w:sz w:val="24"/>
          </w:rPr>
        </w:r>
        <w:r w:rsidRPr="00166808">
          <w:rPr>
            <w:rFonts w:ascii="宋体" w:hAnsi="宋体"/>
            <w:noProof/>
            <w:sz w:val="24"/>
          </w:rPr>
          <w:fldChar w:fldCharType="separate"/>
        </w:r>
        <w:r w:rsidRPr="00166808">
          <w:rPr>
            <w:rFonts w:ascii="宋体" w:hAnsi="宋体"/>
            <w:noProof/>
            <w:sz w:val="24"/>
          </w:rPr>
          <w:t>72</w:t>
        </w:r>
        <w:r w:rsidRPr="00166808">
          <w:rPr>
            <w:rFonts w:ascii="宋体" w:hAnsi="宋体"/>
            <w:noProof/>
            <w:sz w:val="24"/>
          </w:rPr>
          <w:fldChar w:fldCharType="end"/>
        </w:r>
      </w:hyperlink>
    </w:p>
    <w:p w:rsidR="00166808" w:rsidRPr="00166808" w:rsidRDefault="00166808" w:rsidP="00166808">
      <w:pPr>
        <w:pStyle w:val="10"/>
        <w:tabs>
          <w:tab w:val="right" w:leader="dot" w:pos="8550"/>
        </w:tabs>
        <w:spacing w:line="360" w:lineRule="auto"/>
        <w:rPr>
          <w:rFonts w:ascii="宋体" w:hAnsi="宋体" w:cstheme="minorBidi"/>
          <w:noProof/>
          <w:sz w:val="24"/>
        </w:rPr>
      </w:pPr>
      <w:hyperlink w:anchor="_Toc238542766" w:history="1">
        <w:r w:rsidRPr="00166808">
          <w:rPr>
            <w:rStyle w:val="aa"/>
            <w:rFonts w:ascii="宋体" w:hAnsi="宋体" w:hint="eastAsia"/>
            <w:noProof/>
            <w:sz w:val="24"/>
          </w:rPr>
          <w:t>十二、基金资产的估值</w:t>
        </w:r>
        <w:r w:rsidRPr="00166808">
          <w:rPr>
            <w:rFonts w:ascii="宋体" w:hAnsi="宋体"/>
            <w:noProof/>
            <w:sz w:val="24"/>
          </w:rPr>
          <w:tab/>
        </w:r>
        <w:r w:rsidRPr="00166808">
          <w:rPr>
            <w:rFonts w:ascii="宋体" w:hAnsi="宋体"/>
            <w:noProof/>
            <w:sz w:val="24"/>
          </w:rPr>
          <w:fldChar w:fldCharType="begin"/>
        </w:r>
        <w:r w:rsidRPr="00166808">
          <w:rPr>
            <w:rFonts w:ascii="宋体" w:hAnsi="宋体"/>
            <w:noProof/>
            <w:sz w:val="24"/>
          </w:rPr>
          <w:instrText xml:space="preserve"> PAGEREF _Toc238542766 \h </w:instrText>
        </w:r>
        <w:r w:rsidRPr="00166808">
          <w:rPr>
            <w:rFonts w:ascii="宋体" w:hAnsi="宋体"/>
            <w:noProof/>
            <w:sz w:val="24"/>
          </w:rPr>
        </w:r>
        <w:r w:rsidRPr="00166808">
          <w:rPr>
            <w:rFonts w:ascii="宋体" w:hAnsi="宋体"/>
            <w:noProof/>
            <w:sz w:val="24"/>
          </w:rPr>
          <w:fldChar w:fldCharType="separate"/>
        </w:r>
        <w:r w:rsidRPr="00166808">
          <w:rPr>
            <w:rFonts w:ascii="宋体" w:hAnsi="宋体"/>
            <w:noProof/>
            <w:sz w:val="24"/>
          </w:rPr>
          <w:t>73</w:t>
        </w:r>
        <w:r w:rsidRPr="00166808">
          <w:rPr>
            <w:rFonts w:ascii="宋体" w:hAnsi="宋体"/>
            <w:noProof/>
            <w:sz w:val="24"/>
          </w:rPr>
          <w:fldChar w:fldCharType="end"/>
        </w:r>
      </w:hyperlink>
    </w:p>
    <w:p w:rsidR="00166808" w:rsidRPr="00166808" w:rsidRDefault="00166808" w:rsidP="00166808">
      <w:pPr>
        <w:pStyle w:val="10"/>
        <w:tabs>
          <w:tab w:val="right" w:leader="dot" w:pos="8550"/>
        </w:tabs>
        <w:spacing w:line="360" w:lineRule="auto"/>
        <w:rPr>
          <w:rFonts w:ascii="宋体" w:hAnsi="宋体" w:cstheme="minorBidi"/>
          <w:noProof/>
          <w:sz w:val="24"/>
        </w:rPr>
      </w:pPr>
      <w:hyperlink w:anchor="_Toc238542767" w:history="1">
        <w:r w:rsidRPr="00166808">
          <w:rPr>
            <w:rStyle w:val="aa"/>
            <w:rFonts w:ascii="宋体" w:hAnsi="宋体" w:hint="eastAsia"/>
            <w:noProof/>
            <w:sz w:val="24"/>
          </w:rPr>
          <w:t>十三、基金收益与分配</w:t>
        </w:r>
        <w:r w:rsidRPr="00166808">
          <w:rPr>
            <w:rFonts w:ascii="宋体" w:hAnsi="宋体"/>
            <w:noProof/>
            <w:sz w:val="24"/>
          </w:rPr>
          <w:tab/>
        </w:r>
        <w:r w:rsidRPr="00166808">
          <w:rPr>
            <w:rFonts w:ascii="宋体" w:hAnsi="宋体"/>
            <w:noProof/>
            <w:sz w:val="24"/>
          </w:rPr>
          <w:fldChar w:fldCharType="begin"/>
        </w:r>
        <w:r w:rsidRPr="00166808">
          <w:rPr>
            <w:rFonts w:ascii="宋体" w:hAnsi="宋体"/>
            <w:noProof/>
            <w:sz w:val="24"/>
          </w:rPr>
          <w:instrText xml:space="preserve"> PAGEREF _Toc238542767 \h </w:instrText>
        </w:r>
        <w:r w:rsidRPr="00166808">
          <w:rPr>
            <w:rFonts w:ascii="宋体" w:hAnsi="宋体"/>
            <w:noProof/>
            <w:sz w:val="24"/>
          </w:rPr>
        </w:r>
        <w:r w:rsidRPr="00166808">
          <w:rPr>
            <w:rFonts w:ascii="宋体" w:hAnsi="宋体"/>
            <w:noProof/>
            <w:sz w:val="24"/>
          </w:rPr>
          <w:fldChar w:fldCharType="separate"/>
        </w:r>
        <w:r w:rsidRPr="00166808">
          <w:rPr>
            <w:rFonts w:ascii="宋体" w:hAnsi="宋体"/>
            <w:noProof/>
            <w:sz w:val="24"/>
          </w:rPr>
          <w:t>80</w:t>
        </w:r>
        <w:r w:rsidRPr="00166808">
          <w:rPr>
            <w:rFonts w:ascii="宋体" w:hAnsi="宋体"/>
            <w:noProof/>
            <w:sz w:val="24"/>
          </w:rPr>
          <w:fldChar w:fldCharType="end"/>
        </w:r>
      </w:hyperlink>
    </w:p>
    <w:p w:rsidR="00166808" w:rsidRPr="00166808" w:rsidRDefault="00166808" w:rsidP="00166808">
      <w:pPr>
        <w:pStyle w:val="10"/>
        <w:tabs>
          <w:tab w:val="right" w:leader="dot" w:pos="8550"/>
        </w:tabs>
        <w:spacing w:line="360" w:lineRule="auto"/>
        <w:rPr>
          <w:rFonts w:ascii="宋体" w:hAnsi="宋体" w:cstheme="minorBidi"/>
          <w:noProof/>
          <w:sz w:val="24"/>
        </w:rPr>
      </w:pPr>
      <w:hyperlink w:anchor="_Toc238542768" w:history="1">
        <w:r w:rsidRPr="00166808">
          <w:rPr>
            <w:rStyle w:val="aa"/>
            <w:rFonts w:ascii="宋体" w:hAnsi="宋体" w:hint="eastAsia"/>
            <w:noProof/>
            <w:sz w:val="24"/>
          </w:rPr>
          <w:t>十四、基金的费用与税收</w:t>
        </w:r>
        <w:r w:rsidRPr="00166808">
          <w:rPr>
            <w:rFonts w:ascii="宋体" w:hAnsi="宋体"/>
            <w:noProof/>
            <w:sz w:val="24"/>
          </w:rPr>
          <w:tab/>
        </w:r>
        <w:r w:rsidRPr="00166808">
          <w:rPr>
            <w:rFonts w:ascii="宋体" w:hAnsi="宋体"/>
            <w:noProof/>
            <w:sz w:val="24"/>
          </w:rPr>
          <w:fldChar w:fldCharType="begin"/>
        </w:r>
        <w:r w:rsidRPr="00166808">
          <w:rPr>
            <w:rFonts w:ascii="宋体" w:hAnsi="宋体"/>
            <w:noProof/>
            <w:sz w:val="24"/>
          </w:rPr>
          <w:instrText xml:space="preserve"> PAGEREF _Toc238542768 \h </w:instrText>
        </w:r>
        <w:r w:rsidRPr="00166808">
          <w:rPr>
            <w:rFonts w:ascii="宋体" w:hAnsi="宋体"/>
            <w:noProof/>
            <w:sz w:val="24"/>
          </w:rPr>
        </w:r>
        <w:r w:rsidRPr="00166808">
          <w:rPr>
            <w:rFonts w:ascii="宋体" w:hAnsi="宋体"/>
            <w:noProof/>
            <w:sz w:val="24"/>
          </w:rPr>
          <w:fldChar w:fldCharType="separate"/>
        </w:r>
        <w:r w:rsidRPr="00166808">
          <w:rPr>
            <w:rFonts w:ascii="宋体" w:hAnsi="宋体"/>
            <w:noProof/>
            <w:sz w:val="24"/>
          </w:rPr>
          <w:t>82</w:t>
        </w:r>
        <w:r w:rsidRPr="00166808">
          <w:rPr>
            <w:rFonts w:ascii="宋体" w:hAnsi="宋体"/>
            <w:noProof/>
            <w:sz w:val="24"/>
          </w:rPr>
          <w:fldChar w:fldCharType="end"/>
        </w:r>
      </w:hyperlink>
    </w:p>
    <w:p w:rsidR="00166808" w:rsidRPr="00166808" w:rsidRDefault="00166808" w:rsidP="00166808">
      <w:pPr>
        <w:pStyle w:val="10"/>
        <w:tabs>
          <w:tab w:val="right" w:leader="dot" w:pos="8550"/>
        </w:tabs>
        <w:spacing w:line="360" w:lineRule="auto"/>
        <w:rPr>
          <w:rFonts w:ascii="宋体" w:hAnsi="宋体" w:cstheme="minorBidi"/>
          <w:noProof/>
          <w:sz w:val="24"/>
        </w:rPr>
      </w:pPr>
      <w:hyperlink w:anchor="_Toc238542769" w:history="1">
        <w:r w:rsidRPr="00166808">
          <w:rPr>
            <w:rStyle w:val="aa"/>
            <w:rFonts w:ascii="宋体" w:hAnsi="宋体" w:hint="eastAsia"/>
            <w:noProof/>
            <w:sz w:val="24"/>
          </w:rPr>
          <w:t>十五、基金的会计与审计</w:t>
        </w:r>
        <w:r w:rsidRPr="00166808">
          <w:rPr>
            <w:rFonts w:ascii="宋体" w:hAnsi="宋体"/>
            <w:noProof/>
            <w:sz w:val="24"/>
          </w:rPr>
          <w:tab/>
        </w:r>
        <w:r w:rsidRPr="00166808">
          <w:rPr>
            <w:rFonts w:ascii="宋体" w:hAnsi="宋体"/>
            <w:noProof/>
            <w:sz w:val="24"/>
          </w:rPr>
          <w:fldChar w:fldCharType="begin"/>
        </w:r>
        <w:r w:rsidRPr="00166808">
          <w:rPr>
            <w:rFonts w:ascii="宋体" w:hAnsi="宋体"/>
            <w:noProof/>
            <w:sz w:val="24"/>
          </w:rPr>
          <w:instrText xml:space="preserve"> PAGEREF _Toc238542769 \h </w:instrText>
        </w:r>
        <w:r w:rsidRPr="00166808">
          <w:rPr>
            <w:rFonts w:ascii="宋体" w:hAnsi="宋体"/>
            <w:noProof/>
            <w:sz w:val="24"/>
          </w:rPr>
        </w:r>
        <w:r w:rsidRPr="00166808">
          <w:rPr>
            <w:rFonts w:ascii="宋体" w:hAnsi="宋体"/>
            <w:noProof/>
            <w:sz w:val="24"/>
          </w:rPr>
          <w:fldChar w:fldCharType="separate"/>
        </w:r>
        <w:r w:rsidRPr="00166808">
          <w:rPr>
            <w:rFonts w:ascii="宋体" w:hAnsi="宋体"/>
            <w:noProof/>
            <w:sz w:val="24"/>
          </w:rPr>
          <w:t>85</w:t>
        </w:r>
        <w:r w:rsidRPr="00166808">
          <w:rPr>
            <w:rFonts w:ascii="宋体" w:hAnsi="宋体"/>
            <w:noProof/>
            <w:sz w:val="24"/>
          </w:rPr>
          <w:fldChar w:fldCharType="end"/>
        </w:r>
      </w:hyperlink>
    </w:p>
    <w:p w:rsidR="00166808" w:rsidRPr="00166808" w:rsidRDefault="00166808" w:rsidP="00166808">
      <w:pPr>
        <w:pStyle w:val="10"/>
        <w:tabs>
          <w:tab w:val="right" w:leader="dot" w:pos="8550"/>
        </w:tabs>
        <w:spacing w:line="360" w:lineRule="auto"/>
        <w:rPr>
          <w:rFonts w:ascii="宋体" w:hAnsi="宋体" w:cstheme="minorBidi"/>
          <w:noProof/>
          <w:sz w:val="24"/>
        </w:rPr>
      </w:pPr>
      <w:hyperlink w:anchor="_Toc238542770" w:history="1">
        <w:r w:rsidRPr="00166808">
          <w:rPr>
            <w:rStyle w:val="aa"/>
            <w:rFonts w:ascii="宋体" w:hAnsi="宋体" w:hint="eastAsia"/>
            <w:noProof/>
            <w:sz w:val="24"/>
          </w:rPr>
          <w:t>十六、基金的信息披露</w:t>
        </w:r>
        <w:r w:rsidRPr="00166808">
          <w:rPr>
            <w:rFonts w:ascii="宋体" w:hAnsi="宋体"/>
            <w:noProof/>
            <w:sz w:val="24"/>
          </w:rPr>
          <w:tab/>
        </w:r>
        <w:r w:rsidRPr="00166808">
          <w:rPr>
            <w:rFonts w:ascii="宋体" w:hAnsi="宋体"/>
            <w:noProof/>
            <w:sz w:val="24"/>
          </w:rPr>
          <w:fldChar w:fldCharType="begin"/>
        </w:r>
        <w:r w:rsidRPr="00166808">
          <w:rPr>
            <w:rFonts w:ascii="宋体" w:hAnsi="宋体"/>
            <w:noProof/>
            <w:sz w:val="24"/>
          </w:rPr>
          <w:instrText xml:space="preserve"> PAGEREF _Toc238542770 \h </w:instrText>
        </w:r>
        <w:r w:rsidRPr="00166808">
          <w:rPr>
            <w:rFonts w:ascii="宋体" w:hAnsi="宋体"/>
            <w:noProof/>
            <w:sz w:val="24"/>
          </w:rPr>
        </w:r>
        <w:r w:rsidRPr="00166808">
          <w:rPr>
            <w:rFonts w:ascii="宋体" w:hAnsi="宋体"/>
            <w:noProof/>
            <w:sz w:val="24"/>
          </w:rPr>
          <w:fldChar w:fldCharType="separate"/>
        </w:r>
        <w:r w:rsidRPr="00166808">
          <w:rPr>
            <w:rFonts w:ascii="宋体" w:hAnsi="宋体"/>
            <w:noProof/>
            <w:sz w:val="24"/>
          </w:rPr>
          <w:t>86</w:t>
        </w:r>
        <w:r w:rsidRPr="00166808">
          <w:rPr>
            <w:rFonts w:ascii="宋体" w:hAnsi="宋体"/>
            <w:noProof/>
            <w:sz w:val="24"/>
          </w:rPr>
          <w:fldChar w:fldCharType="end"/>
        </w:r>
      </w:hyperlink>
    </w:p>
    <w:p w:rsidR="00166808" w:rsidRPr="00166808" w:rsidRDefault="00166808" w:rsidP="00166808">
      <w:pPr>
        <w:pStyle w:val="10"/>
        <w:tabs>
          <w:tab w:val="right" w:leader="dot" w:pos="8550"/>
        </w:tabs>
        <w:spacing w:line="360" w:lineRule="auto"/>
        <w:rPr>
          <w:rFonts w:ascii="宋体" w:hAnsi="宋体" w:cstheme="minorBidi"/>
          <w:noProof/>
          <w:sz w:val="24"/>
        </w:rPr>
      </w:pPr>
      <w:hyperlink w:anchor="_Toc238542771" w:history="1">
        <w:r w:rsidRPr="00166808">
          <w:rPr>
            <w:rStyle w:val="aa"/>
            <w:rFonts w:ascii="宋体" w:hAnsi="宋体" w:hint="eastAsia"/>
            <w:noProof/>
            <w:sz w:val="24"/>
          </w:rPr>
          <w:t>十七、侧袋机制</w:t>
        </w:r>
        <w:r w:rsidRPr="00166808">
          <w:rPr>
            <w:rFonts w:ascii="宋体" w:hAnsi="宋体"/>
            <w:noProof/>
            <w:sz w:val="24"/>
          </w:rPr>
          <w:tab/>
        </w:r>
        <w:r w:rsidRPr="00166808">
          <w:rPr>
            <w:rFonts w:ascii="宋体" w:hAnsi="宋体"/>
            <w:noProof/>
            <w:sz w:val="24"/>
          </w:rPr>
          <w:fldChar w:fldCharType="begin"/>
        </w:r>
        <w:r w:rsidRPr="00166808">
          <w:rPr>
            <w:rFonts w:ascii="宋体" w:hAnsi="宋体"/>
            <w:noProof/>
            <w:sz w:val="24"/>
          </w:rPr>
          <w:instrText xml:space="preserve"> PAGEREF _Toc238542771 \h </w:instrText>
        </w:r>
        <w:r w:rsidRPr="00166808">
          <w:rPr>
            <w:rFonts w:ascii="宋体" w:hAnsi="宋体"/>
            <w:noProof/>
            <w:sz w:val="24"/>
          </w:rPr>
        </w:r>
        <w:r w:rsidRPr="00166808">
          <w:rPr>
            <w:rFonts w:ascii="宋体" w:hAnsi="宋体"/>
            <w:noProof/>
            <w:sz w:val="24"/>
          </w:rPr>
          <w:fldChar w:fldCharType="separate"/>
        </w:r>
        <w:r w:rsidRPr="00166808">
          <w:rPr>
            <w:rFonts w:ascii="宋体" w:hAnsi="宋体"/>
            <w:noProof/>
            <w:sz w:val="24"/>
          </w:rPr>
          <w:t>93</w:t>
        </w:r>
        <w:r w:rsidRPr="00166808">
          <w:rPr>
            <w:rFonts w:ascii="宋体" w:hAnsi="宋体"/>
            <w:noProof/>
            <w:sz w:val="24"/>
          </w:rPr>
          <w:fldChar w:fldCharType="end"/>
        </w:r>
      </w:hyperlink>
    </w:p>
    <w:p w:rsidR="00166808" w:rsidRPr="00166808" w:rsidRDefault="00166808" w:rsidP="00166808">
      <w:pPr>
        <w:pStyle w:val="10"/>
        <w:tabs>
          <w:tab w:val="right" w:leader="dot" w:pos="8550"/>
        </w:tabs>
        <w:spacing w:line="360" w:lineRule="auto"/>
        <w:rPr>
          <w:rFonts w:ascii="宋体" w:hAnsi="宋体" w:cstheme="minorBidi"/>
          <w:noProof/>
          <w:sz w:val="24"/>
        </w:rPr>
      </w:pPr>
      <w:hyperlink w:anchor="_Toc238542772" w:history="1">
        <w:r w:rsidRPr="00166808">
          <w:rPr>
            <w:rStyle w:val="aa"/>
            <w:rFonts w:ascii="宋体" w:hAnsi="宋体" w:hint="eastAsia"/>
            <w:noProof/>
            <w:sz w:val="24"/>
          </w:rPr>
          <w:t>十八、风险揭示</w:t>
        </w:r>
        <w:r w:rsidRPr="00166808">
          <w:rPr>
            <w:rFonts w:ascii="宋体" w:hAnsi="宋体"/>
            <w:noProof/>
            <w:sz w:val="24"/>
          </w:rPr>
          <w:tab/>
        </w:r>
        <w:r w:rsidRPr="00166808">
          <w:rPr>
            <w:rFonts w:ascii="宋体" w:hAnsi="宋体"/>
            <w:noProof/>
            <w:sz w:val="24"/>
          </w:rPr>
          <w:fldChar w:fldCharType="begin"/>
        </w:r>
        <w:r w:rsidRPr="00166808">
          <w:rPr>
            <w:rFonts w:ascii="宋体" w:hAnsi="宋体"/>
            <w:noProof/>
            <w:sz w:val="24"/>
          </w:rPr>
          <w:instrText xml:space="preserve"> PAGEREF _Toc238542772 \h </w:instrText>
        </w:r>
        <w:r w:rsidRPr="00166808">
          <w:rPr>
            <w:rFonts w:ascii="宋体" w:hAnsi="宋体"/>
            <w:noProof/>
            <w:sz w:val="24"/>
          </w:rPr>
        </w:r>
        <w:r w:rsidRPr="00166808">
          <w:rPr>
            <w:rFonts w:ascii="宋体" w:hAnsi="宋体"/>
            <w:noProof/>
            <w:sz w:val="24"/>
          </w:rPr>
          <w:fldChar w:fldCharType="separate"/>
        </w:r>
        <w:r w:rsidRPr="00166808">
          <w:rPr>
            <w:rFonts w:ascii="宋体" w:hAnsi="宋体"/>
            <w:noProof/>
            <w:sz w:val="24"/>
          </w:rPr>
          <w:t>96</w:t>
        </w:r>
        <w:r w:rsidRPr="00166808">
          <w:rPr>
            <w:rFonts w:ascii="宋体" w:hAnsi="宋体"/>
            <w:noProof/>
            <w:sz w:val="24"/>
          </w:rPr>
          <w:fldChar w:fldCharType="end"/>
        </w:r>
      </w:hyperlink>
    </w:p>
    <w:p w:rsidR="00166808" w:rsidRPr="00166808" w:rsidRDefault="00166808" w:rsidP="00166808">
      <w:pPr>
        <w:pStyle w:val="10"/>
        <w:tabs>
          <w:tab w:val="right" w:leader="dot" w:pos="8550"/>
        </w:tabs>
        <w:spacing w:line="360" w:lineRule="auto"/>
        <w:rPr>
          <w:rFonts w:ascii="宋体" w:hAnsi="宋体" w:cstheme="minorBidi"/>
          <w:noProof/>
          <w:sz w:val="24"/>
        </w:rPr>
      </w:pPr>
      <w:hyperlink w:anchor="_Toc238542773" w:history="1">
        <w:r w:rsidRPr="00166808">
          <w:rPr>
            <w:rStyle w:val="aa"/>
            <w:rFonts w:ascii="宋体" w:hAnsi="宋体" w:hint="eastAsia"/>
            <w:noProof/>
            <w:sz w:val="24"/>
          </w:rPr>
          <w:t>十九、基金合同的变更、终止与基金财产的清算</w:t>
        </w:r>
        <w:r w:rsidRPr="00166808">
          <w:rPr>
            <w:rFonts w:ascii="宋体" w:hAnsi="宋体"/>
            <w:noProof/>
            <w:sz w:val="24"/>
          </w:rPr>
          <w:tab/>
        </w:r>
        <w:r w:rsidRPr="00166808">
          <w:rPr>
            <w:rFonts w:ascii="宋体" w:hAnsi="宋体"/>
            <w:noProof/>
            <w:sz w:val="24"/>
          </w:rPr>
          <w:fldChar w:fldCharType="begin"/>
        </w:r>
        <w:r w:rsidRPr="00166808">
          <w:rPr>
            <w:rFonts w:ascii="宋体" w:hAnsi="宋体"/>
            <w:noProof/>
            <w:sz w:val="24"/>
          </w:rPr>
          <w:instrText xml:space="preserve"> PAGEREF _Toc238542773 \h </w:instrText>
        </w:r>
        <w:r w:rsidRPr="00166808">
          <w:rPr>
            <w:rFonts w:ascii="宋体" w:hAnsi="宋体"/>
            <w:noProof/>
            <w:sz w:val="24"/>
          </w:rPr>
        </w:r>
        <w:r w:rsidRPr="00166808">
          <w:rPr>
            <w:rFonts w:ascii="宋体" w:hAnsi="宋体"/>
            <w:noProof/>
            <w:sz w:val="24"/>
          </w:rPr>
          <w:fldChar w:fldCharType="separate"/>
        </w:r>
        <w:r w:rsidRPr="00166808">
          <w:rPr>
            <w:rFonts w:ascii="宋体" w:hAnsi="宋体"/>
            <w:noProof/>
            <w:sz w:val="24"/>
          </w:rPr>
          <w:t>105</w:t>
        </w:r>
        <w:r w:rsidRPr="00166808">
          <w:rPr>
            <w:rFonts w:ascii="宋体" w:hAnsi="宋体"/>
            <w:noProof/>
            <w:sz w:val="24"/>
          </w:rPr>
          <w:fldChar w:fldCharType="end"/>
        </w:r>
      </w:hyperlink>
    </w:p>
    <w:p w:rsidR="00166808" w:rsidRPr="00166808" w:rsidRDefault="00166808" w:rsidP="00166808">
      <w:pPr>
        <w:pStyle w:val="10"/>
        <w:tabs>
          <w:tab w:val="right" w:leader="dot" w:pos="8550"/>
        </w:tabs>
        <w:spacing w:line="360" w:lineRule="auto"/>
        <w:rPr>
          <w:rFonts w:ascii="宋体" w:hAnsi="宋体" w:cstheme="minorBidi"/>
          <w:noProof/>
          <w:sz w:val="24"/>
        </w:rPr>
      </w:pPr>
      <w:hyperlink w:anchor="_Toc238542774" w:history="1">
        <w:r w:rsidRPr="00166808">
          <w:rPr>
            <w:rStyle w:val="aa"/>
            <w:rFonts w:ascii="宋体" w:hAnsi="宋体" w:hint="eastAsia"/>
            <w:noProof/>
            <w:sz w:val="24"/>
          </w:rPr>
          <w:t>二十、基金合同内容摘要</w:t>
        </w:r>
        <w:r w:rsidRPr="00166808">
          <w:rPr>
            <w:rFonts w:ascii="宋体" w:hAnsi="宋体"/>
            <w:noProof/>
            <w:sz w:val="24"/>
          </w:rPr>
          <w:tab/>
        </w:r>
        <w:r w:rsidRPr="00166808">
          <w:rPr>
            <w:rFonts w:ascii="宋体" w:hAnsi="宋体"/>
            <w:noProof/>
            <w:sz w:val="24"/>
          </w:rPr>
          <w:fldChar w:fldCharType="begin"/>
        </w:r>
        <w:r w:rsidRPr="00166808">
          <w:rPr>
            <w:rFonts w:ascii="宋体" w:hAnsi="宋体"/>
            <w:noProof/>
            <w:sz w:val="24"/>
          </w:rPr>
          <w:instrText xml:space="preserve"> PAGEREF _Toc238542774 \h </w:instrText>
        </w:r>
        <w:r w:rsidRPr="00166808">
          <w:rPr>
            <w:rFonts w:ascii="宋体" w:hAnsi="宋体"/>
            <w:noProof/>
            <w:sz w:val="24"/>
          </w:rPr>
        </w:r>
        <w:r w:rsidRPr="00166808">
          <w:rPr>
            <w:rFonts w:ascii="宋体" w:hAnsi="宋体"/>
            <w:noProof/>
            <w:sz w:val="24"/>
          </w:rPr>
          <w:fldChar w:fldCharType="separate"/>
        </w:r>
        <w:r w:rsidRPr="00166808">
          <w:rPr>
            <w:rFonts w:ascii="宋体" w:hAnsi="宋体"/>
            <w:noProof/>
            <w:sz w:val="24"/>
          </w:rPr>
          <w:t>107</w:t>
        </w:r>
        <w:r w:rsidRPr="00166808">
          <w:rPr>
            <w:rFonts w:ascii="宋体" w:hAnsi="宋体"/>
            <w:noProof/>
            <w:sz w:val="24"/>
          </w:rPr>
          <w:fldChar w:fldCharType="end"/>
        </w:r>
      </w:hyperlink>
    </w:p>
    <w:p w:rsidR="00166808" w:rsidRPr="00166808" w:rsidRDefault="00166808" w:rsidP="00166808">
      <w:pPr>
        <w:pStyle w:val="10"/>
        <w:tabs>
          <w:tab w:val="right" w:leader="dot" w:pos="8550"/>
        </w:tabs>
        <w:spacing w:line="360" w:lineRule="auto"/>
        <w:rPr>
          <w:rFonts w:ascii="宋体" w:hAnsi="宋体" w:cstheme="minorBidi"/>
          <w:noProof/>
          <w:sz w:val="24"/>
        </w:rPr>
      </w:pPr>
      <w:hyperlink w:anchor="_Toc238542775" w:history="1">
        <w:r w:rsidRPr="00166808">
          <w:rPr>
            <w:rStyle w:val="aa"/>
            <w:rFonts w:ascii="宋体" w:hAnsi="宋体" w:hint="eastAsia"/>
            <w:noProof/>
            <w:sz w:val="24"/>
          </w:rPr>
          <w:t>二十一、托管协议的内容摘要</w:t>
        </w:r>
        <w:r w:rsidRPr="00166808">
          <w:rPr>
            <w:rFonts w:ascii="宋体" w:hAnsi="宋体"/>
            <w:noProof/>
            <w:sz w:val="24"/>
          </w:rPr>
          <w:tab/>
        </w:r>
        <w:r w:rsidRPr="00166808">
          <w:rPr>
            <w:rFonts w:ascii="宋体" w:hAnsi="宋体"/>
            <w:noProof/>
            <w:sz w:val="24"/>
          </w:rPr>
          <w:fldChar w:fldCharType="begin"/>
        </w:r>
        <w:r w:rsidRPr="00166808">
          <w:rPr>
            <w:rFonts w:ascii="宋体" w:hAnsi="宋体"/>
            <w:noProof/>
            <w:sz w:val="24"/>
          </w:rPr>
          <w:instrText xml:space="preserve"> PAGEREF _Toc238542775 \h </w:instrText>
        </w:r>
        <w:r w:rsidRPr="00166808">
          <w:rPr>
            <w:rFonts w:ascii="宋体" w:hAnsi="宋体"/>
            <w:noProof/>
            <w:sz w:val="24"/>
          </w:rPr>
        </w:r>
        <w:r w:rsidRPr="00166808">
          <w:rPr>
            <w:rFonts w:ascii="宋体" w:hAnsi="宋体"/>
            <w:noProof/>
            <w:sz w:val="24"/>
          </w:rPr>
          <w:fldChar w:fldCharType="separate"/>
        </w:r>
        <w:r w:rsidRPr="00166808">
          <w:rPr>
            <w:rFonts w:ascii="宋体" w:hAnsi="宋体"/>
            <w:noProof/>
            <w:sz w:val="24"/>
          </w:rPr>
          <w:t>124</w:t>
        </w:r>
        <w:r w:rsidRPr="00166808">
          <w:rPr>
            <w:rFonts w:ascii="宋体" w:hAnsi="宋体"/>
            <w:noProof/>
            <w:sz w:val="24"/>
          </w:rPr>
          <w:fldChar w:fldCharType="end"/>
        </w:r>
      </w:hyperlink>
    </w:p>
    <w:p w:rsidR="00166808" w:rsidRPr="00166808" w:rsidRDefault="00166808" w:rsidP="00166808">
      <w:pPr>
        <w:pStyle w:val="10"/>
        <w:tabs>
          <w:tab w:val="right" w:leader="dot" w:pos="8550"/>
        </w:tabs>
        <w:spacing w:line="360" w:lineRule="auto"/>
        <w:rPr>
          <w:rFonts w:ascii="宋体" w:hAnsi="宋体" w:cstheme="minorBidi"/>
          <w:noProof/>
          <w:sz w:val="24"/>
        </w:rPr>
      </w:pPr>
      <w:hyperlink w:anchor="_Toc238542776" w:history="1">
        <w:r w:rsidRPr="00166808">
          <w:rPr>
            <w:rStyle w:val="aa"/>
            <w:rFonts w:ascii="宋体" w:hAnsi="宋体" w:hint="eastAsia"/>
            <w:noProof/>
            <w:sz w:val="24"/>
          </w:rPr>
          <w:t>二十二、对基金份额持有人的服务</w:t>
        </w:r>
        <w:r w:rsidRPr="00166808">
          <w:rPr>
            <w:rFonts w:ascii="宋体" w:hAnsi="宋体"/>
            <w:noProof/>
            <w:sz w:val="24"/>
          </w:rPr>
          <w:tab/>
        </w:r>
        <w:r w:rsidRPr="00166808">
          <w:rPr>
            <w:rFonts w:ascii="宋体" w:hAnsi="宋体"/>
            <w:noProof/>
            <w:sz w:val="24"/>
          </w:rPr>
          <w:fldChar w:fldCharType="begin"/>
        </w:r>
        <w:r w:rsidRPr="00166808">
          <w:rPr>
            <w:rFonts w:ascii="宋体" w:hAnsi="宋体"/>
            <w:noProof/>
            <w:sz w:val="24"/>
          </w:rPr>
          <w:instrText xml:space="preserve"> PAGEREF _Toc238542776 \h </w:instrText>
        </w:r>
        <w:r w:rsidRPr="00166808">
          <w:rPr>
            <w:rFonts w:ascii="宋体" w:hAnsi="宋体"/>
            <w:noProof/>
            <w:sz w:val="24"/>
          </w:rPr>
        </w:r>
        <w:r w:rsidRPr="00166808">
          <w:rPr>
            <w:rFonts w:ascii="宋体" w:hAnsi="宋体"/>
            <w:noProof/>
            <w:sz w:val="24"/>
          </w:rPr>
          <w:fldChar w:fldCharType="separate"/>
        </w:r>
        <w:r w:rsidRPr="00166808">
          <w:rPr>
            <w:rFonts w:ascii="宋体" w:hAnsi="宋体"/>
            <w:noProof/>
            <w:sz w:val="24"/>
          </w:rPr>
          <w:t>143</w:t>
        </w:r>
        <w:r w:rsidRPr="00166808">
          <w:rPr>
            <w:rFonts w:ascii="宋体" w:hAnsi="宋体"/>
            <w:noProof/>
            <w:sz w:val="24"/>
          </w:rPr>
          <w:fldChar w:fldCharType="end"/>
        </w:r>
      </w:hyperlink>
    </w:p>
    <w:p w:rsidR="00166808" w:rsidRPr="00166808" w:rsidRDefault="00166808" w:rsidP="00166808">
      <w:pPr>
        <w:pStyle w:val="10"/>
        <w:tabs>
          <w:tab w:val="right" w:leader="dot" w:pos="8550"/>
        </w:tabs>
        <w:spacing w:line="360" w:lineRule="auto"/>
        <w:rPr>
          <w:rFonts w:ascii="宋体" w:hAnsi="宋体" w:cstheme="minorBidi"/>
          <w:noProof/>
          <w:sz w:val="24"/>
        </w:rPr>
      </w:pPr>
      <w:hyperlink w:anchor="_Toc238542777" w:history="1">
        <w:r w:rsidRPr="00166808">
          <w:rPr>
            <w:rStyle w:val="aa"/>
            <w:rFonts w:ascii="宋体" w:hAnsi="宋体" w:hint="eastAsia"/>
            <w:noProof/>
            <w:sz w:val="24"/>
          </w:rPr>
          <w:t>二十三、其他应披露事项</w:t>
        </w:r>
        <w:r w:rsidRPr="00166808">
          <w:rPr>
            <w:rFonts w:ascii="宋体" w:hAnsi="宋体"/>
            <w:noProof/>
            <w:sz w:val="24"/>
          </w:rPr>
          <w:tab/>
        </w:r>
        <w:r w:rsidRPr="00166808">
          <w:rPr>
            <w:rFonts w:ascii="宋体" w:hAnsi="宋体"/>
            <w:noProof/>
            <w:sz w:val="24"/>
          </w:rPr>
          <w:fldChar w:fldCharType="begin"/>
        </w:r>
        <w:r w:rsidRPr="00166808">
          <w:rPr>
            <w:rFonts w:ascii="宋体" w:hAnsi="宋体"/>
            <w:noProof/>
            <w:sz w:val="24"/>
          </w:rPr>
          <w:instrText xml:space="preserve"> PAGEREF _Toc238542777 \h </w:instrText>
        </w:r>
        <w:r w:rsidRPr="00166808">
          <w:rPr>
            <w:rFonts w:ascii="宋体" w:hAnsi="宋体"/>
            <w:noProof/>
            <w:sz w:val="24"/>
          </w:rPr>
        </w:r>
        <w:r w:rsidRPr="00166808">
          <w:rPr>
            <w:rFonts w:ascii="宋体" w:hAnsi="宋体"/>
            <w:noProof/>
            <w:sz w:val="24"/>
          </w:rPr>
          <w:fldChar w:fldCharType="separate"/>
        </w:r>
        <w:r w:rsidRPr="00166808">
          <w:rPr>
            <w:rFonts w:ascii="宋体" w:hAnsi="宋体"/>
            <w:noProof/>
            <w:sz w:val="24"/>
          </w:rPr>
          <w:t>145</w:t>
        </w:r>
        <w:r w:rsidRPr="00166808">
          <w:rPr>
            <w:rFonts w:ascii="宋体" w:hAnsi="宋体"/>
            <w:noProof/>
            <w:sz w:val="24"/>
          </w:rPr>
          <w:fldChar w:fldCharType="end"/>
        </w:r>
      </w:hyperlink>
    </w:p>
    <w:p w:rsidR="00166808" w:rsidRPr="00166808" w:rsidRDefault="00166808" w:rsidP="00166808">
      <w:pPr>
        <w:pStyle w:val="10"/>
        <w:tabs>
          <w:tab w:val="right" w:leader="dot" w:pos="8550"/>
        </w:tabs>
        <w:spacing w:line="360" w:lineRule="auto"/>
        <w:rPr>
          <w:rFonts w:ascii="宋体" w:hAnsi="宋体" w:cstheme="minorBidi"/>
          <w:noProof/>
          <w:sz w:val="24"/>
        </w:rPr>
      </w:pPr>
      <w:hyperlink w:anchor="_Toc238542778" w:history="1">
        <w:r w:rsidRPr="00166808">
          <w:rPr>
            <w:rStyle w:val="aa"/>
            <w:rFonts w:ascii="宋体" w:hAnsi="宋体" w:hint="eastAsia"/>
            <w:noProof/>
            <w:sz w:val="24"/>
          </w:rPr>
          <w:t>二十四、招募说明书的存放及查阅方式</w:t>
        </w:r>
        <w:r w:rsidRPr="00166808">
          <w:rPr>
            <w:rFonts w:ascii="宋体" w:hAnsi="宋体"/>
            <w:noProof/>
            <w:sz w:val="24"/>
          </w:rPr>
          <w:tab/>
        </w:r>
        <w:r w:rsidRPr="00166808">
          <w:rPr>
            <w:rFonts w:ascii="宋体" w:hAnsi="宋体"/>
            <w:noProof/>
            <w:sz w:val="24"/>
          </w:rPr>
          <w:fldChar w:fldCharType="begin"/>
        </w:r>
        <w:r w:rsidRPr="00166808">
          <w:rPr>
            <w:rFonts w:ascii="宋体" w:hAnsi="宋体"/>
            <w:noProof/>
            <w:sz w:val="24"/>
          </w:rPr>
          <w:instrText xml:space="preserve"> PAGEREF _Toc238542778 \h </w:instrText>
        </w:r>
        <w:r w:rsidRPr="00166808">
          <w:rPr>
            <w:rFonts w:ascii="宋体" w:hAnsi="宋体"/>
            <w:noProof/>
            <w:sz w:val="24"/>
          </w:rPr>
        </w:r>
        <w:r w:rsidRPr="00166808">
          <w:rPr>
            <w:rFonts w:ascii="宋体" w:hAnsi="宋体"/>
            <w:noProof/>
            <w:sz w:val="24"/>
          </w:rPr>
          <w:fldChar w:fldCharType="separate"/>
        </w:r>
        <w:r w:rsidRPr="00166808">
          <w:rPr>
            <w:rFonts w:ascii="宋体" w:hAnsi="宋体"/>
            <w:noProof/>
            <w:sz w:val="24"/>
          </w:rPr>
          <w:t>148</w:t>
        </w:r>
        <w:r w:rsidRPr="00166808">
          <w:rPr>
            <w:rFonts w:ascii="宋体" w:hAnsi="宋体"/>
            <w:noProof/>
            <w:sz w:val="24"/>
          </w:rPr>
          <w:fldChar w:fldCharType="end"/>
        </w:r>
      </w:hyperlink>
    </w:p>
    <w:p w:rsidR="00166808" w:rsidRPr="00166808" w:rsidRDefault="00166808" w:rsidP="00166808">
      <w:pPr>
        <w:pStyle w:val="10"/>
        <w:tabs>
          <w:tab w:val="right" w:leader="dot" w:pos="8550"/>
        </w:tabs>
        <w:spacing w:line="360" w:lineRule="auto"/>
        <w:rPr>
          <w:rFonts w:ascii="宋体" w:hAnsi="宋体" w:cstheme="minorBidi"/>
          <w:noProof/>
          <w:sz w:val="24"/>
        </w:rPr>
      </w:pPr>
      <w:hyperlink w:anchor="_Toc238542779" w:history="1">
        <w:r w:rsidRPr="00166808">
          <w:rPr>
            <w:rStyle w:val="aa"/>
            <w:rFonts w:ascii="宋体" w:hAnsi="宋体" w:hint="eastAsia"/>
            <w:noProof/>
            <w:sz w:val="24"/>
          </w:rPr>
          <w:t>二十五、备查文件</w:t>
        </w:r>
        <w:r w:rsidRPr="00166808">
          <w:rPr>
            <w:rFonts w:ascii="宋体" w:hAnsi="宋体"/>
            <w:noProof/>
            <w:sz w:val="24"/>
          </w:rPr>
          <w:tab/>
        </w:r>
        <w:r w:rsidRPr="00166808">
          <w:rPr>
            <w:rFonts w:ascii="宋体" w:hAnsi="宋体"/>
            <w:noProof/>
            <w:sz w:val="24"/>
          </w:rPr>
          <w:fldChar w:fldCharType="begin"/>
        </w:r>
        <w:r w:rsidRPr="00166808">
          <w:rPr>
            <w:rFonts w:ascii="宋体" w:hAnsi="宋体"/>
            <w:noProof/>
            <w:sz w:val="24"/>
          </w:rPr>
          <w:instrText xml:space="preserve"> PAGEREF _Toc238542779 \h </w:instrText>
        </w:r>
        <w:r w:rsidRPr="00166808">
          <w:rPr>
            <w:rFonts w:ascii="宋体" w:hAnsi="宋体"/>
            <w:noProof/>
            <w:sz w:val="24"/>
          </w:rPr>
        </w:r>
        <w:r w:rsidRPr="00166808">
          <w:rPr>
            <w:rFonts w:ascii="宋体" w:hAnsi="宋体"/>
            <w:noProof/>
            <w:sz w:val="24"/>
          </w:rPr>
          <w:fldChar w:fldCharType="separate"/>
        </w:r>
        <w:r w:rsidRPr="00166808">
          <w:rPr>
            <w:rFonts w:ascii="宋体" w:hAnsi="宋体"/>
            <w:noProof/>
            <w:sz w:val="24"/>
          </w:rPr>
          <w:t>149</w:t>
        </w:r>
        <w:r w:rsidRPr="00166808">
          <w:rPr>
            <w:rFonts w:ascii="宋体" w:hAnsi="宋体"/>
            <w:noProof/>
            <w:sz w:val="24"/>
          </w:rPr>
          <w:fldChar w:fldCharType="end"/>
        </w:r>
      </w:hyperlink>
    </w:p>
    <w:p w:rsidR="00B11CA4" w:rsidRPr="00166808" w:rsidRDefault="00166808" w:rsidP="00166808">
      <w:pPr>
        <w:pStyle w:val="ad"/>
        <w:snapToGrid w:val="0"/>
        <w:spacing w:after="240" w:line="360" w:lineRule="auto"/>
        <w:jc w:val="center"/>
        <w:rPr>
          <w:rFonts w:ascii="宋体" w:hAnsi="宋体"/>
          <w:color w:val="000000"/>
          <w:sz w:val="24"/>
        </w:rPr>
      </w:pPr>
      <w:r w:rsidRPr="00166808">
        <w:rPr>
          <w:rFonts w:ascii="宋体" w:hAnsi="宋体"/>
          <w:color w:val="000000"/>
          <w:position w:val="-4"/>
          <w:sz w:val="24"/>
          <w:szCs w:val="30"/>
        </w:rPr>
        <w:fldChar w:fldCharType="end"/>
      </w:r>
      <w:bookmarkStart w:id="3" w:name="_GoBack"/>
      <w:bookmarkEnd w:id="3"/>
    </w:p>
    <w:p w:rsidR="00B11CA4" w:rsidRDefault="00B11CA4">
      <w:pPr>
        <w:autoSpaceDE w:val="0"/>
        <w:autoSpaceDN w:val="0"/>
        <w:adjustRightInd w:val="0"/>
        <w:snapToGrid w:val="0"/>
        <w:spacing w:line="360" w:lineRule="auto"/>
        <w:ind w:left="120" w:rightChars="6" w:right="13"/>
        <w:rPr>
          <w:rFonts w:ascii="宋体" w:hAnsi="宋体"/>
          <w:kern w:val="0"/>
          <w:szCs w:val="24"/>
        </w:rPr>
        <w:sectPr w:rsidR="00B11CA4">
          <w:pgSz w:w="11920" w:h="16840"/>
          <w:pgMar w:top="1480" w:right="1680" w:bottom="280" w:left="1680" w:header="0" w:footer="1073" w:gutter="0"/>
          <w:cols w:space="720"/>
        </w:sectPr>
      </w:pPr>
    </w:p>
    <w:p w:rsidR="00B11CA4" w:rsidRDefault="00145B85">
      <w:pPr>
        <w:pStyle w:val="1"/>
        <w:snapToGrid w:val="0"/>
        <w:spacing w:beforeLines="0" w:before="240" w:after="240"/>
        <w:rPr>
          <w:rFonts w:ascii="宋体" w:hAnsi="宋体"/>
          <w:szCs w:val="30"/>
        </w:rPr>
      </w:pPr>
      <w:bookmarkStart w:id="4" w:name="_Toc238542755"/>
      <w:r>
        <w:rPr>
          <w:rFonts w:ascii="Times New Roman" w:hAnsi="Times New Roman"/>
          <w:sz w:val="30"/>
        </w:rPr>
        <w:lastRenderedPageBreak/>
        <w:t>一、绪言</w:t>
      </w:r>
      <w:bookmarkEnd w:id="4"/>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优享一年持有期混合型基金中基金（FOF）招募说明书》（以下简称“本招募说明书”）依据《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证券投资基金运作指引第2号——基金中基金指引》、《公开募集开放式证券投资基金流动性风险管理规定》（以下简称“《流动性风险管理规定》”）和其他相关法律法规的规定以及《交银施罗德优享一年持有期混合型基金中基金（FOF）基金合同》（以下简称“基金合同”）编写。</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145B8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11CA4" w:rsidRDefault="00145B85">
      <w:pPr>
        <w:pStyle w:val="1"/>
        <w:snapToGrid w:val="0"/>
        <w:spacing w:beforeLines="0" w:before="240" w:after="240"/>
        <w:rPr>
          <w:rFonts w:ascii="宋体" w:hAnsi="宋体"/>
          <w:szCs w:val="30"/>
        </w:rPr>
      </w:pPr>
      <w:bookmarkStart w:id="5" w:name="_Toc238542756"/>
      <w:r>
        <w:rPr>
          <w:rFonts w:ascii="Times New Roman" w:hAnsi="Times New Roman"/>
          <w:sz w:val="30"/>
        </w:rPr>
        <w:lastRenderedPageBreak/>
        <w:t>二、释义</w:t>
      </w:r>
      <w:bookmarkEnd w:id="5"/>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1、基金或本基金：指交银施罗德优享一年持有期混合型基金中基金（FOF）</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2、基金管理人：指交银施罗德基金管理有限公司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3、基金托管人：指上海浦东发展银行股份有限公司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4、基金合同：指《交银施罗德优享一年持有期混合型基金中基金（FOF）基金合同》及对基金合同的任何有效修订和补充</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5、托管协议：指基金管理人与基金托管人就本基金签订之《交银施罗德优享一年持有期混合型基金中基金（FOF）托管协议》及对该托管协议的任何有效修订和补充</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6、招募说明书或本招募说明书：指《交银施罗德优享一年持有期混合型基金中基金（FOF）招募说明书》及其更新</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7、基金产品资料概要：指《交银施罗德优享一年持有期混合型基金中基金（FOF）基金产品资料概要》及其更新</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8、基金份额发售公告：指《交银施罗德优享一年持有期混合型基金中基金（FOF）基金份额发售公告》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10、《基金法》：指《中华人民共和国证券投资基金法》及颁布机关对其不时做出的修订</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11、《销售办法》：指《公开募集证券投资基金销售机构监督管理办法》及颁布机关对其不时做出的修订</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12、《信息披露办法》：指《公开募集证券投资基金信息披露管理办法》及颁布机关对其不时做出的修订</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13、《运作办法》：指《公开募集证券投资基金运作管理办法》及颁布机关对其不时做出的修订</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14、《流动性风险管理规定》：指《公开募集开放式证券投资基金流动性风险管理规定》及颁布机关对其不时做出的修订</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15、中国证监会：指中国证券监督管理委员会</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16、银行业监督管理机构：指中国人民银行和/或中国银行保险监督管理委员会</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18、个人投资者：指依据有关法律法规规定可投资于证券投资基金的自然人</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合格境外投资者：指符合《合格境外机构投资者和人民币合格境外机构投资者境内证券期货投资管理办法》（包括其不时修订）及相关法律法规规定使用来自境外的资金进行境内证券期货投资的境外机构投资者，包括合格境外机构投资者和人民币合格境外机构投资者</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21、投资人、投资者：指个人投资者、机构投资者、合格境外投资者以及法律法规或中国证监会允许购买证券投资基金的其他投资人的合称</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22、基金份额持有人：指依基金合同和招募说明书合法取得基金份额的投资人</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23、基金销售业务：指基金管理人或销售机构宣传推介基金，发售基金份额，办理基金份额的申购、赎回、转换、转托管及定期定额投资等业务</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24、销售机构：指交银施罗德基金管理有限公司以及符合《销售办法》和中国证监会规定的其他条件，取得基金销售业务资格并与基金管理人签订了基金销售服务协议，办理基金销售业务的机构</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26、登记机构：指办理登记业务的机构。基金的登记机构为交银施罗德基金管理有限公司或接受交银施罗德基金管理有限公司委托代为办理登记业务的机构</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27、基金账户：指登记机构为投资人开立的、记录其持有的、基金管理人所管理的基金份额余额及其变动情况的账户</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28、基金交易账户：指销售机构为投资人开立的、记录投资人通过该销售机构办理认购、申购、赎回、转换及转托管等业务而引起的基金份额变动及结余情况的账户</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29、基金合同生效日：指基金募集达到法律法规规定及基金合同规定的条件，基金管理人向中国证监会办理基金备案手续完毕，并获得中国证监会书面确认的日期</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30、基金合同终止日：指基金合同规定的基金合同终止事由出现后，基金财产清算完毕，清算结果报中国证监会备案并予以公告的日期</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31、基金募集期：指自基金份额发售之日起至发售结束之日止的期间，最长不得超过3个月</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32、存续期：指基金合同生效至终止之间的不定期期限</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33、工作日：指上海证券交易所、深圳证券交易所的正常交易日</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34、T日：指销售机构在规定时间受理投资人申购、赎回或其他业务申请的开放日</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35、T+n日：指自T日起第n个工作日（不包含T日）</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最短持有期限：基金份额持有人持有的每份基金份额最短持有期限为一年，在最短持有期限内该份基金份额不可赎回，自最短持有期限届满的下一工作日起（含该日）可赎回。对于每笔认购的基金份额而言，最短持有期限自基金合同生效之日起（含该日）至一年后年度对日的前一日；对于每笔申购的基金份额而言，最短持有期限自该笔申购份额确认日（含该日）至一年后年度对日的前一日</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年度对日：指某一特定日期在后续日历年度中的对应日期，若该日历年度中不存在对应日期的，则该年度对日为该特定日期在后续日历年度中对应月度的最后一日。如该年度对日为非工作日的，则顺延至下一个工作日</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38、开放日：指为投资人办理基金份额申购、赎回或其他业务的工作日</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39、开放时间：指开放日基金接受申购、赎回或其他交易的时间段</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40、《业务规则》：指中国证券登记结算有限责任公司相关业务规则及其不时做出的修订</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41、认购：指在基金募集期内，投资人根据基金合同和招募说明书的规定申请购买基金份额的行为</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42、申购：指基金合同生效后，投资人根据基金合同和招募说明书的规定申请购买基金份额的行为</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43、赎回：指基金合同生效后，基金份额持有人按基金合同和招募说明书规定的条件要求将基金份额兑换为现金的行为</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44、基金转换：指基金份额持有人按照基金合同和基金管理人届时有效公告规定的条件，申请将其持有基金管理人管理的、某一基金的基金份额转换为基金管理人管理的其他基金基金份额的行为</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45、转托管：指基金份额持有人在本基金的不同销售机构之间实施的变更所持基金份额销售机构的操作</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48、元：指人民币元</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49、基金收益：指基金投资所得红利、股息、债券利息、买卖证券价差、银行存款利息、已实现的其他合法收入及因运用基金财产带来的成本和费用的节约</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50、基金资产总值：指基金拥有的各类有价证券、证券投资基金份额、银行存款本息、基金应收款项及其他资产的价值总和</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51、基金资产净值：指基金资产总值减去基金负债后的价值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52、基金份额净值：指计算日基金资产净值除以计算日基金份额总数</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53、基金资产估值：指计算评估基金资产和负债的价值，以确定基金资产净值和基金份额净值的过程</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54、规定媒介：指符合中国证监会规定条件的用以进行信息披露的全国性报刊及《信息披露办法》规定的互联网网站（包括基金管理人网站、基金托管人网站、中国证监会基金电子披露网站）等媒介</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55、销售服务费：指从基金财产中计提的，用于本基金市场推广、销售以及基金份额持有人服务的费用</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56、A类基金份额：指在投资人认购/申购时收取认购/申购费用且不从本类别基金资产中计提销售服务费的基金份额</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57、C类基金份额：指在投资人认购/申购时不收取认购/申购费用，并从本类别基金资产中计提销售服务费的基金份额</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58、流动性受限资产：指由于法律法规、监管、合同或操作障碍等原因无法以</w:t>
      </w:r>
      <w:r>
        <w:rPr>
          <w:rFonts w:ascii="宋体" w:hAnsi="宋体"/>
          <w:sz w:val="24"/>
        </w:rPr>
        <w:lastRenderedPageBreak/>
        <w:t>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62、不可抗力：指基金合同当事人不能预见、不能避免且不能克服的客观事件</w:t>
      </w:r>
    </w:p>
    <w:p w:rsidR="00B439CC" w:rsidRDefault="00145B8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11CA4" w:rsidRDefault="00145B85">
      <w:pPr>
        <w:pStyle w:val="1"/>
        <w:snapToGrid w:val="0"/>
        <w:spacing w:beforeLines="0" w:before="240" w:after="240"/>
        <w:rPr>
          <w:rFonts w:ascii="宋体" w:hAnsi="宋体"/>
          <w:szCs w:val="30"/>
        </w:rPr>
      </w:pPr>
      <w:bookmarkStart w:id="6" w:name="_Toc238542757"/>
      <w:r>
        <w:rPr>
          <w:rFonts w:ascii="Times New Roman" w:hAnsi="Times New Roman"/>
          <w:sz w:val="30"/>
        </w:rPr>
        <w:lastRenderedPageBreak/>
        <w:t>三、基金管理人</w:t>
      </w:r>
      <w:bookmarkEnd w:id="6"/>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B11CA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B11CA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B11CA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B11CA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w:t>
      </w:r>
      <w:r>
        <w:rPr>
          <w:rFonts w:ascii="宋体" w:hAnsi="宋体"/>
          <w:sz w:val="24"/>
        </w:rPr>
        <w:lastRenderedPageBreak/>
        <w:t>总行托管部基金业务部内控综合处副处长、资产委托高级经理、保险及养老金高级经理、资产托管部副总经理，交银施罗德基金管理有限公司党委委员、副总经理、首席信息官，交通银行总行养老金融部总经理。</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w:t>
      </w:r>
      <w:r>
        <w:rPr>
          <w:rFonts w:ascii="宋体" w:hAnsi="宋体"/>
          <w:sz w:val="24"/>
        </w:rPr>
        <w:lastRenderedPageBreak/>
        <w:t>理；交通银行总行营运与渠道部副总经理。</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兵先生:基金经理。上海财经大学经济学博士。10年证券投资行业从业经验。2016年加入交银施罗德基金管理有限公司，曾任量化投资部研究员、多元资产管理部研究员、投资经理，现任多元资产管理部基金经理以及基金投顾业务投资经理。曾任交银施罗德招享一年持有期混合型基金中基金（FOF）(2021年08月24日至2025年05月08日)、交银施罗德智选星光混合型基金中基金（FOF-LOF）(2021年11月10日至2026年08月10日)、交银施罗德慧选睿信一年持有期混合型基金中基金（FOF）(2022年07月27日至2025年05月08日)、交银施罗德安享稳健养老目标一年持有期混合型基金中基金（FOF）(2023年01月07日至2025年07月12日)、交银施罗德智选进取三个月持有期混合型发起式基金中基金（FOF）(2023年12月27日至2026年08月10日)的基金经理。现任交银施罗德兴享一年持有期混合型基金中基金（FOF）(2021年12月01日至今)、交银施罗德优享一年持有期混合型基金中基金（FOF）(2022年01月27日至今)、交银施罗德养老目标日期2035三年持有期混合型基金中基金（FOF）(2023年01月07日至今)、交银施罗德安悦平衡养老目标三年持有期混合型发起式基金中基金（FOF）(2024年02月05日至今)的基金经理。</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陈玲斐女士:基金经理。复旦大学文学学士、上海交通大学工商管理硕士，12年证券从业年限。历任中国银行股份有限公司上海市分行产品经理、交通银行股份有限公司总行资产管理中心交易员/投资经理、交银理财有限责任公司固定收益部、多资产投资部投资经理。2026年加入交银施罗德基金管理有限公司，现任多元资产管理助理总监、基金经理。现任交银施罗德优享一年持有期混合型基金中基金（FOF）(2026年08月22日至今)、交银施罗德养老目标日期2035三年持有期混合型基金中基金（FOF）(2026年08月22日至今)、交银施罗德安悦平衡养老目标三年持有期混合型发起式基金中基金（FOF）(2026年08月22日至今)、交银施罗德兴享一年持有期混合型基金中基金（FOF）(2026年08月22日至今)的基金经理。</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黄莹洁（固定收益（公募）投资助理总监、基金经理）</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（5）侵占、挪用基金财产；</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w:t>
      </w:r>
      <w:r>
        <w:rPr>
          <w:rFonts w:ascii="宋体" w:hAnsi="宋体"/>
          <w:sz w:val="24"/>
        </w:rPr>
        <w:lastRenderedPageBreak/>
        <w:t>控制成本达到最佳的内部控制效果。</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（7）内控合规及法律事务部</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（7）提供足够的培训</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145B8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11CA4" w:rsidRDefault="00145B85">
      <w:pPr>
        <w:pStyle w:val="1"/>
        <w:snapToGrid w:val="0"/>
        <w:spacing w:beforeLines="0" w:before="240" w:after="240"/>
        <w:rPr>
          <w:rFonts w:ascii="宋体" w:hAnsi="宋体"/>
          <w:szCs w:val="30"/>
        </w:rPr>
      </w:pPr>
      <w:bookmarkStart w:id="7" w:name="_Toc238542758"/>
      <w:r>
        <w:rPr>
          <w:rFonts w:ascii="Times New Roman" w:hAnsi="Times New Roman"/>
          <w:sz w:val="30"/>
        </w:rPr>
        <w:lastRenderedPageBreak/>
        <w:t>四、基金托管人</w:t>
      </w:r>
      <w:bookmarkEnd w:id="7"/>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（一）基金托管人概况</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本基金托管人为上海浦东发展银行股份有限公司，基本信息如下：</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名称：上海浦东发展银行股份有限公司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注册地址：上海市中山东一路12号</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办公地址：上海市博成路1388号浦银中心A栋</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法定代表人：张为忠</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成立时间：1992年10月19日</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经中国人民银行和中国银行业监督管理委员会批准，公司主营业务主要包括：吸收公众存款；发放短期、中期和长期贷款；办理结算；办理票据贴现；发行金融债券；代理发行、代理兑付、承销政府债券；买卖政府债券；同业拆借；提供信用证服务及担保；代理收付款项及代理保险业务；提供保险箱业务；外汇存款；外汇贷款；外汇汇款；外币兑换；国际结算；同业外汇拆借；外汇票据的承兑和贴现；外汇借款；外汇担保；结汇、售汇；买卖和代理买卖股票以外的外币有价证券；自营外汇买卖；代客外汇买卖；资信调查、咨询、见证业务；离岸银行业务；证券投资基金托管业务；全国社会保障基金托管业务；经中国人民银行和中国银行业监督管理委员会批准经营的其他业务。</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组织形式：股份有限公司（上市）</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注册资本：293.52亿元人民币</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基金托管资格批文及文号：中国证监会证监基金字[2003]105号</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联系人：朱萍</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联系电话：（021）31888888</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海浦东发展银行自2003年开展资产托管业务，是较早开展银行资产托管服务的股份制商业银行之一。经过二十年来的稳健经营和业务开拓，各项业务发展一直保持较快增长，各项经营指标在股份制商业银行中处于较好水平。</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海浦东发展银行总行于2003年设立基金托管部，2005年更名为资产托管部，2013年更名为资产托管与养老金业务部，2016年进行组织架构优化调整，并更名为资产托管部，目前下设证券托管处、客户资产托管处、养老金业务处、内控管理</w:t>
      </w:r>
      <w:r>
        <w:rPr>
          <w:rFonts w:ascii="宋体" w:hAnsi="宋体"/>
          <w:sz w:val="24"/>
        </w:rPr>
        <w:lastRenderedPageBreak/>
        <w:t>处、业务保障处、总行资产托管运营中心（含合肥分中心）六个职能处室。</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目前，上海浦东发展银行已拥有客户资金托管、资金信托保管、证券投资基金托管、全球资产托管、保险资金托管、基金专户理财托管、证券公司客户资产托管、期货公司客户资产托管、私募证券投资基金托管、私募股权托管、银行理财产品托管、企业年金托管等多项托管产品，形成完备的产品体系，可满足多领域客户、境内外市场的资产托管需求。</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（二）主要人员情况</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为忠，男，1967年出生，硕士研究生。曾任中国建设银行大连市分行开发区分行行长，中国建设银行内蒙古总审计室总审计师兼主任，中国建设银行湖北省分行纪委书记、副行长、党委委员，中国建设银行普惠金融事业部（小企业业务部）总经理，中国建设银行公司业务总监。现任中共上海浦东发展银行股份有限公司委员会书记、董事长。</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李国光，男，1967年出生，硕士研究生。历任上海浦东发展银行天津分行资财部总经理，天津分行行长助理、副行长，总行资金总部副总经理，总行资产负债管理委员会主任，总行清算作业部总经理，沈阳分行党委书记、行长。现任上海浦东发展银行总行资产托管部总经理。</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（三）基金托管业务经营情况</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截止2025年9月30日，上海浦东发展银行证券投资基金托管规模为15490.37亿元，托管证券投资基金共523只。</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（四）基金托管人的内部控制制度</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行内部控制目标为：确保经营活动中严格遵守国家有关法律法规、监管部门监管规则和本行规章制度，形成守法经营、规范运作的经营思想。确保经营业务的稳健运行，保证基金资产的安全和完整，确保业务活动信息的真实、准确、完整，保护基金份额持有人的合法权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行内部控制组织架构为：总行法律合规部是全行内部控制的牵头管理部门，指导业务部门建立并维护资产托管业务的内部控制体系。总行风险监控部是全行操作风险的牵头管理部门。指导业务部门开展资产托管业务的操作风险管控工作。总行资产托管部下设内控管理处。内控管理处是全行托管业务条线的内部控制具体管理实施机构，并配备专职内控监督人员负责托管业务的内控监督工作，独立行使监督稽核职责。</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3、内部控制制度及措施: 本行已建立完善的内部控制制度。内控制度贯穿资产托管业务的决策、执行、监督全过程，渗透到各业务流程和各操作环节，覆盖到从事资产托管各级组织结构、岗位及人员。内部控制以防范风险、合规经营为出发点，各项业务流程体现“内控优先”要求。</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内控措施包括：培育员工树立内控优先、制度先行、全员化风险控制的风险管理理念，营造浓厚的内控文化氛围，使风险意识贯穿到组织架构、业务岗位、人员的各个环节。制定权责清晰的业务授权管理制度、明确岗位职责和各项操作规程、员工职业道德规范、业务数据备份和保密等在内的各项业务管理制度；建立严格完善的资产隔离和资产保管制度，托管资产与托管人资产及不同托管资产之间实行独立运作、分别核算；对各类突发事件或故障，建立完备有效的应急方案，定期组织灾备演练，建立重大事项报告制度；在基金运作办公区域建立健全安全监控系统，利用录音、录像等技术手段实现风险控制；定期对业务情况进行自查、内部稽核等措施进行监控，通过专项/全面审计等措施实施业务监控，排查风险隐患。</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（五）托管人对管理人运作基金进行监督的方法和程序</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1、监督依据</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托管人严格按照有关政策法规、以及基金合同、托管协议等进行监督。监督依据具体包括：</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（1）《中华人民共和国证券法》；</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（2）《中华人民共和国证券投资基金法》；</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（3）《公开募集证券投资基金运作管理办法》；；</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（4）《公开募集证券投资基金销售机构监督管理办法》</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（5）《基金合同》、《基金托管协议》；</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（6）法律、法规、政策的其他规定。</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2、监督内容</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我行根据基金合同及托管协议约定，对基金合同生效之后所托管基金的投资范围、投资比例、投资限制等进行严格监督，及时提示基金管理人违规风险。</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3、监督方法</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（1）资产托管部设置核算监督岗位，配备相应的业务人员，在授权范围内独立行使对基金管理人投资交易行为的监督职责，规范基金运作，维护基金投资人的合法权益，不受任何外界力量的干预；</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（2）在日常运作中，凡可量化的监督指标，由核算监督岗通过托管业务的自动处理程序进行监督，实现系统的自动跟踪和预警；</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（3）对非量化指标、投资指令、管理人提供的各种报表和报告等，采取人工监督的方法。</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4、监督结果的处理方式</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（1）基金托管人对基金管理人的投资运作监督结果，采取定期和不定期报告形式向基金管理人和中国证监会报告。定期报告包括基金监控周报等。不定期报告包括提示函、临时日报、其他临时报告等；</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若基金托管人发现基金管理人违规违法操作，以电话、邮件、书面提示函的方式通知基金管理人，指明违规事项，明确纠正期限。在规定期限内基金托管人再对基金管理人违规事项进行复查，如果基金管理人对违规事项未予纠正，基金托管人将报告中国证监会。如果发现基金管理人投资运作有重大违规行为时，基金托管人应立即报告中国证监会，同时通知基金管理人限期纠正；</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（3）针对中国证监会、中国人民银行对基金投资运作监督情况的检查，应及时提供有关情况和资料。</w:t>
      </w:r>
    </w:p>
    <w:p w:rsidR="00B439CC" w:rsidRDefault="00145B8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11CA4" w:rsidRDefault="00145B85">
      <w:pPr>
        <w:pStyle w:val="1"/>
        <w:snapToGrid w:val="0"/>
        <w:spacing w:beforeLines="0" w:before="240" w:after="240"/>
        <w:rPr>
          <w:rFonts w:ascii="宋体" w:hAnsi="宋体"/>
          <w:szCs w:val="30"/>
        </w:rPr>
      </w:pPr>
      <w:bookmarkStart w:id="8" w:name="_Toc238542759"/>
      <w:r>
        <w:rPr>
          <w:rFonts w:ascii="Times New Roman" w:hAnsi="Times New Roman"/>
          <w:sz w:val="30"/>
        </w:rPr>
        <w:lastRenderedPageBreak/>
        <w:t>五、相关服务机构</w:t>
      </w:r>
      <w:bookmarkEnd w:id="8"/>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个人投资者可以通过基金管理人网上直销交易平台办理开户、本基金的申购、定期定额投资等业务，具体交易细则请参阅基金管理人网站。</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2、其他销售机构</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（1）名称：交通银行股份有限公司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（2）名称：上海浦东发展银行股份有限公司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住所：上海市中山东一路12 号</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办公地址：上海市中山东一路12 号</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法定代表人：郑杨</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电话：（021）61618888</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传真：（021）61618888</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联系人：朱瑛</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客户服务电话：95528</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网址：www.spdb.com.cn</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（3）名称：招商银行股份有限公司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（4）名称：宁波银行股份有限公司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（5）名称：中国银河证券股份有限公司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联系人：辛国政</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（6）名称：万联证券股份有限公司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注册地址：广州市天河区珠江东路11号18、19楼全层</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办公地址：广东省广州市天河区珠江东路13号高德置地广场E座12层</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法定代表人：王达</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 系 人：丁思</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联系方式：020-83988334</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客服电话：95322</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公司官网：www.wlzq.cn</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（7）名称：中信证券股份有限公司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（8）名称：中国中金财富证券有限公司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（9）名称：德邦证券股份有限公司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住所：上海市普陀区曹杨路510号南半幢9楼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办公地址：上海市福山路500号城建大厦26楼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法定代表人：姚文平</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电话：（021）68761616</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传真：（021）68767981</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客户服务电话：4008-888-128</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网址：www.tebon.com.cn</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（10）名称：国投证券股份有限公司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法定代表人：王苏望</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（11）名称：中航证券有限公司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住所：南昌市红谷滩新区红谷中大道1619号国际金融大厦41楼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办公地址：南昌市红谷滩新区红谷中大道1619号国际金融大厦41楼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法定代表人：杜航</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电话：（0791）86768681</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传真：（0791）86770178</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联系人：戴蕾</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客户服务电话：400-8895-335</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网址：www.avicsec.com</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（12）名称：中信建投证券股份有限公司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（13）名称：东方财富证券股份有限公司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（14）名称：国信证券股份有限公司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传真：（0755）82133952</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（15）名称：兴业证券股份有限公司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住所：福州市湖东路268号</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办公地址：上海市浦东新区长柳路36号</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客户服务电话：95562</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（16）名称：海通证券股份有限公司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住所：上海市淮海中路98号</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办公地址：上海市广东路689号</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法定代表人：王开国</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电话：（021）23219000</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传真：（021）23219100</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联系人：李笑鸣</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客户服务电话：95553或拨打各城市营业网点咨询电话</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网址：www.htsec.com</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（17）名称：长城国瑞证券有限公司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住所：厦门市莲前西路2号莲富大厦17楼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办公地址：厦门市莲前西路2号莲富大厦17楼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法定代表人：王勇</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电话：（0592）5161642</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传真：（0592）5161640</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联系人：赵钦</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客户服务电话：（0592）5163588</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网址：www.xmzq.cn</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（18）名称：大同证券有限责任公司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注册地址：山西省大同市城区迎宾街15号桐城中央21层</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办公地址：太原市长治路 111 号山西世贸中心 A 座 F12、F13</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邮政编码：030600</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法定代表人：董祥</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 话：（0351）4130322</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 真：（0351）7219891</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客服电话：4007121212</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网址：www.dtsbc.com.cn</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（19）名称：招商证券股份有限公司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客户服务电话：400-8888-111，95565</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（20）名称：中信证券（山东）有限责任公司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（21）名称：国金证券股份有限公司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（22）名称：国新证券股份有限公司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住所：北京市西城区金融大街8号</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办公地址：北京市西城区金融大街8号</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法定代表人：宋德清</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电话：（010）58568235</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传真：（010）58568062</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联系人：黄恒</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客户服务电话：（010）58568118</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网址：www.crsec.com.cn</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（23）名称：华西证券股份有限公司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住所：四川省成都市高新区天府二街198号华西证券大厦</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（24）名称：第一创业证券股份有限公司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住所：深圳市罗湖区笋岗路12号中民时代广场 B 座25、26层</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办公地址：深圳市罗湖区笋岗路12号中民时代广场 B 座25、26层</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法定代表人：刘学民</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电话：（0755）25832852</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传真：（0755）25831718</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联系人：崔国良</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客户服务电话：4008881888</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网址：www.firstcapital.com.cn</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（25）名称：中信证券华南股份有限公司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（26）名称：国泰海通证券股份有限公司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联系电话：021-38676666</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（27）名称：深圳市新兰德证券投资咨询有限公司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（28）名称：大连网金基金销售有限公司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（29）名称：阳光人寿保险股份有限公司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客户服务电话：95510</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（30）名称：京东肯特瑞基金销售有限公司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（31）名称：和耕传承基金销售有限公司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（32）名称：腾安基金销售（深圳）有限公司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网址：http://www.tenganxinxi.com/</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（33）名称：珠海盈米基金销售有限公司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（34）名称：北京度小满基金销售有限公司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（35）名称：南京苏宁基金销售有限公司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（36）名称：嘉实财富管理有限公司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w:t>
      </w:r>
      <w:r>
        <w:rPr>
          <w:rFonts w:ascii="宋体" w:hAnsi="宋体"/>
          <w:sz w:val="24"/>
        </w:rPr>
        <w:lastRenderedPageBreak/>
        <w:t>(2＃楼)27楼2714室</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（37）名称：北京汇成基金销售有限公司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（38）名称：上海利得基金销售有限公司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（39）名称：上海陆金所基金销售有限公司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传真：（021）22066653</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（40）名称：上海挖财基金销售有限公司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（41）名称：万家财富基金销售（天津）有限公司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（42）名称：上海万得基金销售有限公司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客户服务电话：400-799-1888</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（43）名称：格上富信投资顾问有限公司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住所：北京市朝阳区东三环北路19号楼701内09室</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办公地址：北京市朝阳区东三环北路19号楼701内09室</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法定代表人：李悦章</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电话：（010）85594745</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传真：（010）65983333</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客户服务电话：400-066-8586</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网址：www.igesafe.com</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（44）名称：深圳市金斧子基金销售有限公司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（45）名称：北京雪球基金销售有限公司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（46）名称：北京新浪仓石基金销售有限公司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注册地址：北京市海淀区东北旺西路中关村软件园二期（西扩）N-1、N-2地块新浪总部科研楼5层518室</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（47）名称：中证金牛（北京）基金销售有限公司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北京市丰台区东管头1号2号楼2-45室</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北京市西城区宣武门外大街甲一号环球财讯中心A座5层</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钱昊旻</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电话：（010）59336512</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传真：（010）59336586</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沈晨</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客户服务电话：4008-909-998</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www.jnlc.com</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（48）名称：奕丰基金销售有限公司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（49）名称：上海天天基金销售有限公司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办公地址：上海市徐汇区宛平南路88号金座东方财富大厦</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（50）名称：诺亚正行基金销售有限公司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（51）名称：上海好买基金销售有限公司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（52）名称：上海长量基金销售有限公司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联系人：单丙烨</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（53）名称：深圳众禄基金销售股份有限公司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（54）名称：蚂蚁（杭州）基金销售有限公司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（55）名称：中信期货有限公司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客服电话：400-990-8826</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（56）名称：上海基煜基金销售有限公司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（57）名称：浙江同花顺基金销售有限公司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（58）名称：宜信普泽（北京）基金销售有限公司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（59）名称：上海联泰基金销售有限公司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（60）名称：泛华普益基金销售有限公司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（61）名称：北京展恒基金销售股份有限公司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（62）名称：济安财富（北京）基金销售有限公司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法定代表人：杨健</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（63）名称：博时财富基金销售有限公司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（64）名称：深圳前海微众银行股份有限公司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（65）名称：上海中欧财富基金销售有限公司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传真：021-33830351</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基金管理人可根据有关法律法规的要求，选择其它符合要求的机构销售本基金，并在基金管理人网站公示。</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名称：容诚会计师事务所（特殊普通合伙）</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注册地址：北京市西城区阜成门外大街22号1幢外经贸大厦901-22至901-26</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办公地址：北京市西城区阜成门外大街22号1幢外经贸大厦901-22至901-26</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执行事务合伙人：肖厚发、刘维</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电话：010-66001391</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传真：010-66001391</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联系人：李隐煜</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经办会计师：沈兆杰、李隐煜</w:t>
      </w:r>
    </w:p>
    <w:p w:rsidR="00B439CC" w:rsidRDefault="00145B8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11CA4" w:rsidRDefault="00145B85">
      <w:pPr>
        <w:pStyle w:val="1"/>
        <w:snapToGrid w:val="0"/>
        <w:spacing w:beforeLines="0" w:before="240" w:after="240"/>
        <w:rPr>
          <w:rFonts w:ascii="宋体" w:hAnsi="宋体"/>
          <w:szCs w:val="30"/>
        </w:rPr>
      </w:pPr>
      <w:bookmarkStart w:id="9" w:name="_Toc238542760"/>
      <w:r>
        <w:rPr>
          <w:rFonts w:ascii="Times New Roman" w:hAnsi="Times New Roman"/>
          <w:sz w:val="30"/>
        </w:rPr>
        <w:lastRenderedPageBreak/>
        <w:t>六、基金的募集</w:t>
      </w:r>
      <w:bookmarkEnd w:id="9"/>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本基金由基金管理人依照《基金法》、《运作办法》、《销售办法》、基金合同及其他有关规定，并经中国证监会2021年12月13日证监许可【2021】3911号文准予募集注册。</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本基金为契约型开放式混合型基金。基金存续期间为不定期。</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本基金于2022年1月17日至2022年1月24日进行发售，本基金设立募集期共募集292,411,020.21份基金份额，有效认购户数为1,939户。</w:t>
      </w:r>
    </w:p>
    <w:p w:rsidR="00B439CC" w:rsidRDefault="00145B8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11CA4" w:rsidRDefault="00145B85">
      <w:pPr>
        <w:pStyle w:val="1"/>
        <w:snapToGrid w:val="0"/>
        <w:spacing w:beforeLines="0" w:before="240" w:after="240"/>
        <w:rPr>
          <w:rFonts w:ascii="宋体" w:hAnsi="宋体"/>
          <w:szCs w:val="30"/>
        </w:rPr>
      </w:pPr>
      <w:bookmarkStart w:id="10" w:name="_Toc238542761"/>
      <w:r>
        <w:rPr>
          <w:rFonts w:ascii="Times New Roman" w:hAnsi="Times New Roman"/>
          <w:sz w:val="30"/>
        </w:rPr>
        <w:lastRenderedPageBreak/>
        <w:t>七、基金合同的生效</w:t>
      </w:r>
      <w:bookmarkEnd w:id="10"/>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根据有关规定，本基金满足基金合同生效条件，基金合同已于2022年1月27日正式生效。自基金合同生效之日起，本基金管理人正式开始管理本基金。</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法律法规或中国证监会另有规定时，从其规定。</w:t>
      </w:r>
    </w:p>
    <w:p w:rsidR="00B439CC" w:rsidRDefault="00145B8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11CA4" w:rsidRDefault="00145B85">
      <w:pPr>
        <w:pStyle w:val="1"/>
        <w:snapToGrid w:val="0"/>
        <w:spacing w:beforeLines="0" w:before="240" w:after="240"/>
        <w:rPr>
          <w:rFonts w:ascii="宋体" w:hAnsi="宋体"/>
          <w:szCs w:val="30"/>
        </w:rPr>
      </w:pPr>
      <w:bookmarkStart w:id="11" w:name="_Toc238542762"/>
      <w:r>
        <w:rPr>
          <w:rFonts w:ascii="Times New Roman" w:hAnsi="Times New Roman"/>
          <w:sz w:val="30"/>
        </w:rPr>
        <w:lastRenderedPageBreak/>
        <w:t>八、基金份额的申购与赎回</w:t>
      </w:r>
      <w:bookmarkEnd w:id="11"/>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个人投资者可以通过基金管理人网上直销交易平台办理开户、本基金的申购、赎回、定期定额投资等业务，具体交易细则请参阅基金管理人网站。</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本基金除基金管理人之外的其他销售机构参见本招募说明书“五、相关服务机构”章节或拨打本公司客户服务电话进行咨询。</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投资人应当通过上述销售机构办理基金申购、赎回业务的营业场所或按上述销售机构提供的其他方式进行申购或赎回。本基金管理人可根据情况变更或增减基金销售机构，并在基金管理人网站公示。</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（二）申购和赎回的开放日及时间</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及/或赎回，但对于每份基金份额，基金份额持有人仅可在该份额最短持有期限届满后申请赎回，具体办理时间为上海证券交易所、深圳证券交易所的正常交易日的交易时间，但基金管理人根据法律法规、</w:t>
      </w:r>
      <w:r>
        <w:rPr>
          <w:rFonts w:ascii="宋体" w:hAnsi="宋体"/>
          <w:sz w:val="24"/>
        </w:rPr>
        <w:lastRenderedPageBreak/>
        <w:t>中国证监会的要求或基金合同的规定公告暂停申购、赎回时除外。</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若出现新的证券交易市场、证券交易所交易时间变更或其他特殊情况，基金管理人将视情况对前述开放日及开放时间进行相应的调整，但应在实施日前依照《信息披露办法》的有关规定在规定媒介上公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本基金已于2022年4月26日起开放申购业务。</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本基金已于2023年1月30日起开放赎回业务。</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或转换价格为下一开放日基金份额申购、赎回或转换的价格。投资人在最短持有期限内提出的赎回或转换申请，视为无效申请。</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（三）申购与赎回的原则</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1、“未知价”原则，即申购、赎回价格以申请日的基金份额净值（非申请日当天公布的基金份额净值）为基准进行计算；</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5、办理申购、赎回业务时，应当遵循基金份额持有人利益优先原则，确保投资者的合法权益不受损害并得到公平对待。</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基金管理人可在法律法规允许的情况下，对上述原则进行调整。基金管理人必须在新规则开始实施前依照《信息披露办法》的有关规定在规定媒介上公告。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（四）申购和赎回的数额限定</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直销机构首次申购的最低金额为单笔100万元，追加申购的最低金额为单笔10万元；已在直销机构有申购过本基金管理人管理的任一基金（包括本基金）记录的</w:t>
      </w:r>
      <w:r>
        <w:rPr>
          <w:rFonts w:ascii="宋体" w:hAnsi="宋体"/>
          <w:sz w:val="24"/>
        </w:rPr>
        <w:lastRenderedPageBreak/>
        <w:t>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3、最低基金份额余额的限制</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本基金暂无最低保留余额限制。</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5、基金管理人可在法律法规允许的情况下，调整上述规定申购金额和赎回份额的数量限制。基金管理人必须在调整实施前依照《信息披露办法》的有关规定在规定媒介上公告。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（五）申购和赎回的程序</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投资人申购基金份额时，必须全额交付申购款项，若申购资金在规定时间内未全额到账则申购不成立。投资人全额交付申购款项，申购成立；基金登记机构确认基金份额时，申购生效。</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基金份额持有人递交赎回申请，赎回成立；基金登记机构确认赎回时，赎回生效。投资者赎回申请生效后，基金管理人将在T+7日（包括该日）内支付赎回款</w:t>
      </w:r>
      <w:r>
        <w:rPr>
          <w:rFonts w:ascii="宋体" w:hAnsi="宋体"/>
          <w:sz w:val="24"/>
        </w:rPr>
        <w:lastRenderedPageBreak/>
        <w:t>项。在发生巨额赎回或基金合同载明的其他暂停赎回或延缓支付赎回款项的情形时，款项的支付办法参照基金合同有关条款处理。</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+2日（包括该日）内对该交易的有效性进行确认。T日提交的有效申请，投资人应在T+3日后（包括该日）及时到销售网点柜台或以销售机构规定的其他方式查询申请的确认情况。若申购不成功，则申购款项本金退还给投资人。</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基金管理人可在法律法规允许的范围内，依法对上述申购和赎回申请的确认时间进行调整，并必须在调整实施日前按照《信息披露办法》的有关规定在规定媒介上公告。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（1）投资人T日申购基金成功后，正常情况下，登记机构在T＋2日为投资人增加权益并办理登记手续。投资人应及时查询有关申请的确认情况。</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（2）投资人T日赎回基金成功后，正常情况下，登记机构在T＋2日为投资人扣除权益并办理相应的登记手续。</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（3）基金管理人可在法律法规允许的范围内，对上述登记办理时间进行调整，并于开始实施前按照《信息披露办法》的有关规定在规定媒介上公告。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（六）基金的申购费和赎回费</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本基金基金份额分为A类基金份额和C类基金份额。投资人申购A类基金份额在申购时支付申购费用；申购C类基金份额不支付申购费用，并从该类别基金资产中计提销售服务费。</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A类基金份额的申购费用由A类基金份额申购人承担，不列入基金财产，主要用于本基金的市场推广、销售、登记结算等各项费用。</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投资人可以多次申购本基金，申购费用按每笔申购申请单独计算。</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本基金A类基金份额（非养老金客户）的申购费率如下：</w:t>
      </w:r>
    </w:p>
    <w:tbl>
      <w:tblPr>
        <w:tblW w:w="5000" w:type="pct"/>
        <w:tblCellMar>
          <w:left w:w="0" w:type="dxa"/>
          <w:right w:w="0" w:type="dxa"/>
        </w:tblCellMar>
        <w:tblLook w:val="0000" w:firstRow="0" w:lastRow="0" w:firstColumn="0" w:lastColumn="0" w:noHBand="0" w:noVBand="0"/>
      </w:tblPr>
      <w:tblGrid>
        <w:gridCol w:w="2167"/>
        <w:gridCol w:w="6503"/>
      </w:tblGrid>
      <w:tr w:rsidR="00B11CA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类基金份额申购费率</w:t>
            </w:r>
          </w:p>
        </w:tc>
      </w:tr>
      <w:tr w:rsidR="00B11CA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rsidR="00B11CA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持有A类基金份额的投资人因红利自动再投资而产生的A类基金份额，不收取相应的申购费用。</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本基金对通过基金管理人直销柜台申购本基金A类基金份额的养老金客户实施特定申购费率。</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1）全国社会保障基金；</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2）可以投资基金的地方社会保障基金；</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3）企业年金单一计划以及集合计划；</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4）企业年金理事会委托的特定客户资产管理计划；</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5）企业年金养老金产品。</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如将来出现经养老基金监管部门认可的新的养老基金类型，基金管理人可在招募说明书更新或发布临时公告将其纳入养老金客户范围。</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2167"/>
        <w:gridCol w:w="6503"/>
      </w:tblGrid>
      <w:tr w:rsidR="00B11CA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类基金份额特定申购费率</w:t>
            </w:r>
          </w:p>
        </w:tc>
      </w:tr>
      <w:tr w:rsidR="00B11CA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0.32%</w:t>
            </w:r>
          </w:p>
        </w:tc>
      </w:tr>
      <w:tr w:rsidR="00B11CA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持有的每份基金份额最短持有期限为一年，最短持有期限届满后，本基金不收取赎回费。其中，对于不受最短持有期限制的红利再投资所得基金份额，对持续持有期少于7日的投资者收取1.5%的赎回费，并全额计入基金财产。</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w:t>
      </w:r>
      <w:r>
        <w:rPr>
          <w:rFonts w:ascii="宋体" w:hAnsi="宋体"/>
          <w:sz w:val="24"/>
        </w:rPr>
        <w:lastRenderedPageBreak/>
        <w:t>于新的费率或收费方式实施日前依照《信息披露办法》的有关规定在规定媒介上公告。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4、当本基金发生大额申购或赎回情形时，基金管理人可以采用摆动定价机制，以确保基金估值的公平性。具体处理原则与操作规范遵循相关法律法规以及监管部门、自律规则的规定。</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（七）申购和赎回的数额和价格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A类基金份额或C类基金份额的有效份额为净申购金额除以当日该类基金份额的基金份额净值，有效份额单位为份，申购份额计算结果按四舍五入方法，保留到小数点后2位，由此产生的收益或损失由基金财产承担。</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A类基金份额或C类基金份额的赎回金额为按实际确认的有效赎回份额乘以当日该类基金份额基金份额净值并扣除相应的费用（如有），赎回金额单位为元。赎回金额计算结果按四舍五入方法，保留到小数点后2位，由此产生的收益或损失由基金财产承担。</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申购份额=（申购总金额-申购费用）/T日A类基金份额净值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例四：某投资者（非养老金客户）投资100,000元申购本基金的A类基金份额，假设申购当日A类基金份额净值为1.0400元，申购费率为0.8%，则其可得到的申购份额为：</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申购总金额＝100,000元</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净申购金额=100,000/（1+0.8%）=99,206.35元</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申购费用=100,000-99,206.35=793.65元</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申购份额=（100,000-793.65）/1.0400=95,390.72份</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即：某投资者（非养老金客户）投资100,000元申购本基金的A类基金份额，假设申购当日A类基金份额净值为1.0400元，则其可得到95,390.72份A类基金份额。</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例五：某养老金客户投资100,000元通过基金管理人的直销柜台申购本基金的A类基金份额，假设申购当日A类基金份额净值为1.0400元，申购费率为0.32%，则其可得到的申购份额为：</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净申购金额=100,000/（1+0.32%）=99,681.02元</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申购费用=100,000-99,681.02=318.98元</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申购份额=（100,000-318.98）/1.0400=95,847.13份</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即：该养老金客户投资100,000元通过基金管理人的直销柜台申购本基金的A类基金份额，假设申购当日A类基金份额净值为1.0400元，则其可得到95,847.13份A类基金份额。</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（2）C类基金份额的申购</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如果投资者选择申购C类基金份额，则申购份额的计算方法如下：</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例六：某投资者投资100,000元申购本基金的C类基金份额，假设申购当日C类基金份额净值为1.0400元，则其可得到的申购份额为：</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赎回费用=赎回份额×T日该类基金份额净值×赎回费率</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赎回金额=赎回份额×T日该类基金份额净值-赎回费用</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例七：某投资者赎回持有的10,000份A类基金份额，持有期限为一年，对应的赎回费率为0，假设赎回当日A类基金份额净值是1.0160元，则其可得到的赎回金额</w:t>
      </w:r>
      <w:r>
        <w:rPr>
          <w:rFonts w:ascii="宋体" w:hAnsi="宋体"/>
          <w:sz w:val="24"/>
        </w:rPr>
        <w:lastRenderedPageBreak/>
        <w:t>为：</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赎回费用=10,000×1.0160×0=0元</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赎回金额=10,000×1.0160-0＝10,160.00元</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即：投资者赎回本基金10,000份A类基金份额，持有期限为一年，对应的赎回费率为0，假设赎回当日A类基金份额净值是1.0160元，则其可得到的赎回金额为10,160.00元。</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和C类基金份额的基金份额净值的计算，保留到小数点后4位，小数点后第5位四舍五入，由此产生的收益或损失由基金财产承担。T日的基金份额净值在所投资基金披露净值或万份收益当日（法定节假日顺延至第一个交易日）计算，并在T+2日内披露本基金T日的各类基金份额净值和基金份额累计净值。遇特殊情况，经履行适当程序，可以适当延迟计算或公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（八）拒绝或暂停申购的情形</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3、由于本基金持有的相当比例的基金暂停估值，导致基金管理人无法计算当日本基金资产净值。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本基金持有的相当比例的基金份额，或者适合本基金投资的基金份额拒绝或暂停申购、暂停上市或二级市场交易停牌、基金管理人无法找到其他合适的可替代的基金品种，或其他可能对本基金业绩产生负面影响的情形。</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5、接受某笔或某些申购申请可能会影响或损害现有基金份额持有人利益时。</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6、基金资产规模过大，使基金管理人无法找到合适的投资品种，或其他可能对基金业绩产生负面影响，或发生其他损害现有基金份额持有人利益的情形。</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7、当前一估值日基金资产净值50%以上的资产出现无可参考的活跃市场价格且</w:t>
      </w:r>
      <w:r>
        <w:rPr>
          <w:rFonts w:ascii="宋体" w:hAnsi="宋体"/>
          <w:sz w:val="24"/>
        </w:rPr>
        <w:lastRenderedPageBreak/>
        <w:t>采用估值技术仍导致公允价值存在重大不确定性时，经与基金托管人协商确认后，基金管理人应当暂停接受基金申购申请。</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8、基金管理人接受某笔或者某些申购申请有可能导致单一投资者持有基金份额的比例超过50%，或者变相规避50%集中度的。出现上述情形时，基金管理人有权将上述申购申请全部或部分确认失败。</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9、法律法规规定、中国证监会认定或基金合同约定的其他情形。</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除第5、8项以外的暂停申购情形之一且基金管理人决定暂停接受投资人申购申请时，基金管理人应当根据有关规定在规定媒介上刊登暂停申购公告。如果投资人的申购申请被拒绝，被拒绝的申购款项将退还给投资人。在暂停申购的情况消除时，基金管理人应及时恢复申购业务的办理。</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（九）暂停赎回或延缓支付赎回款项的情形</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3、由于本基金持有的相当比例的基金暂停估值，导致基金管理人无法计算当日本基金资产净值。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4、由于本基金持有的相当比例的基金份额拒绝或暂停赎回、暂停上市或二级市场交易停牌、延期办理赎回、延期支付赎回款项，或其他可能对本基金业绩产生负面影响的情形。</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5、连续两个或两个以上开放日发生巨额赎回。</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6、发生继续接受赎回申请将损害现有基金份额持有人利益的情形时，基金管理人可暂停接受基金份额持有人的赎回申请。</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8、法律法规规定、中国证监会认定或基金合同约定的其他情形。</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发生上述情形之一且基金管理人决定暂停接受基金份额持有人的赎回申请或延缓支付赎回款项时，基金管理人应及时报中国证监会备案，已确认的赎回申请，基</w:t>
      </w:r>
      <w:r>
        <w:rPr>
          <w:rFonts w:ascii="宋体" w:hAnsi="宋体"/>
          <w:sz w:val="24"/>
        </w:rPr>
        <w:lastRenderedPageBreak/>
        <w:t>金管理人应足额支付；如暂时不能足额支付，应将可支付部分按单个账户申请量占申请总量的比例分配给赎回申请人，未支付部分可延期支付。若出现上述第5项所述情形，按基金合同的相关条款处理。基金份额持有人在申请赎回时可事先选择将当日可能未获受理部分予以撤销。在暂停赎回的情况消除时，基金管理人应及时恢复赎回业务的办理并公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（十）巨额赎回的情形及处理方式</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w:t>
      </w:r>
      <w:r>
        <w:rPr>
          <w:rFonts w:ascii="宋体" w:hAnsi="宋体"/>
          <w:sz w:val="24"/>
        </w:rPr>
        <w:lastRenderedPageBreak/>
        <w:t>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当发生上述巨额赎回并延期办理时，基金管理人应当通过邮寄、传真、刊登公告或者通知销售机构代为告知等方式在3个交易日内通知基金份额持有人，说明有关处理方法，并在两日内在规定媒介上刊登公告。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（十一）暂停申购或赎回的公告和重新开放申购或赎回的公告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1、发生上述暂停申购或赎回情况的，基金管理人应在规定期限内在规定媒介上刊登暂停公告。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2、如发生暂停的时间为1日，基金管理人应于重新开放日，在规定媒介上刊登基金重新开放申购或赎回公告，并公布最近1个开放日的各类基金份额净值。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发生暂停的时间超过1日，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（十二）基金转换</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以根据相关法律法规以及基金合同的规定决定开办本基金与基金管理人管理的其他基金之间的转换业务，基金转换可以收取一定的转换费，相关规则由基金管理人届时根据相关法律法规及基金合同的规定制定并公告，并提前告知基金托管人与相关机构。</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（十三）基金的非交易过户</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（十四）基金的转托管</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（十五）定期定额投资计划</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本基金2022年4月22日刊登公告自2022年4月26日起开通定期定额投资计划业务，具体开通销售机构名单和业务规则参见相关公告。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（十六）基金份额的冻结和解冻</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基金登记机构只受理国家有权机关依法要求的基金份额的冻结与解冻，以及登记机构认可、符合法律法规的其他情况下的冻结与解冻。</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（十七）基金份额的转让</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（十八）实施侧袋机制期间本基金的申购与赎回</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本基金实施侧袋机制的，本基金的申购和赎回安排详见本招募说明书“侧袋机制”部分的规定或相关公告。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（十九）其他业务</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145B8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11CA4" w:rsidRDefault="00145B85">
      <w:pPr>
        <w:pStyle w:val="1"/>
        <w:snapToGrid w:val="0"/>
        <w:spacing w:beforeLines="0" w:before="240" w:after="240"/>
        <w:rPr>
          <w:rFonts w:ascii="宋体" w:hAnsi="宋体"/>
          <w:szCs w:val="30"/>
        </w:rPr>
      </w:pPr>
      <w:bookmarkStart w:id="12" w:name="_Toc238542763"/>
      <w:r>
        <w:rPr>
          <w:rFonts w:ascii="Times New Roman" w:hAnsi="Times New Roman"/>
          <w:sz w:val="30"/>
        </w:rPr>
        <w:lastRenderedPageBreak/>
        <w:t>九、基金的投资</w:t>
      </w:r>
      <w:bookmarkEnd w:id="12"/>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（一）投资目标</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本基金主要投资于经中国证监会依法核准或注册的公开募集证券投资基金的基金份额，在保持基金资产良好的流动性的前提下，力争实现基金资产的长期增值。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（二）投资范围</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经中国证监会依法核准或注册的公开募集证券投资基金（含ETF和LOF、香港互认基金，不含QDII基金）、国内依法发行上市的股票（含创业板及其他经中国证监会核准或注册上市的股票、存托凭证）、债券（含国债、央行票据、金融债券、政府支持债券、政府支持机构债券、地方政府债券、企业债券、公司债券、可转换债券（含可分离交易可转换债券）、可交换债券、次级债券、中期票据、短期融资券、超短期融资券等）、资产支持证券、货币市场工具、债券回购、同业存单、银行存款（含协议存款、定期存款及其他银行存款）以及法律法规或中国证监会允许基金投资的其他金融工具。</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本基金投资于经中国证监会依法核准或注册的公开募集证券投资基金的基金份额的资产不低于本基金资产的80%；投资于股票（含存托凭证）、股票型基金（包括股票指数基金）和混合型基金（指基金合同中约定股票投资占基金资产的比例为60%以上或者最近四个季度披露的股票投资占基金资产的比例均在60%以上的混合型基金）的资产合计占基金资产的比例为0%-40%；本基金持有的现金或者到期日在一年以内的政府债券的比例合计不低于基金资产净值的5%，其中现金不包括结算备付金、存出保证金、应收申购款等。</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（三）投资策略</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1、大类资产配置</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通过对宏观经济运行周期、货币与财政政策形势、资金面供求变化、证券市场走势与估值水平等综合分析，并融合量化投资方法，结合国内外先进资产配置理念，及时把握市场时机，调整资产配置比例，获取资产配置收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2、基金投资策略</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于本基金管理人绩效评估系统对不同类别的公募基金进行评估分析，在有效控制风险的前提下，通过定量和定性相结合的方法，精选具有不同风险收益特征及投资业绩比较优势的基金确定本基金配置组合。不同类别的公募基金采用不同的筛选目标：</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对于股票型、混合型等主动管理型基金，本基金通过定量分析，确定候选基金池，多角度进行定性分析，寻找实现基金资产增值的标的；</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对于指数基金、ETF等被动管理型基金，本基金运用量化方法分析适选基金的指数表现、跟踪误差、超额收益等，选择优质标的；</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对于固定收益类基金，本基金采取指标分析、业绩归因等定量指标，结合定性评估，精选货币基金以满足流动性管理需求，精选优质债券基金筑底，追求长期稳健收益。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本基金的绩效评估系统分析主要包括业绩指标分析、业绩归因分析以及基金管理人综合评估等：</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（1）运用量化方法分析所有适选基金在不同市场下的历史业绩表现，包括收益指标、风险指标和风险调整后收益指标等，具体如下：</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■收益指标：包括绝对收益、相对收益等指标；</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■风险指标：包括波动率、最大回撤等指标；</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■风险调整后收益指标：包括夏普比率、信息比率等指标。</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深入分析基金的业绩表现，再次精选基金确定备选基金，包括对基金的择时能力、资产配置能力、个股选择能力等进行归因分析，解释基金收益来源，评估未来收益的持续性与稳定性。基于市场环境、政策变动、风险事件等多重因素对基金配置组合进行持续跟踪，动态调整基金投资组合及配置比例。</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（3）结合对基金管理人的定性评估，包括基金管理人基本情况、投研团队实力以及投研团队稳定性、基金经理投资优势及业绩稳定性等方面，最终确定本基金的投资组合及配置比例。</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综上，本基金通过定量和定性相结合的方法，长期持续跟踪本基金的组合业绩，并定期对基金组合进行维护，力争实现基金资产的长期稳健增值。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3、股票投资策略</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本基金主要运用交银施罗德股票研究分析方法等投资分析工具，在把握宏观经</w:t>
      </w:r>
      <w:r>
        <w:rPr>
          <w:rFonts w:ascii="宋体" w:hAnsi="宋体"/>
          <w:sz w:val="24"/>
        </w:rPr>
        <w:lastRenderedPageBreak/>
        <w:t>济运行趋势和股票市场行业轮动的基础上，充分利用公司股票研究团队“自下而上”的主动选股能力，筛选出在公司治理、财务及管理品质上符合基本品质要求的上市公司；其次在公司备选股票池基础上，本基金将进一步通过对备选上市公司翔实的基本面分析和深入的实地调研，以定性与定量相结合的方法对公司价值进行综合评估。通过对重点上市公司进行内在价值的评估和成长性跟踪研究，在明确的价值评估基础上精选优秀质地的投资标的。</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4、债券投资策略</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控制策略、期限结构配置策略、类属配置策略、骑乘策略、杠杆放大策略和换券等多种策略，获取债券市场的长期稳定收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5、资产支持证券投资策略</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（四）投资限制</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经中国证监会依法核准或注册的公开募集证券投资基金的基金份额的资产不低于本基金资产的80%；投资于股票（含存托凭证）、股票型基金（包括股票指数基金）和混合型基金（指基金合同中约定股票投资占基金资产的比例为60%以上或者最近四个季度披露的股票投资占基金资产的比例均在60%以上的混</w:t>
      </w:r>
      <w:r>
        <w:rPr>
          <w:rFonts w:ascii="宋体" w:hAnsi="宋体"/>
          <w:sz w:val="24"/>
        </w:rPr>
        <w:lastRenderedPageBreak/>
        <w:t>合型基金）的资产合计占基金资产的比例为0%-40%；投资于货币市场基金的比例不得超过基金资产的15%；</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（2）本基金持有的现金或者到期日在一年以内的政府债券的比例合计不低于基金资产净值的5%，其中现金不包括结算备付金、存出保证金、应收申购款等；</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（3）本基金持有单只基金的市值，不得高于本基金资产净值的20%，且不得持有其他基金中基金；</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（4）本基金管理人管理的全部基金（除ETF联接基金外）持有单只基金不得超过被投资基金净资产的20%，被投资基金净资产规模以最近定期报告披露的规模为准；</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（5）本基金不得持有具有复杂、衍生品性质的基金份额，包括分级基金和中国证监会认定的其他基金份额；</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（6）本基金投资其他基金时，被投资基金的运作期限不少于1年、最近定期报告披露的基金净资产应当不低于1亿元；</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（7）本基金投资于封闭运作基金、定期开放基金等流通受限基金的，其公允价值不得超过本基金资产净值的10%；</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（8）本基金持有一家公司发行的证券，其市值不超过基金资产净值的10%；</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（9）本基金管理人管理的全部基金持有一家公司发行的证券，不超过该证券的10%，完全按照有关指数的构成比例进行证券投资的基金品种可以不受此条款规定的比例限制；</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主动投资于流动性受限资产的市值合计不得超过本基金资产净值的15%；因证券市场波动、上市公司股票停牌、基金规模变动等基金管理人之外的因素致使基金不符合该比例限制的，基金管理人不得主动新增流动性受限资产的投资；</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（12）本基金与私募类证券资管产品及中国证监会认定的其他主体为交易对手开展逆回购交易的，可接受质押品的资质要求应当与基金合同约定的投资范围保持</w:t>
      </w:r>
      <w:r>
        <w:rPr>
          <w:rFonts w:ascii="宋体" w:hAnsi="宋体"/>
          <w:sz w:val="24"/>
        </w:rPr>
        <w:lastRenderedPageBreak/>
        <w:t>一致；</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（13）本基金投资于同一原始权益人的各类资产支持证券的比例，不得超过基金资产净值的10%；</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（14）本基金持有的全部资产支持证券，其市值不得超过基金资产净值的20%；</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（15）本基金持有的同一（指同一信用级别）资产支持证券的比例，不得超过该资产支持证券规模的10%；</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（16）本基金管理人管理的全部基金投资于同一原始权益人的各类资产支持证券，不得超过其各类资产支持证券合计规模的10%；</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（17）本基金应投资于信用级别评级为BBB以上（含BBB）的资产支持证券。基金持有资产支持证券期间，如果其信用等级下降、不再符合投资标准，应在评级报告发布之日起3个月内予以全部卖出；</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（18）基金财产参与股票发行申购，本基金所申报的金额不超过本基金的总资产，本基金所申报的股票数量不超过拟发行股票公司本次发行股票的总量；</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（19）本基金进入全国银行间同业市场进行债券回购的资金余额不得超过基金资产净值的40%，进入全国银行间同业市场进行债券回购的最长期限为1年，债券回购到期后不得展期；</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（20）本基金资产总值不超过基金资产净值的140%；</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（21）本基金投资存托凭证的比例限制依照境内上市交易的股票执行；</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（22）法律法规及中国证监会规定的和《基金合同》约定的其他投资限制。</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证券市场波动、证券发行人合并、本基金规模变动、本基金所投资的基金发生流动性限制、暂停申购、赎回或二级市场交易停牌等基金管理人之外的因素致使本基金投资比例不符合上述第（3）项、第（4）项规定投资比例的，基金管理人应当在20个交易日内进行调整；对于第（2）项、第（3）项、第（4）项、第（11）项、第（12）项及第（17）项以外的其他情形，基金管理人应当在10个交易日内进行调整，但中国证监会规定的特殊情形除外。法律法规另有规定的，从其规定。</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w:t>
      </w:r>
      <w:r>
        <w:rPr>
          <w:rFonts w:ascii="宋体" w:hAnsi="宋体"/>
          <w:sz w:val="24"/>
        </w:rPr>
        <w:lastRenderedPageBreak/>
        <w:t>规或监管部门取消上述限制，如适用于本基金，基金管理人在履行适当程序后，则本基金投资不再受相关限制。</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2、基金管理人运用本基金财产投资于股票、债券等金融工具的，投资品种和比例应当符合本基金的投资目标和投资策略。</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3、禁止行为</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（4）向其基金管理人、基金托管人出资；</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（5）从事内幕交易、操纵证券交易价格及其他不正当的证券交易活动；</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（6）法律、行政法规和中国证监会规定禁止的其他活动。</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（五）业绩比较基准</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75%×中债综合全价指数收益率+25%×沪深300指数收益率</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中债综合全价指数由中央国债登记结算有限责任公司编制并发布，其指数样本涵盖国债、政策性银行债、商业银行债、地方企业债、中期票据以及证券公司短期融资券等券种，能够综合反映我国债券市场的整体投资收益情况，适合作为本基金固定收益类资产投资的业绩比较基准。</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沪深300指数是沪深证券交易所第一次联合发布的反映A股市场整体走势的指数，由中证指数有限公司编制和维护，是在上海和深圳证券市场中选取300只A股作为样本编制而成。该指数样本对沪深市场的覆盖度高，具有良好的市场代表性，</w:t>
      </w:r>
      <w:r>
        <w:rPr>
          <w:rFonts w:ascii="宋体" w:hAnsi="宋体"/>
          <w:sz w:val="24"/>
        </w:rPr>
        <w:lastRenderedPageBreak/>
        <w:t>投资者可以方便地从报纸、互联网等财经媒体中获取。沪深300指数引进国际指数编制和管理的经验，编制方法清晰透明，具有独立性和良好的市场流动性；与市场整体表现具有较高的相关度，且指数历史表现强于市场平均收益水平，适合作为本基金权益类资产投资的业绩比较基准。</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根据本基金的投资范围和投资策略，选用上述业绩比较基准能够客观、合理地反映本基金的风险收益特征。</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依据维护基金份额持有人合法权益的原则，本基金管理人可与本基金托管人协商一致并按照监管部门要求履行适当程序后，调整或变更本基金的业绩比较基准并及时公告，无需召开基金份额持有人大会。</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（六）风险收益特征</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本基金为混合型基金中基金，其预期风险与预期收益理论上高于债券型基金、债券型基金中基金、货币市场基金和货币型基金中基金，低于股票型基金和股票型基金中基金。</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（七）基金管理人代表基金行使股东或债权人权利的处理原则及方法</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1、基金管理人按照国家有关规定代表基金独立行使股东或债权人权利，保护基金份额持有人的利益；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（八）侧袋机制的实施和投资运作安排</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w:t>
      </w:r>
      <w:r>
        <w:rPr>
          <w:rFonts w:ascii="宋体" w:hAnsi="宋体"/>
          <w:sz w:val="24"/>
        </w:rPr>
        <w:lastRenderedPageBreak/>
        <w:t>定。</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（九）基金投资组合报告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本基金托管人上海浦东发展银行股份有限公司根据本基金合同规定，于2025年10月27日复核了本报告中的财务指标、净值表现和投资组合报告等内容，保证复核内容不存在虚假记载、误导性陈述或者重大遗漏。</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本报告期为2025年07月01日至09月30日。本报告财务资料未经审计师审计。</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B11CA4">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B11CA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11CA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11CA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right"/>
              <w:rPr>
                <w:rFonts w:ascii="宋体" w:hAnsi="宋体"/>
                <w:color w:val="000000"/>
                <w:kern w:val="0"/>
                <w:sz w:val="25"/>
                <w:szCs w:val="24"/>
              </w:rPr>
            </w:pPr>
            <w:r>
              <w:rPr>
                <w:rFonts w:ascii="Times New Roman" w:hAnsi="Times New Roman"/>
                <w:color w:val="000000"/>
                <w:kern w:val="0"/>
                <w:sz w:val="25"/>
                <w:szCs w:val="24"/>
              </w:rPr>
              <w:t>38,989,627.20</w:t>
            </w:r>
          </w:p>
        </w:tc>
        <w:tc>
          <w:tcPr>
            <w:tcW w:w="40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right"/>
              <w:rPr>
                <w:rFonts w:ascii="宋体" w:hAnsi="宋体"/>
                <w:color w:val="000000"/>
                <w:kern w:val="0"/>
                <w:sz w:val="25"/>
                <w:szCs w:val="24"/>
              </w:rPr>
            </w:pPr>
            <w:r>
              <w:rPr>
                <w:rFonts w:ascii="Times New Roman" w:hAnsi="Times New Roman"/>
                <w:color w:val="000000"/>
                <w:kern w:val="0"/>
                <w:sz w:val="25"/>
                <w:szCs w:val="24"/>
              </w:rPr>
              <w:t>82.27</w:t>
            </w:r>
          </w:p>
        </w:tc>
      </w:tr>
      <w:tr w:rsidR="00B11CA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right"/>
              <w:rPr>
                <w:rFonts w:ascii="宋体" w:hAnsi="宋体"/>
                <w:color w:val="000000"/>
                <w:kern w:val="0"/>
                <w:sz w:val="25"/>
                <w:szCs w:val="24"/>
              </w:rPr>
            </w:pPr>
            <w:r>
              <w:rPr>
                <w:rFonts w:ascii="Times New Roman" w:hAnsi="Times New Roman"/>
                <w:color w:val="000000"/>
                <w:kern w:val="0"/>
                <w:sz w:val="25"/>
                <w:szCs w:val="24"/>
              </w:rPr>
              <w:t>2,521,675.21</w:t>
            </w:r>
          </w:p>
        </w:tc>
        <w:tc>
          <w:tcPr>
            <w:tcW w:w="40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right"/>
              <w:rPr>
                <w:rFonts w:ascii="宋体" w:hAnsi="宋体"/>
                <w:color w:val="000000"/>
                <w:kern w:val="0"/>
                <w:sz w:val="25"/>
                <w:szCs w:val="24"/>
              </w:rPr>
            </w:pPr>
            <w:r>
              <w:rPr>
                <w:rFonts w:ascii="Times New Roman" w:hAnsi="Times New Roman"/>
                <w:color w:val="000000"/>
                <w:kern w:val="0"/>
                <w:sz w:val="25"/>
                <w:szCs w:val="24"/>
              </w:rPr>
              <w:t>5.32</w:t>
            </w:r>
          </w:p>
        </w:tc>
      </w:tr>
      <w:tr w:rsidR="00B11CA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right"/>
              <w:rPr>
                <w:rFonts w:ascii="宋体" w:hAnsi="宋体"/>
                <w:color w:val="000000"/>
                <w:kern w:val="0"/>
                <w:sz w:val="25"/>
                <w:szCs w:val="24"/>
              </w:rPr>
            </w:pPr>
            <w:r>
              <w:rPr>
                <w:rFonts w:ascii="Times New Roman" w:hAnsi="Times New Roman"/>
                <w:color w:val="000000"/>
                <w:kern w:val="0"/>
                <w:sz w:val="25"/>
                <w:szCs w:val="24"/>
              </w:rPr>
              <w:t>2,521,675.21</w:t>
            </w:r>
          </w:p>
        </w:tc>
        <w:tc>
          <w:tcPr>
            <w:tcW w:w="40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right"/>
              <w:rPr>
                <w:rFonts w:ascii="宋体" w:hAnsi="宋体"/>
                <w:color w:val="000000"/>
                <w:kern w:val="0"/>
                <w:sz w:val="25"/>
                <w:szCs w:val="24"/>
              </w:rPr>
            </w:pPr>
            <w:r>
              <w:rPr>
                <w:rFonts w:ascii="Times New Roman" w:hAnsi="Times New Roman"/>
                <w:color w:val="000000"/>
                <w:kern w:val="0"/>
                <w:sz w:val="25"/>
                <w:szCs w:val="24"/>
              </w:rPr>
              <w:t>5.32</w:t>
            </w:r>
          </w:p>
        </w:tc>
      </w:tr>
      <w:tr w:rsidR="00B11CA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11CA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11CA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11CA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right"/>
              <w:rPr>
                <w:rFonts w:ascii="宋体" w:hAnsi="宋体"/>
                <w:color w:val="000000"/>
                <w:kern w:val="0"/>
                <w:sz w:val="25"/>
                <w:szCs w:val="24"/>
              </w:rPr>
            </w:pPr>
            <w:r>
              <w:rPr>
                <w:rFonts w:ascii="Times New Roman" w:hAnsi="Times New Roman"/>
                <w:color w:val="000000"/>
                <w:kern w:val="0"/>
                <w:sz w:val="25"/>
                <w:szCs w:val="24"/>
              </w:rPr>
              <w:t>5,498,139.24</w:t>
            </w:r>
          </w:p>
        </w:tc>
        <w:tc>
          <w:tcPr>
            <w:tcW w:w="40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right"/>
              <w:rPr>
                <w:rFonts w:ascii="宋体" w:hAnsi="宋体"/>
                <w:color w:val="000000"/>
                <w:kern w:val="0"/>
                <w:sz w:val="25"/>
                <w:szCs w:val="24"/>
              </w:rPr>
            </w:pPr>
            <w:r>
              <w:rPr>
                <w:rFonts w:ascii="Times New Roman" w:hAnsi="Times New Roman"/>
                <w:color w:val="000000"/>
                <w:kern w:val="0"/>
                <w:sz w:val="25"/>
                <w:szCs w:val="24"/>
              </w:rPr>
              <w:t>11.60</w:t>
            </w:r>
          </w:p>
        </w:tc>
      </w:tr>
      <w:tr w:rsidR="00B11CA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11CA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right"/>
              <w:rPr>
                <w:rFonts w:ascii="宋体" w:hAnsi="宋体"/>
                <w:color w:val="000000"/>
                <w:kern w:val="0"/>
                <w:sz w:val="25"/>
                <w:szCs w:val="24"/>
              </w:rPr>
            </w:pPr>
            <w:r>
              <w:rPr>
                <w:rFonts w:ascii="Times New Roman" w:hAnsi="Times New Roman"/>
                <w:color w:val="000000"/>
                <w:kern w:val="0"/>
                <w:sz w:val="25"/>
                <w:szCs w:val="24"/>
              </w:rPr>
              <w:t>304,263.02</w:t>
            </w:r>
          </w:p>
        </w:tc>
        <w:tc>
          <w:tcPr>
            <w:tcW w:w="40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right"/>
              <w:rPr>
                <w:rFonts w:ascii="宋体" w:hAnsi="宋体"/>
                <w:color w:val="000000"/>
                <w:kern w:val="0"/>
                <w:sz w:val="25"/>
                <w:szCs w:val="24"/>
              </w:rPr>
            </w:pPr>
            <w:r>
              <w:rPr>
                <w:rFonts w:ascii="Times New Roman" w:hAnsi="Times New Roman"/>
                <w:color w:val="000000"/>
                <w:kern w:val="0"/>
                <w:sz w:val="25"/>
                <w:szCs w:val="24"/>
              </w:rPr>
              <w:t>0.64</w:t>
            </w:r>
          </w:p>
        </w:tc>
      </w:tr>
      <w:tr w:rsidR="00B11CA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right"/>
              <w:rPr>
                <w:rFonts w:ascii="宋体" w:hAnsi="宋体"/>
                <w:color w:val="000000"/>
                <w:kern w:val="0"/>
                <w:sz w:val="25"/>
                <w:szCs w:val="24"/>
              </w:rPr>
            </w:pPr>
            <w:r>
              <w:rPr>
                <w:rFonts w:ascii="Times New Roman" w:hAnsi="Times New Roman"/>
                <w:color w:val="000000"/>
                <w:kern w:val="0"/>
                <w:sz w:val="25"/>
                <w:szCs w:val="24"/>
              </w:rPr>
              <w:t>78,743.89</w:t>
            </w:r>
          </w:p>
        </w:tc>
        <w:tc>
          <w:tcPr>
            <w:tcW w:w="40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right"/>
              <w:rPr>
                <w:rFonts w:ascii="宋体" w:hAnsi="宋体"/>
                <w:color w:val="000000"/>
                <w:kern w:val="0"/>
                <w:sz w:val="25"/>
                <w:szCs w:val="24"/>
              </w:rPr>
            </w:pPr>
            <w:r>
              <w:rPr>
                <w:rFonts w:ascii="Times New Roman" w:hAnsi="Times New Roman"/>
                <w:color w:val="000000"/>
                <w:kern w:val="0"/>
                <w:sz w:val="25"/>
                <w:szCs w:val="24"/>
              </w:rPr>
              <w:t>0.17</w:t>
            </w:r>
          </w:p>
        </w:tc>
      </w:tr>
      <w:tr w:rsidR="00B11CA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right"/>
              <w:rPr>
                <w:rFonts w:ascii="宋体" w:hAnsi="宋体"/>
                <w:color w:val="000000"/>
                <w:kern w:val="0"/>
                <w:sz w:val="25"/>
                <w:szCs w:val="24"/>
              </w:rPr>
            </w:pPr>
            <w:r>
              <w:rPr>
                <w:rFonts w:ascii="Times New Roman" w:hAnsi="Times New Roman"/>
                <w:color w:val="000000"/>
                <w:kern w:val="0"/>
                <w:sz w:val="25"/>
                <w:szCs w:val="24"/>
              </w:rPr>
              <w:t>47,392,448.56</w:t>
            </w:r>
          </w:p>
        </w:tc>
        <w:tc>
          <w:tcPr>
            <w:tcW w:w="40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B11CA4">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B11CA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right"/>
              <w:rPr>
                <w:rFonts w:ascii="宋体" w:hAnsi="宋体"/>
                <w:color w:val="000000"/>
                <w:kern w:val="0"/>
                <w:sz w:val="25"/>
                <w:szCs w:val="24"/>
              </w:rPr>
            </w:pPr>
            <w:r>
              <w:rPr>
                <w:rFonts w:ascii="Times New Roman" w:hAnsi="Times New Roman"/>
                <w:color w:val="000000"/>
                <w:kern w:val="0"/>
                <w:sz w:val="25"/>
                <w:szCs w:val="24"/>
              </w:rPr>
              <w:t>2,521,675.21</w:t>
            </w:r>
          </w:p>
        </w:tc>
        <w:tc>
          <w:tcPr>
            <w:tcW w:w="40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right"/>
              <w:rPr>
                <w:rFonts w:ascii="宋体" w:hAnsi="宋体"/>
                <w:color w:val="000000"/>
                <w:kern w:val="0"/>
                <w:sz w:val="25"/>
                <w:szCs w:val="24"/>
              </w:rPr>
            </w:pPr>
            <w:r>
              <w:rPr>
                <w:rFonts w:ascii="Times New Roman" w:hAnsi="Times New Roman"/>
                <w:color w:val="000000"/>
                <w:kern w:val="0"/>
                <w:sz w:val="25"/>
                <w:szCs w:val="24"/>
              </w:rPr>
              <w:t>5.43</w:t>
            </w:r>
          </w:p>
        </w:tc>
      </w:tr>
      <w:tr w:rsidR="00B11CA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11CA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11CA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11CA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11CA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11CA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11CA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11CA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11CA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11CA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right"/>
              <w:rPr>
                <w:rFonts w:ascii="宋体" w:hAnsi="宋体"/>
                <w:color w:val="000000"/>
                <w:kern w:val="0"/>
                <w:sz w:val="25"/>
                <w:szCs w:val="24"/>
              </w:rPr>
            </w:pPr>
            <w:r>
              <w:rPr>
                <w:rFonts w:ascii="Times New Roman" w:hAnsi="Times New Roman"/>
                <w:color w:val="000000"/>
                <w:kern w:val="0"/>
                <w:sz w:val="25"/>
                <w:szCs w:val="24"/>
              </w:rPr>
              <w:t>2,521,675.21</w:t>
            </w:r>
          </w:p>
        </w:tc>
        <w:tc>
          <w:tcPr>
            <w:tcW w:w="40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right"/>
              <w:rPr>
                <w:rFonts w:ascii="宋体" w:hAnsi="宋体"/>
                <w:color w:val="000000"/>
                <w:kern w:val="0"/>
                <w:sz w:val="25"/>
                <w:szCs w:val="24"/>
              </w:rPr>
            </w:pPr>
            <w:r>
              <w:rPr>
                <w:rFonts w:ascii="Times New Roman" w:hAnsi="Times New Roman"/>
                <w:color w:val="000000"/>
                <w:kern w:val="0"/>
                <w:sz w:val="25"/>
                <w:szCs w:val="24"/>
              </w:rPr>
              <w:t>5.43</w:t>
            </w:r>
          </w:p>
        </w:tc>
      </w:tr>
    </w:tbl>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B11CA4">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B11CA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019766</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国债</w:t>
            </w:r>
            <w:r>
              <w:rPr>
                <w:rFonts w:ascii="Times New Roman" w:hAnsi="Times New Roman"/>
                <w:color w:val="000000"/>
                <w:kern w:val="0"/>
                <w:sz w:val="25"/>
                <w:szCs w:val="24"/>
              </w:rPr>
              <w:t>01</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right"/>
              <w:rPr>
                <w:rFonts w:ascii="宋体" w:hAnsi="宋体"/>
                <w:color w:val="000000"/>
                <w:kern w:val="0"/>
                <w:sz w:val="25"/>
                <w:szCs w:val="24"/>
              </w:rPr>
            </w:pPr>
            <w:r>
              <w:rPr>
                <w:rFonts w:ascii="Times New Roman" w:hAnsi="Times New Roman"/>
                <w:color w:val="000000"/>
                <w:kern w:val="0"/>
                <w:sz w:val="25"/>
                <w:szCs w:val="24"/>
              </w:rPr>
              <w:t>20,000</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right"/>
              <w:rPr>
                <w:rFonts w:ascii="宋体" w:hAnsi="宋体"/>
                <w:color w:val="000000"/>
                <w:kern w:val="0"/>
                <w:sz w:val="25"/>
                <w:szCs w:val="24"/>
              </w:rPr>
            </w:pPr>
            <w:r>
              <w:rPr>
                <w:rFonts w:ascii="Times New Roman" w:hAnsi="Times New Roman"/>
                <w:color w:val="000000"/>
                <w:kern w:val="0"/>
                <w:sz w:val="25"/>
                <w:szCs w:val="24"/>
              </w:rPr>
              <w:t>2,015,462.47</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right"/>
              <w:rPr>
                <w:rFonts w:ascii="宋体" w:hAnsi="宋体"/>
                <w:color w:val="000000"/>
                <w:kern w:val="0"/>
                <w:sz w:val="25"/>
                <w:szCs w:val="24"/>
              </w:rPr>
            </w:pPr>
            <w:r>
              <w:rPr>
                <w:rFonts w:ascii="Times New Roman" w:hAnsi="Times New Roman"/>
                <w:color w:val="000000"/>
                <w:kern w:val="0"/>
                <w:sz w:val="25"/>
                <w:szCs w:val="24"/>
              </w:rPr>
              <w:t>4.34</w:t>
            </w:r>
          </w:p>
        </w:tc>
      </w:tr>
      <w:tr w:rsidR="00B11CA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102286</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国债</w:t>
            </w:r>
            <w:r>
              <w:rPr>
                <w:rFonts w:ascii="Times New Roman" w:hAnsi="Times New Roman"/>
                <w:color w:val="000000"/>
                <w:kern w:val="0"/>
                <w:sz w:val="25"/>
                <w:szCs w:val="24"/>
              </w:rPr>
              <w:t>2421</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right"/>
              <w:rPr>
                <w:rFonts w:ascii="宋体" w:hAnsi="宋体"/>
                <w:color w:val="000000"/>
                <w:kern w:val="0"/>
                <w:sz w:val="25"/>
                <w:szCs w:val="24"/>
              </w:rPr>
            </w:pPr>
            <w:r>
              <w:rPr>
                <w:rFonts w:ascii="Times New Roman" w:hAnsi="Times New Roman"/>
                <w:color w:val="000000"/>
                <w:kern w:val="0"/>
                <w:sz w:val="25"/>
                <w:szCs w:val="24"/>
              </w:rPr>
              <w:t>5,000</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right"/>
              <w:rPr>
                <w:rFonts w:ascii="宋体" w:hAnsi="宋体"/>
                <w:color w:val="000000"/>
                <w:kern w:val="0"/>
                <w:sz w:val="25"/>
                <w:szCs w:val="24"/>
              </w:rPr>
            </w:pPr>
            <w:r>
              <w:rPr>
                <w:rFonts w:ascii="Times New Roman" w:hAnsi="Times New Roman"/>
                <w:color w:val="000000"/>
                <w:kern w:val="0"/>
                <w:sz w:val="25"/>
                <w:szCs w:val="24"/>
              </w:rPr>
              <w:t>506,212.74</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right"/>
              <w:rPr>
                <w:rFonts w:ascii="宋体" w:hAnsi="宋体"/>
                <w:color w:val="000000"/>
                <w:kern w:val="0"/>
                <w:sz w:val="25"/>
                <w:szCs w:val="24"/>
              </w:rPr>
            </w:pPr>
            <w:r>
              <w:rPr>
                <w:rFonts w:ascii="Times New Roman" w:hAnsi="Times New Roman"/>
                <w:color w:val="000000"/>
                <w:kern w:val="0"/>
                <w:sz w:val="25"/>
                <w:szCs w:val="24"/>
              </w:rPr>
              <w:t>1.09</w:t>
            </w:r>
          </w:p>
        </w:tc>
      </w:tr>
    </w:tbl>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本基金投资股指期货的投资政策</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10、报告期末本基金投资的国债期货交易情况说明</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10.1 本期国债期货投资政策</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报告期内本基金投资的前十名证券的发行主体未被监管部门立案调查，在本报告编制日前一年内本基金投资的前十名证券的发行主体未受到公开谴责和处罚。</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基金投资的前十名股票是否超出基金合同规定的备选股票库</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B11CA4">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B11CA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right"/>
              <w:rPr>
                <w:rFonts w:ascii="宋体" w:hAnsi="宋体"/>
                <w:color w:val="000000"/>
                <w:kern w:val="0"/>
                <w:sz w:val="25"/>
                <w:szCs w:val="24"/>
              </w:rPr>
            </w:pPr>
            <w:r>
              <w:rPr>
                <w:rFonts w:ascii="Times New Roman" w:hAnsi="Times New Roman"/>
                <w:color w:val="000000"/>
                <w:kern w:val="0"/>
                <w:sz w:val="25"/>
                <w:szCs w:val="24"/>
              </w:rPr>
              <w:t>16,798.07</w:t>
            </w:r>
          </w:p>
        </w:tc>
      </w:tr>
      <w:tr w:rsidR="00B11CA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right"/>
              <w:rPr>
                <w:rFonts w:ascii="宋体" w:hAnsi="宋体"/>
                <w:color w:val="000000"/>
                <w:kern w:val="0"/>
                <w:sz w:val="25"/>
                <w:szCs w:val="24"/>
              </w:rPr>
            </w:pPr>
            <w:r>
              <w:rPr>
                <w:rFonts w:ascii="Times New Roman" w:hAnsi="Times New Roman"/>
                <w:color w:val="000000"/>
                <w:kern w:val="0"/>
                <w:sz w:val="25"/>
                <w:szCs w:val="24"/>
              </w:rPr>
              <w:t>59,051.67</w:t>
            </w:r>
          </w:p>
        </w:tc>
      </w:tr>
      <w:tr w:rsidR="00B11CA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11CA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11CA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right"/>
              <w:rPr>
                <w:rFonts w:ascii="宋体" w:hAnsi="宋体"/>
                <w:color w:val="000000"/>
                <w:kern w:val="0"/>
                <w:sz w:val="25"/>
                <w:szCs w:val="24"/>
              </w:rPr>
            </w:pPr>
            <w:r>
              <w:rPr>
                <w:rFonts w:ascii="Times New Roman" w:hAnsi="Times New Roman"/>
                <w:color w:val="000000"/>
                <w:kern w:val="0"/>
                <w:sz w:val="25"/>
                <w:szCs w:val="24"/>
              </w:rPr>
              <w:t>5.00</w:t>
            </w:r>
          </w:p>
        </w:tc>
      </w:tr>
      <w:tr w:rsidR="00B11CA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right"/>
              <w:rPr>
                <w:rFonts w:ascii="宋体" w:hAnsi="宋体"/>
                <w:color w:val="000000"/>
                <w:kern w:val="0"/>
                <w:sz w:val="25"/>
                <w:szCs w:val="24"/>
              </w:rPr>
            </w:pPr>
            <w:r>
              <w:rPr>
                <w:rFonts w:ascii="Times New Roman" w:hAnsi="Times New Roman"/>
                <w:color w:val="000000"/>
                <w:kern w:val="0"/>
                <w:sz w:val="25"/>
                <w:szCs w:val="24"/>
              </w:rPr>
              <w:t>2,889.15</w:t>
            </w:r>
          </w:p>
        </w:tc>
      </w:tr>
      <w:tr w:rsidR="00B11CA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11CA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right"/>
              <w:rPr>
                <w:rFonts w:ascii="宋体" w:hAnsi="宋体"/>
                <w:color w:val="000000"/>
                <w:kern w:val="0"/>
                <w:sz w:val="25"/>
                <w:szCs w:val="24"/>
              </w:rPr>
            </w:pPr>
            <w:r>
              <w:rPr>
                <w:rFonts w:ascii="Times New Roman" w:hAnsi="Times New Roman"/>
                <w:color w:val="000000"/>
                <w:kern w:val="0"/>
                <w:sz w:val="25"/>
                <w:szCs w:val="24"/>
              </w:rPr>
              <w:t>78,743.89</w:t>
            </w:r>
          </w:p>
        </w:tc>
      </w:tr>
    </w:tbl>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报告期末前十名股票中存在流通受限情况的说明</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145B8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11CA4" w:rsidRDefault="00145B85">
      <w:pPr>
        <w:pStyle w:val="1"/>
        <w:snapToGrid w:val="0"/>
        <w:spacing w:beforeLines="0" w:before="240" w:after="240"/>
        <w:rPr>
          <w:rFonts w:ascii="宋体" w:hAnsi="宋体"/>
          <w:szCs w:val="30"/>
        </w:rPr>
      </w:pPr>
      <w:bookmarkStart w:id="13" w:name="_Toc238542764"/>
      <w:r>
        <w:rPr>
          <w:rFonts w:ascii="Times New Roman" w:hAnsi="Times New Roman"/>
          <w:sz w:val="30"/>
        </w:rPr>
        <w:lastRenderedPageBreak/>
        <w:t>十、基金的业绩</w:t>
      </w:r>
      <w:bookmarkEnd w:id="13"/>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基金业绩截止日为2025年09月30日，所载财务数据未经审计师审计。</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1、本报告期基金份额净值增长率及其与同期业绩比较基准收益率的比较</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（1）交银优享一年持有期混合（FOF）A：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B11CA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B11CA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2.31%</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3.08%</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-0.77%</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r>
      <w:tr w:rsidR="00B11CA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上半年</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1.33%</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0.23%</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1.30%</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r>
      <w:tr w:rsidR="00B11CA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2.38%</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0.43%</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7.78%</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-5.40%</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r>
      <w:tr w:rsidR="00B11CA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-0.92%</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0.30%</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-1.31%</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0.39%</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r>
      <w:tr w:rsidR="00B11CA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2022</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-1.61%</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0.31%</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-4.54%</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2.93%</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bl>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（2）交银优享一年持有期混合（FOF）C：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B11CA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B11CA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2.22%</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3.08%</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-0.86%</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r>
      <w:tr w:rsidR="00B11CA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上半年</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1.13%</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0.23%</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1.10%</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r>
      <w:tr w:rsidR="00B11CA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1.97%</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0.43%</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7.78%</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-5.81%</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r>
      <w:tr w:rsidR="00B11CA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-1.33%</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0.30%</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-1.31%</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r>
      <w:tr w:rsidR="00B11CA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2022</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-1.97%</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0.31%</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-4.54%</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2.57%</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bl>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注：75%×中债综合全价指数收益率+25%×沪深300指数收益率，每日进行再平</w:t>
      </w:r>
      <w:r>
        <w:rPr>
          <w:rFonts w:ascii="宋体" w:hAnsi="宋体"/>
          <w:sz w:val="24"/>
        </w:rPr>
        <w:lastRenderedPageBreak/>
        <w:t>衡过程。</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B11CA4" w:rsidRDefault="00145B85">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交银施罗德优享一年持有期混合（FOF）证券投资基金</w:t>
      </w:r>
    </w:p>
    <w:p w:rsidR="00B11CA4" w:rsidRDefault="00145B85">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份额累计净值增长率与业绩比较基准收益率的历史走势对比图</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（2022年01月27日至2025年09月30日）</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（1）交银优享一年持有期混合（FOF）A</w:t>
      </w:r>
    </w:p>
    <w:p w:rsidR="00B11CA4" w:rsidRDefault="00166808">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（2）交银优享一年持有期混合（FOF）C</w:t>
      </w:r>
    </w:p>
    <w:p w:rsidR="00B11CA4" w:rsidRDefault="00166808">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6" type="#_x0000_t75" style="width:439.5pt;height:268.5pt">
            <v:imagedata r:id="rId16" o:title="1521256610242020828"/>
          </v:shape>
        </w:pic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rsidR="00B439CC" w:rsidRDefault="00145B8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11CA4" w:rsidRDefault="00145B85">
      <w:pPr>
        <w:pStyle w:val="1"/>
        <w:snapToGrid w:val="0"/>
        <w:spacing w:beforeLines="0" w:before="240" w:after="240"/>
        <w:rPr>
          <w:rFonts w:ascii="宋体" w:hAnsi="宋体"/>
          <w:szCs w:val="30"/>
        </w:rPr>
      </w:pPr>
      <w:bookmarkStart w:id="14" w:name="_Toc238542765"/>
      <w:r>
        <w:rPr>
          <w:rFonts w:ascii="Times New Roman" w:hAnsi="Times New Roman"/>
          <w:sz w:val="30"/>
        </w:rPr>
        <w:lastRenderedPageBreak/>
        <w:t>十一、基金的财产</w:t>
      </w:r>
      <w:bookmarkEnd w:id="14"/>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（一）基金资产总值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基金资产总值是指基金拥有的各类有价证券、证券投资基金份额、银行存款本息、基金应收款项及其他资产的价值总和。</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（二）基金资产净值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（三）基金财产的账户</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基金账户以及投资所需的其他专用账户。开立的基金专用账户与基金管理人、基金托管人、基金销售机构和基金登记机构自有的财产账户以及其他基金财产账户相独立。</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（四）基金财产的保管和处分</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rsidR="00B439CC" w:rsidRDefault="00145B8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11CA4" w:rsidRDefault="00145B85">
      <w:pPr>
        <w:pStyle w:val="1"/>
        <w:snapToGrid w:val="0"/>
        <w:spacing w:beforeLines="0" w:before="240" w:after="240"/>
        <w:rPr>
          <w:rFonts w:ascii="宋体" w:hAnsi="宋体"/>
          <w:szCs w:val="30"/>
        </w:rPr>
      </w:pPr>
      <w:bookmarkStart w:id="15" w:name="_Toc238542766"/>
      <w:r>
        <w:rPr>
          <w:rFonts w:ascii="Times New Roman" w:hAnsi="Times New Roman"/>
          <w:sz w:val="30"/>
        </w:rPr>
        <w:lastRenderedPageBreak/>
        <w:t>十二、基金资产的估值</w:t>
      </w:r>
      <w:bookmarkEnd w:id="15"/>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（一）估值日</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本基金的估值日为本基金相关的证券交易场所的交易日以及国家法律法规规定需要对外披露基金净值的非交易日。所投资基金的估值日是指该基金基金份额净值和基金份额累计净值的归属日。</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（二）估值对象</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基金所拥有的证券投资基金份额、股票、债券、资产支持证券和其他投资等持续以公允价值计量的金融资产及负债。</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（三）估值原则</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基金管理人在确定相关金融资产和金融负债的公允价值时，应符合《企业会计准则》、监管部门有关规定。</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（四）估值方法</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1、证券投资基金的估值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（1）本基金投资于非上市的非货币市场基金，按所投资基金估值日的份额净值进行估值；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（2）本基金投资于非上市的货币市场基金，按所投资基金前一估值日后至估值日期间（含节假日）的万份收益计提估值日基金收益；如所投资基金披露份额净值，则按所投资基金估值日的份额净值估值；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（3）本基金投资的ETF基金，按所投资ETF基金估值日的收盘价进行估值；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（4）本基金投资的上市开放式基金（LOF），按所投资基金估值日的份额净值估值；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（5）本基金投资的上市定期开放式基金、封闭式基金，按所投资基金估值日的收盘价估值；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的上市交易型货币市场基金，如所投资基金披露份额净值，则按所投资基金估值日的份额净值估值；如所投资基金披露万份（百份）收益，则按所投资基金前一估值日后至估值日期间（含节假日）的万份（百份）收益计提估值日基金收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（7）如遇所投资基金不公布基金份额净值、进行折算或拆分、估值日无交易等特殊情况，基金管理人根据以下原则进行估值：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以所投资基金的基金份额净值估值的，若所投资基金与本基金估值频率一致但未公布估值日基金份额净值，以其最近公布的基金份额净值估值；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所投资基金的收盘价估值的，若估值日无交易，且最近交易日后市场环境未发生重大变化，以最近交易日的收盘价估值；如最近交易日后市场环境发生了重大变化的，可使用最新的基金份额净值为基础或参考类似投资品种的现行市价及重大变化因素调整最近交易市价，确定公允价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如果所投资基金前一估值日至估值日期间发生分红除权、折算或拆分，基金管理人应根据基金份额净值或收盘价、单位基金份额分红金额、折算拆分比例、持仓份额等因素合理确定公允价值；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（8）当基金管理人认为所投资基金按上述第（1）至第（7）条进行估值存在不公允时，应与基金托管人协商一致采用合理的估值技术或估值标准确定其公允价值。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2、证券交易所上市的有价证券的估值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交易所上市的有价证券（包括股票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（2）交易所上市交易或挂牌转让的固定收益品种（另有规定的除外），选取估值日第三方估值机构提供的相应品种当日的估值净价进行估值；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上市交易的可转换债券，按估值日收盘价减去可转换债券收盘价中所含债券（税后）应收利息后得到的净价进行估值；估值日没有交易的，且最近交易日后经济环境未发生重大变化，按最近交易日债券收盘价减去可转换债券收盘价中所含债券（税后）应收利息后得到的净价进行估值。如最近交易日后经济环境发生了重大变化的，可参考类似投资品种现行市价及重大变化因素，调整最近交易市价，确定公允价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（4）交易所上市实行全价交易的债券（可转债除外），选取第三方估值机构提供的估值全价减去估值全价中所含的债券（税后）应收利息得到的净价进行估值；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（5）交易所上市不存在活跃市场的有价证券，采用估值技术确定公允价值。交易所市场挂牌转让的资产支持证券，采用估值技术确定公允价值；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3、处于未上市期间的有价证券应区分如下情况处理：</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（1）送股、转增股、配股和公开增发的新股，按估值日在证券交易所挂牌的同一股票的估值方法估值；该日无交易的，以最近一日的市价（收盘价）估值；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（2）首次公开发行未上市的股票和债券，采用估值技术确定公允价值，在估值技术难以可靠计量公允价值的情况下，按成本估值；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（3）在发行时明确一定期限限售期的股票，包括但不限于非公开发行股票、首次公开发行股票时公司股东公开发售股份、通过大宗交易取得的带限售期的股票</w:t>
      </w:r>
      <w:r>
        <w:rPr>
          <w:rFonts w:ascii="宋体" w:hAnsi="宋体"/>
          <w:sz w:val="24"/>
        </w:rPr>
        <w:lastRenderedPageBreak/>
        <w:t>等，不包括停牌、新发行未上市、回购交易中的质押券等流通受限股票，按监管机构或行业协会有关规定确定公允价值。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5、如有确凿证据表明按上述方法进行估值不能客观反映其公允价值的，基金管理人可根据具体情况与基金托管人商定后，按最能反映公允价值的价格估值。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6、当发生大额申购或赎回情形时，基金管理人可以采用摆动定价机制，以确保基金估值的公平性。</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7、本基金投资存托凭证的估值核算依照境内上市交易的股票执行。</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8、相关法律法规以及监管部门有强制规定的，从其规定。如有新增事项，按国家最新规定估值。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（五）估值程序</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各类基金份额的基金份额净值是按照每个估值日，基金资产净值除以当日该类估值日基金份额的余额数量计算，精确到0.0001元，小数点后第5位四舍五入。基金管理人可以设立大额赎回情形下的净值精度应急调整机制，具体可参见相关公告。国家另有规定的，从其规定。</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基金管理人于每个工作日分别计算A类基金份额、C类基金份额的基金资产净值及基金份额净值，并按规定公告。如遇特殊情况，经履行适当程序，可以适当延迟</w:t>
      </w:r>
      <w:r>
        <w:rPr>
          <w:rFonts w:ascii="宋体" w:hAnsi="宋体"/>
          <w:sz w:val="24"/>
        </w:rPr>
        <w:lastRenderedPageBreak/>
        <w:t>计算或公告。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和相关法律法规的规定对外公布。</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（六）估值错误的处理</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基金管理人和基金托管人将采取必要、适当、合理的措施确保基金资产估值的准确性、及时性。当基金份额净值小数点后4位以内（含第4位）发生估值错误时，视为基金份额净值错误。</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w:t>
      </w:r>
      <w:r>
        <w:rPr>
          <w:rFonts w:ascii="宋体" w:hAnsi="宋体"/>
          <w:sz w:val="24"/>
        </w:rPr>
        <w:lastRenderedPageBreak/>
        <w:t>并且仅对估值错误的有关直接当事人负责，不对第三方负责。</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（2）错误偏差达到该类基金份额净值的0.25%时，基金管理人应当通报基金托管人并报中国证监会备案；错误偏差达到该类基金份额净值的0.5%时，基金管理人应当公告，并报中国证监会备案。</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（3）前述内容如法律法规或者监管部门另有规定的，从其规定。</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（七）暂停估值的情形</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1、基金投资所涉及的证券交易市场遇法定节假日或因其他原因暂停营业时；</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3、由于本基金持有的相当比例的基金暂停估值，导致基金管理人无法计算当日基金资产净值；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4、当特定资产占前一估值日基金资产净值50%以上的，经与基金托管人协商确认后，基金管理人应当暂停估值；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5、法律法规、中国证监会和基金合同认定的其它情形。</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（八）基金净值的确认</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资产净值和基金份额净值由基金管理人负责计算，基金托管人负责进行复核。基金管理人应于每个工作日计算各类基金份额的基金资产净值和基金份额净值并发送给基金托管人。基金托管人对净值计算结果复核确认后发送给基金管理人，由基金管理人依据基金合同和相关法律法规的规定对基金净值予以公布。</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（九）特殊情形的处理</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1、基金管理人或基金托管人按估值方法的第5项进行估值时，所造成的误差不作为基金资产估值错误处理。</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交易所、证券经纪机构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（十）实施侧袋机制期间的基金资产估值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145B8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11CA4" w:rsidRDefault="00145B85">
      <w:pPr>
        <w:pStyle w:val="1"/>
        <w:snapToGrid w:val="0"/>
        <w:spacing w:beforeLines="0" w:before="240" w:after="240"/>
        <w:rPr>
          <w:rFonts w:ascii="宋体" w:hAnsi="宋体"/>
          <w:szCs w:val="30"/>
        </w:rPr>
      </w:pPr>
      <w:bookmarkStart w:id="16" w:name="_Toc238542767"/>
      <w:r>
        <w:rPr>
          <w:rFonts w:ascii="Times New Roman" w:hAnsi="Times New Roman"/>
          <w:sz w:val="30"/>
        </w:rPr>
        <w:lastRenderedPageBreak/>
        <w:t>十三、基金收益与分配</w:t>
      </w:r>
      <w:bookmarkEnd w:id="16"/>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（一）基金利润的构成</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（二）基金可供分配利润</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（三）基金收益分配原则</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1、在符合有关基金分红条件的前提下，本基金管理人可以根据实际情况进行收益分配，具体分配方案以公告为准，若《基金合同》生效不满3个月可不进行收益分配；</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收益分配方式分两种：现金分红与红利再投资，投资者可选择现金红利或将现金红利自动转为相应类别的基金份额进行再投资；投资者红利再投资所得基金份额不受最短持有期限制；若投资者不选择，本基金默认的收益分配方式是现金分红；基金份额持有人可对其持有的A类基金份额和C类基金份额分别选择不同的收益分配方式；</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3、基金收益分配后基金份额净值不能低于面值；即基金收益分配基准日的基金份额净值减去每单位基金份额收益分配金额后不能低于面值；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4、由于本基金A类基金份额不收取销售服务费，C类基金份额收取销售服务费，各基金份额类别对应的可供分配利润将有所不同；本基金同一类别的每份基金份额享有同等分配权；</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5、法律法规或监管机关另有规定的，从其规定。</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（四）收益分配方案</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（五）收益分配方案的确定、公告与实施</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本基金收益分配方案由基金管理人拟定，并由基金托管人复核，依照《信息披露办法》的规定在规定媒介公告。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（六）基金收益分配中发生的费用</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（七）收益分配方式的修改</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（八）实施侧袋机制期间的收益分配</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145B8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11CA4" w:rsidRDefault="00145B85">
      <w:pPr>
        <w:pStyle w:val="1"/>
        <w:snapToGrid w:val="0"/>
        <w:spacing w:beforeLines="0" w:before="240" w:after="240"/>
        <w:rPr>
          <w:rFonts w:ascii="宋体" w:hAnsi="宋体"/>
          <w:szCs w:val="30"/>
        </w:rPr>
      </w:pPr>
      <w:bookmarkStart w:id="17" w:name="_Toc238542768"/>
      <w:r>
        <w:rPr>
          <w:rFonts w:ascii="Times New Roman" w:hAnsi="Times New Roman"/>
          <w:sz w:val="30"/>
        </w:rPr>
        <w:lastRenderedPageBreak/>
        <w:t>十四、基金的费用与税收</w:t>
      </w:r>
      <w:bookmarkEnd w:id="17"/>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（一）基金费用的种类</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4、《基金合同》生效后与基金相关的会计师费、律师费、仲裁费和诉讼费；</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6、基金的证券、基金交易费用；</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9、本基金从C类基金份额的基金财产中计提的销售服务费；</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10、本基金投资其他基金产生的其他基金的销售费用（如申购费、赎回费、销售服务费等），但法律法规禁止从基金财产中列支的除外；</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11、按照国家有关规定和《基金合同》约定，可以在基金财产中列支的其他费用。</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（二）基金费用计提方法、计提标准和支付方式</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财产中持有的基金管理人自身管理的基金部分不收取管理费。本基金的管理费按前一日基金资产净值扣除基金财产中持有的基金管理人自身管理的基金部分所对应资产后剩余部分的0.6%年费率计提。管理费的计算方法如下：</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H＝E×0.6%÷当年天数</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E为前一日的基金资产净值扣除基金财产中持有的基金管理人自身管理的基金部分所对应资产后剩余部分，若为负数，则E取0。</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算，按月支付，由基金管理人向基金托管人发送划款指令，由基金托管人复核后于次月首日起第3个工作日从基金财产中一次性支付给基金管理人，若遇法定节假日、休息日或不可抗力致使无法按时支付的，支付日期顺延。</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基金财产中持有的基金托管人自身托管的基金部分不收取托管费。本基金的托管费按前一日基金资产净值扣除基金财产中持有的基金托管人自身托管的基金部分所对应资产后剩余部分的0.15%的年费率计提。托管费的计算方法如下：</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H＝E×0.15%÷当年天数</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E为前一日的基金资产净值扣除基金财产中持有的基金托管人自身托管的基金部分所对应资产后剩余部分，若为负数，则E取0。</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算，按月支付，由基金管理人向基金托管人发送划款指令，由基金托管人复核后于次月首日起第3个工作日从基金财产中一次性支取。若遇法定节假日、休息日或不可抗力致使无法按时支付的，支付日期顺延。</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本基金A类基金份额不收取销售服务费，C类基金份额的销售服务费按前一日C类基金资产净值的0.4%年费率计提。计算方法如下：</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H＝E×0.4%÷当年天数</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算，按月支付，由基金管理人向基金托管人发送划款指令，由基金托管人复核后于次月首日起第3个工作日从基金财产中一次性支付给基金管理人，由基金管理人代付给销售机构。若遇法定节假日、休息日或不可抗力致使无法按时支付的，支付日期顺延。</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C类基金份额的销售服务费将专门用于本基金的推广、销售与基金份额持有人服务。</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（4）上述“（一）基金费用的种类”中第3－8项，第10－11项费用，根据有关法规及相应协议规定，按费用实际支出金额列入当期费用，由基金托管人从基金财产中支付。</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运用本基金的基金财产申购自身管理的基金的（ETF除外），应当通过直销渠道申购且不得收取申购费、赎回费（按照相关法规、基金招募说明书约定应当收取，并计入基金财产的赎回费用除外）、销售服务费（如有）等销售费用。</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（1）申购费</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（三）不列入基金费用的项目</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（四）实施侧袋机制期间的基金费用</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（五）基金税收</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本基金运作过程中涉及的各纳税主体，其纳税义务按国家税收法律、法规执行。基金财产投资的相关税收，由基金份额持有人承担，基金管理人或者其他扣缴义务人按照国家有关税收征收的规定代扣代缴。</w:t>
      </w:r>
    </w:p>
    <w:p w:rsidR="00B439CC" w:rsidRDefault="00145B8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11CA4" w:rsidRDefault="00145B85">
      <w:pPr>
        <w:pStyle w:val="1"/>
        <w:snapToGrid w:val="0"/>
        <w:spacing w:beforeLines="0" w:before="240" w:after="240"/>
        <w:rPr>
          <w:rFonts w:ascii="宋体" w:hAnsi="宋体"/>
          <w:szCs w:val="30"/>
        </w:rPr>
      </w:pPr>
      <w:bookmarkStart w:id="18" w:name="_Toc238542769"/>
      <w:r>
        <w:rPr>
          <w:rFonts w:ascii="Times New Roman" w:hAnsi="Times New Roman"/>
          <w:sz w:val="30"/>
        </w:rPr>
        <w:lastRenderedPageBreak/>
        <w:t>十五、基金的会计与审计</w:t>
      </w:r>
      <w:bookmarkEnd w:id="18"/>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（一）基金会计政策</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2、基金的会计年度为公历年度的1月1日至12月31日；基金首次募集的会计年度按如下原则：如果《基金合同》生效少于2个月，可以并入下一个会计年度披露；</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（二）基金的年度审计</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1、基金管理人聘请与基金管理人、基金托管人相互独立的符合《中华人民共和国证券法》规定的会计师事务所及其注册会计师对本基金的年度财务报表进行审计。</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3、基金管理人认为有充足理由更换会计师事务所，须通报基金托管人。更换会计师事务所需依照《信息披露办法》的规定在规定媒介公告。</w:t>
      </w:r>
    </w:p>
    <w:p w:rsidR="00B439CC" w:rsidRDefault="00145B8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11CA4" w:rsidRDefault="00145B85">
      <w:pPr>
        <w:pStyle w:val="1"/>
        <w:snapToGrid w:val="0"/>
        <w:spacing w:beforeLines="0" w:before="240" w:after="240"/>
        <w:rPr>
          <w:rFonts w:ascii="宋体" w:hAnsi="宋体"/>
          <w:szCs w:val="30"/>
        </w:rPr>
      </w:pPr>
      <w:bookmarkStart w:id="19" w:name="_Toc238542770"/>
      <w:r>
        <w:rPr>
          <w:rFonts w:ascii="Times New Roman" w:hAnsi="Times New Roman"/>
          <w:sz w:val="30"/>
        </w:rPr>
        <w:lastRenderedPageBreak/>
        <w:t>十六、基金的信息披露</w:t>
      </w:r>
      <w:bookmarkEnd w:id="19"/>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w:t>
      </w:r>
      <w:r w:rsidRPr="00BB248E">
        <w:rPr>
          <w:rFonts w:ascii="宋体" w:hAnsi="宋体" w:hint="eastAsia"/>
          <w:kern w:val="0"/>
          <w:sz w:val="24"/>
        </w:rPr>
        <w:t>本基金的信息披露应符合《基金法》、《运作办法》、《信息披露办法》、《流动性风险管理规定》、《基金合同》及其他有关规定。</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（二）信息披露义务人</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符合中国证监会规定条件的全国性报刊（以下简称“规定报刊”）及《信息披露办法》规定的互联网网站（以下简称“规定网站”）等媒介披露，并保证基金投资者能够按照《基金合同》约定的时间和方式查阅或者复制公开披露的信息资料。</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（三）本基金信息披露义务人承诺公开披露的基金信息，不得有下列行为：</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w:t>
      </w:r>
      <w:r w:rsidRPr="00BB248E">
        <w:rPr>
          <w:rFonts w:ascii="宋体" w:hAnsi="宋体" w:hint="eastAsia"/>
          <w:kern w:val="0"/>
          <w:sz w:val="24"/>
        </w:rPr>
        <w:t>本基金公开披露的信息应采用中文文本。如同时采用外文文本的，基金信息披露义务人应保证不同文本的内容一致。不同文本之间发生歧义的，以中文文本为准。</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（五）公开披露的基金信息</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（1）《基金合同》是界定《基金合同》当事人的各项权利、义务关系，明确基金份额持有人大会召开的规则及具体程序，说明基金产品的特性等涉及基金投资者重大利益的事项的法律文件。</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招募说明书。</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三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网站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基金管理人应当就基金份额发售的具体事宜编制基金份额发售公告，并在披露招募说明书的当日登载于规定媒介上。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基金管理人应当在收到中国证监会确认文件的次日在规定媒介上登载《基金合同》生效公告。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《基金合同》生效后，在开始办理基金份额申购或者赎回前，基金管理人应当至少每周在规定网站分别披露一次A类基金份额和C类基金份额所对应的基金份额净值和基金份额累计净值。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后的2个工作日内，通过规定网站、基金销售机构网站或者营业网点，分别披露开放日的A类基金份额和C类基金份额所对应的基金份额净值和基金份额累计净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基金管理人应当在不晚于半年度和年度最后一日后的2个工作日内，在规定网站披露半年度和年度最后一日A类基金份额和C类基金份额所对应的基金份额净值和基金份额累计净值。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规定网站上，并将年度报告提示性公告登载在规定报刊上。基金年度报告中的财务会计报告应当经过符合《中华人民共和国证券法》规定的会计师事务所审计。</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基金管理人应当在上半年结束之日起两个月内，编制完成基金中期报告，将中期报告登载在规定网站上，并将中期报告提示性公告登载在规定报刊上。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基金管理人应当在季度结束之日起15个工作日内，编制完成基金季度报告，将季度报告登载在规定网站上，并将季度报告提示性公告登载在规定报刊上。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7、临时报告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本基金发生重大事件，有关信息披露义务人应当依照《信息披露办法》的规定编制临时报告书，并登载在规定报刊和规定网站上。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w:t>
      </w:r>
      <w:r>
        <w:rPr>
          <w:rFonts w:ascii="宋体" w:hAnsi="宋体"/>
          <w:sz w:val="24"/>
        </w:rPr>
        <w:lastRenderedPageBreak/>
        <w:t>方式和费率发生变更；</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（22）基金管理人采用摆动定价机制进行估值；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（23）本基金增加或调整基金份额类别；</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（24）本基金推出新业务或服务；</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（25）《基金合同》生效后，连续30、40、45个工作日出现基金份额持有人数量不满200人或者基金资产净值低于5000万元情形，基金管理人应当发布提示性公告；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（26）基金信息披露义务人认为可能对基金份额持有人权益或者基金份额的价格产生重大影响的其他事项或中国证监会规定和基金合同约定的其他事项。</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10、实施侧袋机制期间的信息披露</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11、清算报告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合同终止的，基金管理人应当依法组织清算小组对基金财产进行清算并作出清算报告。清算报告应当经过符合《中华人民共和国证券法》规定的会计师事务所审计，并由律师事务所出具法律意见书。清算小组应当将清算报告登载在规定网站上，并将清算报告提示性公告登载在规定报刊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12、基金投资资产支持证券情况</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13、基金投资证券投资基金情况</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定期报告和招募说明书（更新）中应设立专门章节披露所持基金的相关情况并揭示相关风险：（1）投资策略、持仓情况、损益情况、净值披露时间等；（2）交易及持有基金产生的费用，包括申购费、赎回费、销售服务费、管理费、托管费等，在招募说明书（更新）中列明计算方法并举例说明；（3）持有的基金发生的重大影响事件，如转换运作方式、与其他基金合并、终止基金合同以及召开基金份额持有人大会等；（4）本基金投资于基金管理人以及基金管理人关联方所管理基金的情况。</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14、中国证监会规定的其他信息。</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（六）信息披露事务管理</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基金信息披露义务人公开披露基金信息，应当符合中国证监会相关基金信息披露内容与格式准则等法律法规的规定。</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相关基金信息进行复核、审查，并向基金管理人进行书面或电子确认。</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基金管理人、基金托管人应当在规定报刊中选择一家报刊披露本基金信息。基金管理人、基金托管人应当向中国证监会基金电子披露网站报送拟披露的基金信</w:t>
      </w:r>
      <w:r>
        <w:rPr>
          <w:rFonts w:ascii="宋体" w:hAnsi="宋体"/>
          <w:sz w:val="24"/>
        </w:rPr>
        <w:lastRenderedPageBreak/>
        <w:t>息，并保证相关报送信息的真实、准确、完整、及时。</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基金管理人、基金托管人除依法在规定媒介上披露信息外，还可以根据需要在其他公共媒介披露信息，但是其他公共媒介不得早于规定媒介披露信息，并且在不同媒介上披露同一信息的内容应当一致。</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（七）信息披露文件的存放与查阅</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依法必须披露的信息发布后，基金管理人、基金托管人应当按照相关法律法规规定将信息置备于各自办公场所，供社会公众查阅、复制。</w:t>
      </w:r>
    </w:p>
    <w:p w:rsidR="00B439CC" w:rsidRDefault="00145B8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11CA4" w:rsidRDefault="00145B85">
      <w:pPr>
        <w:pStyle w:val="1"/>
        <w:snapToGrid w:val="0"/>
        <w:spacing w:beforeLines="0" w:before="240" w:after="240"/>
        <w:rPr>
          <w:rFonts w:ascii="宋体" w:hAnsi="宋体"/>
          <w:szCs w:val="30"/>
        </w:rPr>
      </w:pPr>
      <w:bookmarkStart w:id="20" w:name="_Toc238542771"/>
      <w:r>
        <w:rPr>
          <w:rFonts w:ascii="Times New Roman" w:hAnsi="Times New Roman"/>
          <w:sz w:val="30"/>
        </w:rPr>
        <w:lastRenderedPageBreak/>
        <w:t>十七、侧袋机制</w:t>
      </w:r>
      <w:bookmarkEnd w:id="20"/>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1、本基金实施侧袋机制的，管理费和托管费按主袋账户基金资产净值作为基数计提。</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145B85"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B11CA4" w:rsidRDefault="00145B85">
      <w:pPr>
        <w:pStyle w:val="1"/>
        <w:snapToGrid w:val="0"/>
        <w:spacing w:beforeLines="0" w:before="240" w:after="240"/>
        <w:rPr>
          <w:rFonts w:ascii="宋体" w:hAnsi="宋体"/>
          <w:szCs w:val="30"/>
        </w:rPr>
      </w:pPr>
      <w:bookmarkStart w:id="21" w:name="_Toc238542772"/>
      <w:r>
        <w:rPr>
          <w:rFonts w:ascii="Times New Roman" w:hAnsi="Times New Roman"/>
          <w:sz w:val="30"/>
        </w:rPr>
        <w:lastRenderedPageBreak/>
        <w:t>十八、风险揭示</w:t>
      </w:r>
      <w:bookmarkEnd w:id="21"/>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后扣除申购申请份额总数及基金转换中转入申请份额总数后的余额）超过上一开放日基金总份额的百分之十时，投资人将可能无法及时赎回持有的全部基金份额。</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型基金、混合型基金、债券型基金、货币市场基金、基金中基金等不同类型，基金中基金进一步分为股票型基金中基金、混合型基金中基金、债券型基金中基金、货币型基金中基金等不同类型，投资人投资不同类型的基金将获得不同的收益预期，也将承担不同程度的风险。一般来说，基金的收益预期越高，投资人承担的风险也越大。</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基金管理人承诺以诚实信用、谨慎勤勉的原则管理和运用基金资产，但不保证投资于本基金一定盈利，也不保证最低收益。基金管理人管理的其他基金的业绩不</w:t>
      </w:r>
      <w:r>
        <w:rPr>
          <w:rFonts w:ascii="宋体" w:hAnsi="宋体"/>
          <w:sz w:val="24"/>
        </w:rPr>
        <w:lastRenderedPageBreak/>
        <w:t>构成对本基金业绩表现的保证。基金管理人提醒投资人基金投资的“买者自负”原则，在做出投资决策后，基金运营状况与基金净值变化引致的投资风险，由投资人自行负担。</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（一）市场风险</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（二）管理风险</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（三）流动性风险</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本基金属于开放式基金，但设置最短持有期，基金份额持有人持有的每份基金</w:t>
      </w:r>
      <w:r>
        <w:rPr>
          <w:rFonts w:ascii="宋体" w:hAnsi="宋体"/>
          <w:sz w:val="24"/>
        </w:rPr>
        <w:lastRenderedPageBreak/>
        <w:t>份额最短持有期限为一年，对于满足持有期限的投资人，基金管理人在每个开放日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但对于每份基金份额，基金份额持有人仅可在该份额最短持有期限届满后申请赎回，具体办理时间为上海证券交易所、深圳证券交易所的正常交易日的交易时间，但基金管理人根据法律法规、中国证监会的要求或基金合同的规定公告暂停申购、赎回时除外。基金管理人自基金合同生效之日起不超过3个月开始办理申购，具体业务办理时间在申购开始公告中规定。基金管理人自基金合同生效之日起一年后年度对日（含该日）开始办理赎回，具体业务办理时间在赎回开始公告中规定。</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份额持有人多次认购或申购本基金导致持有多笔不同期限的本基金份额时，基金份额持有人在赎回时需特别关注申请赎回的基金份额数量，若申请赎回的基金份额超过了该份额持有人持续持有超过一年的基金份额数量，则基金份额持有人的赎回申请将全部被予以拒绝。基金份额持有人需承担赎回申请失败的风险。</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基金中基金，投资于公开募集证券投资基金的基金份额的资产不低于基金资产的80%，主要投资对象为具有良好流动性的金融工具，同时本基金基于分散投资的原则在行业和个券方面未有高集中度的特征，综合评估在正常市场环境下本基金的流动性风险适中。</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w:t>
      </w:r>
      <w:r>
        <w:rPr>
          <w:rFonts w:ascii="宋体" w:hAnsi="宋体"/>
          <w:sz w:val="24"/>
        </w:rPr>
        <w:lastRenderedPageBreak/>
        <w:t>平对待的前提下，可实施备用的流动性风险管理工具，包括但不限于延期办理巨额赎回申请、暂停接受赎回申请、延缓支付赎回款项、收取短期赎回费、摆动定价、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（四）信用风险</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基金在交易过程中发生交收违约，或者基金所投资债券之发行人出现违约、拒绝支付到期本息，都可能导致基金资产损失和收益变化，从而产生风险。</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（五）本基金的特有风险</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为混合型基金中基金，本基金投资于经中国证监会依法核准或注册的公开募集证券投资基金的基金份额的资产不低于本基金资产的80%；投资于股票（含存托凭证）、股票型基金（包括股票指数基金）和混合型基金（指基金合同中约定股票投资占基金资产的比例为60%以上或者最近四个季度披露的股票投资占基</w:t>
      </w:r>
      <w:r>
        <w:rPr>
          <w:rFonts w:ascii="宋体" w:hAnsi="宋体"/>
          <w:sz w:val="24"/>
        </w:rPr>
        <w:lastRenderedPageBreak/>
        <w:t>金资产的比例均在60%以上的混合型基金）的资产合计占基金资产的比例为0%-40%。因此本基金所持有的基金的业绩表现、持有基金的基金管理人水平等因素将影响到本基金的基金业绩表现。</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为基金中基金，由于本基金所持有的相当比例的基金暂停估值，导致基金管理人无法计算当日本基金资产净值；或者由于本基金持有的相当比例的基金份额或适合本基金投资的基金份额拒绝或暂停申购、暂停上市或二级市场交易停牌、基金管理人无法找到其他合适的可替代的基金品种，或其他可能对本基金业绩产生负面影响的情形，本基金可能拒绝或暂停申购业务。</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为基金中基金，由于本基金所持有的相当比例的基金暂停估值，导致基金管理人无法计算当日本基金资产净值；或者由于本基金持有的相当比例的基金份额拒绝或暂停赎回、暂停上市或二级市场交易停牌、延期办理赎回、延期支付赎回款项，或其他可能对本基金业绩产生负面影响的情形，本基金可能暂停赎回或延缓支付赎回款项。</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为基金中基金，本基金管理人运用本基金的基金财产申购自身管理的基金的（ETF除外），应当通过直销渠道申购且不得收取申购费、赎回费（按照相关法规、基金招募说明书约定应当收取，并计入基金财产的赎回费用除外）、销售服务费（如有）等销售费用。但如果本基金管理人运用本基金的基金财产申购非自身管理的基金的，将会承担本基金以及本基金所投资或持有基金份额的相关费用，本基金对上述费用的支付将对收益水平造成影响。</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为基金中基金，本基金可能投资于封闭运作基金、定期开放基金等流通受限基金。本基金投资流动受限基金将面临所投资基金的流动性风险，因此可能在本基金需要变现资产时，受流动性所限，本基金无法卖出所持有的流通受限基金，由此可能给基金净值带来不利影响或损失。</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6、本基金为基金中基金，本基金可投资于商品基金，因此将间接承担商品基金可能面临的商品价格波动风险、投资商品期货合约的风险、盯市风险等商品投资风险。</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份额持有人持有的每份基金份额最短持有期限为一年，在最短持有期限内该份基金份额不可赎回，自最短持有期限届满的下一工作日起（含该日）可赎回。对于每笔认购的基金份额而言，最短持有期限自基金合同生效之日起（含该日）至一年后年度对日的前一日；对于每笔申购的基金份额而言，最短持有期限自</w:t>
      </w:r>
      <w:r>
        <w:rPr>
          <w:rFonts w:ascii="宋体" w:hAnsi="宋体"/>
          <w:sz w:val="24"/>
        </w:rPr>
        <w:lastRenderedPageBreak/>
        <w:t>该笔申购份额确认日（含该日）至一年后年度对日的前一日。因此，对于基金份额持有人而言，存在投资本基金后一年内无法赎回的风险。</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8、本基金可投资创业板股票，创业板个股上市后的前五个交易日不设价格涨跌幅限制，第六个交易日开始涨跌幅限制比例为20%。</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（六）投资资产支持证券的特定风险</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（七）投资流通受限证券的特定风险</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（八）基金合同提前终止风险</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连续50个工作日出现基金份额持有人数量不满200人或基金资产净值低于5000万元情形时，基金合同终止，不需召开基金份额持有人大会。</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（九）投资科创板股票的特定风险</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科创板个股上市后的前五个交易日无涨跌停限制，其后涨跌幅限制为20%，科创板股票上市首日即可作为融资融券标的，可能导致较大的股票价格波动。</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2、流动性风险</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科创板整体投资门槛较高，二级市场上个人投资者参与度相对较低，机构持有个股大量流通盘导致个股流动性较差，基金组合存在无法及时变现及其他相关流动性风险。</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科创板退市制度较主板更为严格，且不再设置暂停上市、恢复上市和重新上市环节，上市公司退市风险更大。</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（十）投资存托凭证的特定风险</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（十一）本基金法律文件风险收益特征表述与销售机构基金风险评价可能不一致的风险</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w:t>
      </w:r>
      <w:r>
        <w:rPr>
          <w:rFonts w:ascii="宋体" w:hAnsi="宋体"/>
          <w:sz w:val="24"/>
        </w:rPr>
        <w:lastRenderedPageBreak/>
        <w:t>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（十二）其他风险</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145B8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11CA4" w:rsidRDefault="00145B85">
      <w:pPr>
        <w:pStyle w:val="1"/>
        <w:snapToGrid w:val="0"/>
        <w:spacing w:beforeLines="0" w:before="240" w:after="240"/>
        <w:rPr>
          <w:rFonts w:ascii="宋体" w:hAnsi="宋体"/>
          <w:szCs w:val="30"/>
        </w:rPr>
      </w:pPr>
      <w:bookmarkStart w:id="22" w:name="_Toc238542773"/>
      <w:r>
        <w:rPr>
          <w:rFonts w:ascii="Times New Roman" w:hAnsi="Times New Roman"/>
          <w:sz w:val="30"/>
        </w:rPr>
        <w:lastRenderedPageBreak/>
        <w:t>十九、基金合同的变更、终止与基金财产的清算</w:t>
      </w:r>
      <w:bookmarkEnd w:id="22"/>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（一）《基金合同》的变更</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（二）《基金合同》的终止事由</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3、连续50个工作日出现基金份额持有人数量不满200人或者基金资产净值低于5000万元情形的，基金合同终止，不需召开基金份额持有人大会；</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（三）基金财产的清算</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（3）对基金财产进行估值和变现；</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（四）清算费用</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（五）基金财产清算剩余资产的分配</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（六）基金财产清算的公告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（七）基金财产清算账册及文件的保存</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B439CC" w:rsidRDefault="00145B8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11CA4" w:rsidRDefault="00145B85">
      <w:pPr>
        <w:pStyle w:val="1"/>
        <w:snapToGrid w:val="0"/>
        <w:spacing w:beforeLines="0" w:before="240" w:after="240"/>
        <w:rPr>
          <w:rFonts w:ascii="宋体" w:hAnsi="宋体"/>
          <w:szCs w:val="30"/>
        </w:rPr>
      </w:pPr>
      <w:bookmarkStart w:id="23" w:name="_Toc238542774"/>
      <w:r>
        <w:rPr>
          <w:rFonts w:ascii="Times New Roman" w:hAnsi="Times New Roman"/>
          <w:sz w:val="30"/>
        </w:rPr>
        <w:lastRenderedPageBreak/>
        <w:t>二十、基金合同内容摘要</w:t>
      </w:r>
      <w:bookmarkEnd w:id="23"/>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（一）基金份额持有人、基金管理人和基金托管人的权利与义务</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根据《基金法》、《运作办法》及其他有关规定，基金管理人的权利包括但不限于：</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12）依照法律法规为基金的利益对被投资公司行使股东权利，为基金的利益行使因基金财产投资所产生的权利；</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15）选择、更换律师事务所、会计师事务所、证券经纪商或其他为基金提供服务的外部机构；</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16）在符合有关法律、法规的前提下，制定和调整有关基金认购、申购、赎</w:t>
      </w:r>
      <w:r>
        <w:rPr>
          <w:rFonts w:ascii="宋体" w:hAnsi="宋体"/>
          <w:sz w:val="24"/>
        </w:rPr>
        <w:lastRenderedPageBreak/>
        <w:t>回、转换等的业务规则；</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17）以基金管理人的名义，参与本基金持有的基金所召开的基金份额持有人大会；</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18）法律法规及中国证监会规定的和《基金合同》约定的其他权利。</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根据《基金法》、《运作办法》及其他有关规定，基金管理人的义务包括但不限于：</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5）建立健全内部风险控制、监察与稽核、财务管理及人事管理等制度，保证所管理的基金财产和基金管理人的财产相互独立，对所管理的不同基金分别管理，分别记账，进行证券、基金投资；</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w:t>
      </w:r>
      <w:r>
        <w:rPr>
          <w:rFonts w:ascii="宋体" w:hAnsi="宋体"/>
          <w:sz w:val="24"/>
        </w:rPr>
        <w:lastRenderedPageBreak/>
        <w:t>配基金收益；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14）按规定受理申购与赎回申请，及时、足额支付赎回款项；</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16）按规定保存基金财产管理业务活动的会计账册、报表、记录和其他相关资料不低于法律法规规定的最低期限；</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根据《基金法》、《运作办法》及其他有关规定，基金托管人的权利包括但不限</w:t>
      </w:r>
      <w:r>
        <w:rPr>
          <w:rFonts w:ascii="宋体" w:hAnsi="宋体"/>
          <w:sz w:val="24"/>
        </w:rPr>
        <w:lastRenderedPageBreak/>
        <w:t>于：</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1）自《基金合同》生效之日起，依法律法规和《基金合同》的规定安全保管基金财产；</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4）根据相关市场规则，为基金开设资金账户、证券账户、基金账户等投资所需账户、为基金办理基金、证券交易资金清算；</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根据《基金法》、《运作办法》及其他有关规定，基金托管人的义务包括但不限于：</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6）按规定开设基金财产的资金账户、证券账户、基金账户等投资所需账户，按照《基金合同》的约定，根据基金管理人的投资指令，及时办理清算、交割事宜；</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8）复核、审查基金管理人计算的基金资产净值、基金份额净值、基金份额申购、赎回价格；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11）保存基金托管业务活动的记录、账册、报表和其他相关资料不低于法律法规规定的最低期限；</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12）从基金管理人或其委托的登记机构处接收并保存基金份额持有人名册；</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基金投资者持有本基金基金份额的行为即视为对《基金合同》的承认和接受，基金投资者自依据《基金合同》取得本基金基金份额，即成为本基金份额持有人和</w:t>
      </w:r>
      <w:r>
        <w:rPr>
          <w:rFonts w:ascii="宋体" w:hAnsi="宋体"/>
          <w:sz w:val="24"/>
        </w:rPr>
        <w:lastRenderedPageBreak/>
        <w:t>《基金合同》的当事人，直至其不再持有本基金的基金份额。基金份额持有人作为《基金合同》当事人并不以在《基金合同》上书面签章或签字为必要条件。</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同一类别每份基金份额具有同等的合法权益。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根据《基金法》、《运作办法》及其他有关规定，基金份额持有人的权利包括但不限于：</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3）依法并按照基金合同和招募说明书的规定转让或者申请赎回其持有的基金份额；</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根据《基金法》、《运作办法》及其他有关规定，基金份额持有人的义务包括但不限于：</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4）交纳基金认购、申购款项及法律法规和《基金合同》所规定的费用；</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w:t>
      </w:r>
      <w:r>
        <w:rPr>
          <w:rFonts w:ascii="宋体" w:hAnsi="宋体"/>
          <w:sz w:val="24"/>
        </w:rPr>
        <w:lastRenderedPageBreak/>
        <w:t>则；</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（二）基金份额持有人大会召集、议事及表决的程序和规则</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（1）当出现或需要决定下列事由之一的，应当召开基金份额持有人大会，法律法规、基金合同和中国证监会另有规定的除外：</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5）调整基金管理人、基金托管人的报酬标准和提高销售服务费；</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（2）在法律法规规定和《基金合同》约定的范围内且对基金份额持有人利益无实质性不利影响的前提下，以下情况可由基金管理人和基金托管人协商后修改，</w:t>
      </w:r>
      <w:r>
        <w:rPr>
          <w:rFonts w:ascii="宋体" w:hAnsi="宋体"/>
          <w:sz w:val="24"/>
        </w:rPr>
        <w:lastRenderedPageBreak/>
        <w:t>不需召开基金份额持有人大会：</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1）法律法规要求增加的基金费用的收取；</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2）在法律法规和《基金合同》规定的范围内调整本基金的申购费率、调低赎回费率、调低基金销售服务费、在对现有基金份额持有人利益无实质性不利影响的前提下变更收费方式；</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3）因相应的法律法规、登记机构的相关业务规则发生变动而应当对《基金合同》进行修改；</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4）对《基金合同》的修改对基金份额持有人利益无实质性不利影响或修改不涉及《基金合同》当事人权利义务关系发生重大变化；</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5）在法律法规允许的情况下，且在对现有基金份额持有人利益无实质性不利影响的前提下，基金推出新业务或服务；</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6）在符合法律法规及本基金合同规定、并且对基金份额持有人利益无实质不利影响的前提下，调整本基金份额类别的设置；</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7）在不违反法律法规及对基金份额持有人利益无实质性不利影响的前提下，基金管理人、登记机构、销售机构调整有关基金认购、申购、赎回、转换、收益分配、非交易过户、转托管等业务的规则；</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8）按照法律法规和《基金合同》规定不需召开基金份额持有人大会的其他情形。</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（3）基金合同生效后的存续期内，若连续50个工作日出现基金份额持有人数量不满200人或者基金资产净值低于5000万元情形，基金合同终止，不需召开基金份额持有人大会。</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w:t>
      </w:r>
      <w:r>
        <w:rPr>
          <w:rFonts w:ascii="宋体" w:hAnsi="宋体"/>
          <w:sz w:val="24"/>
        </w:rPr>
        <w:lastRenderedPageBreak/>
        <w:t>当配合；</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（1）召开基金份额持有人大会，召集人应于会议召开前30日，在规定媒介公告。基金份额持有人大会通知应至少载明以下内容：</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w:t>
      </w:r>
      <w:r>
        <w:rPr>
          <w:rFonts w:ascii="宋体" w:hAnsi="宋体"/>
          <w:sz w:val="24"/>
        </w:rPr>
        <w:lastRenderedPageBreak/>
        <w:t>方式和联系人、表决意见寄交的截止时间和收取方式。</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基金份额持有人大会可通过现场开会方式、通讯开会方式或法律法规、监管机构允许的其他方式召开，会议的召开方式由会议召集人确定。</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（2）通讯开会。通讯开会系指基金份额持有人将其对表决事项的投票以会议通知载明的形式或基金合同约定的其他方式在表决截止日以前送达至召集人指定的地址或系统。</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基金份额持有人大会不得对未事先公告的议事内容进行表决。</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或代理人作为该次基金份额持有人大会的主持人。基金管理人和基金托管人拒不出席或主持基金份额持有人大会，不影响基金份额持有人大会作出的决议的效力。</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w:t>
      </w:r>
      <w:r>
        <w:rPr>
          <w:rFonts w:ascii="宋体" w:hAnsi="宋体"/>
          <w:sz w:val="24"/>
        </w:rPr>
        <w:lastRenderedPageBreak/>
        <w:t>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基金份额持有人大会的决议，召集人应当自通过之日起5日内报中国证监会备案。</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基金份额持有人大会的决议自表决通过之日起生效。法律法规另有规定的，从</w:t>
      </w:r>
      <w:r>
        <w:rPr>
          <w:rFonts w:ascii="宋体" w:hAnsi="宋体"/>
          <w:sz w:val="24"/>
        </w:rPr>
        <w:lastRenderedPageBreak/>
        <w:t>其规定。</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基金份额持有人大会决议自生效之日起依照《信息披露办法》的规定在规定媒介上公告。如果采用通讯方式进行表决，在公告基金份额持有人大会决议时，必须将公证书全文、公证机构、公证员姓名等一同公告。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的基金召开基金份额持有人大会时，本基金的基金管理人应当代表其份额持有人的利益，根据本基金合同的约定参与所持有基金的份额持有人大会，并在遵循本基金基金份额持有人利益优先原则的前提下行使相关投票权利。基金管理人需将表决意见事先征求基金托管人的意见，并将表决意见在定期报告中予以披露。</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法律法规对于本基金参与本基金持有的基金召开基金份额持有人大会的程序或要求另有规定的，从其规定。</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10、实施侧袋机制期间基金份额持有人大会的特殊约定</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w:t>
      </w:r>
      <w:r>
        <w:rPr>
          <w:rFonts w:ascii="宋体" w:hAnsi="宋体"/>
          <w:sz w:val="24"/>
        </w:rPr>
        <w:lastRenderedPageBreak/>
        <w:t>与基金份额持有人大会投票；</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部分对基金份额持有人大会召开事由、召开条件、议事程序、表决条件等规定，凡是直接引用法律法规的部分，如将来法律法规修改导致相关内容被取消或变更的，基金管理人经与基金托管人协商一致并提前公告后，可直接对本部分内容进行修改和调整，无需召开基金份额持有人大会审议。</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（三）基金合同解除和终止的事由、程序</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（3）连续50个工作日出现基金份额持有人数量不满200人或者基金资产净值低于5000万元情形的，基金合同终止，不需召开基金份额持有人大会；</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3、基金财产的清算</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w:t>
      </w:r>
      <w:r>
        <w:rPr>
          <w:rFonts w:ascii="宋体" w:hAnsi="宋体"/>
          <w:sz w:val="24"/>
        </w:rPr>
        <w:lastRenderedPageBreak/>
        <w:t>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（四）争议解决方式</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上海国际经济贸易仲裁委员会，按照上海国际经济贸易仲裁委员会届时有效的仲裁规则进行仲裁。仲裁地点为上海市。仲裁裁决是终局的，对各方当事人均有约束力，除非仲裁裁决另有规定，仲裁费用由败诉方承担。</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《基金合同》受中国法律（不含港澳台地区法律）管辖。</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（五）基金合同存放地和投资者取得基金合同的方式</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《基金合同》正本一式六份，除上报有关监管机构二份外，基金管理人、基金托管人各持有二份，每份具有同等的法律效力。</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145B8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11CA4" w:rsidRDefault="00145B85">
      <w:pPr>
        <w:pStyle w:val="1"/>
        <w:snapToGrid w:val="0"/>
        <w:spacing w:beforeLines="0" w:before="240" w:after="240"/>
        <w:rPr>
          <w:rFonts w:ascii="宋体" w:hAnsi="宋体"/>
          <w:szCs w:val="30"/>
        </w:rPr>
      </w:pPr>
      <w:bookmarkStart w:id="24" w:name="_Toc238542775"/>
      <w:r>
        <w:rPr>
          <w:rFonts w:ascii="Times New Roman" w:hAnsi="Times New Roman"/>
          <w:sz w:val="30"/>
        </w:rPr>
        <w:lastRenderedPageBreak/>
        <w:t>二十一、托管协议的内容摘要</w:t>
      </w:r>
      <w:bookmarkEnd w:id="24"/>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（一）托管协议当事人</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1、基金管理人：交银施罗德基金管理有限公司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批准设立机关及批准设立文号：中国证监会证监基金字[2005]128号</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2、基金托管人：上海浦东发展银行股份有限公司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办公地址：上海市中山东一路12号</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法定代表人：郑杨</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成立日期：1992年10月19日</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基金托管业务资格批准机关：中国证监会</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基金托管业务资格文号：证监基金字[2003]105号</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组织形式：股份有限公司（上市）</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注册资本：人民币293.52亿元</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经营期限：永久存续</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（二）基金托管人对基金管理人的业务监督和核查</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1、基金托管人对基金管理人的投资行为行使监督权</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1.基金托管人根据有关法律法规的规定和《基金合同》的约定，对下述基金投资范围、投资对象进行监督。</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本基金将投资于以下金融工具：</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经中国证监会依法核准或注册的公开募集证券投资基金（含ETF和LOF、香港互认基金，不含QDII基金）、国内依法发行上市的股票（含创业板及其他经中国证监会核准或注册上市的股票、存托凭证）、债券（含国债、央行票据、金融债券、政府支持债券、政府支持机构</w:t>
      </w:r>
      <w:r>
        <w:rPr>
          <w:rFonts w:ascii="宋体" w:hAnsi="宋体"/>
          <w:sz w:val="24"/>
        </w:rPr>
        <w:lastRenderedPageBreak/>
        <w:t>债券、地方政府债券、企业债券、公司债券、可转换债券（含可分离交易可转换债券）、可交换债券、次级债券、中期票据、短期融资券、超短期融资券等）、资产支持证券、货币市场工具、债券回购、同业存单、银行存款（含协议存款、定期存款及其他银行存款）以及法律法规或中国证监会允许基金投资的其他金融工具。</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已明确约定基金投资风格或证券选择标准的，基金管理人应按照基金托管人要求的格式提供投资品种，以便基金托管人运用相关技术系统，对基金实际投资是否符合《基金合同》关于证券选择标准的约定进行监督，对存在疑义的事项进行核查。</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本基金不得投资于相关法律、法规、部门规章及《基金合同》禁止投资的投资工具。</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2.基金托管人根据有关法律法规的规定及《基金合同》的约定对下述基金投融资比例进行监督：</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（1）按法律法规的规定及《基金合同》的约定，本基金的投资资产配置比例为：</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本基金投资于经中国证监会依法核准或注册的公开募集证券投资基金的基金份额的资产不低于本基金资产的80%；投资于股票（含存托凭证）、股票型基金（包括股票指数基金）和混合型基金（指基金合同中约定股票投资占基金资产的比例为60%以上或者最近四个季度披露的股票投资占基金资产的比例均在60%以上的混合型基金）的资产合计占基金资产的比例为0%-40%；本基金持有的现金或者到期日在一年以内的政府债券的比例合计不低于基金资产净值的5%，其中现金不包括结算备付金、存出保证金、应收申购款等。</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因基金规模或市场变化等因素导致投资组合不符合上述规定的，基金管理人应在合理的期限内调整基金的投资组合，以符合上述比例限定。法律法规另有规定时，从其规定。</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（2）根据法律法规的规定及《基金合同》的约定，本基金投资组合遵循以下投资限制：</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本基金投资于经中国证监会依法核准或注册的公开募集证券投资基金的基金份额的资产不低于本基金资产的80%；投资于股票（含存托凭证）、股票型基金（包括股票指数基金）和混合型基金（指基金合同中约定股票投资占基金资产的比例为60%以上或者最近四个季度披露的股票投资占基金资产的比例均在60%以上的混合型基金）的资产合计占基金资产的比例为0%-40%；投资于货币市场基金的比例不得超过基金资产的15%；</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2）本基金持有的现金或者到期日在一年以内的政府债券的比例合计不低于基金资产净值的5%，其中现金不包括结算备付金、存出保证金、应收申购款等；</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3）本基金持有单只基金的市值，不得高于本基金资产净值的20%，且不得持有其他基金中基金；</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4）本基金管理人管理的全部基金（除ETF联接基金外）持有单只基金不得超过被投资基金净资产的20%，被投资基金净资产规模以最近定期报告披露的规模为准；</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5）本基金不得持有具有复杂、衍生品性质的基金份额，包括分级基金和中国证监会认定的其他基金份额；</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6）本基金投资其他基金时，被投资基金的运作期限不少于1年、最近定期报告披露的基金净资产应当不低于1亿元；</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7）本基金投资于封闭运作基金、定期开放基金等流通受限基金的，其公允价值不得超过本基金资产净值的10%；</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8）本基金持有一家公司发行的证券，其市值不超过基金资产净值的10%；</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9）本基金管理人管理的全部基金持有一家公司发行的证券，不超过该证券的10%，完全按照有关指数的构成比例进行证券投资的基金品种可以不受此条款规定的比例限制；</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11）本基金主动投资于流动性受限资产的市值合计不得超过本基金资产净值的15%；因证券市场波动、上市公司股票停牌、基金规模变动等基金管理人之外的因</w:t>
      </w:r>
      <w:r>
        <w:rPr>
          <w:rFonts w:ascii="宋体" w:hAnsi="宋体"/>
          <w:sz w:val="24"/>
        </w:rPr>
        <w:lastRenderedPageBreak/>
        <w:t>素致使基金不符合该比例限制的，基金管理人不得主动新增流动性受限资产的投资；</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12）本基金与私募类证券资管产品及中国证监会认定的其他主体为交易对手开展逆回购交易的，可接受质押品的资质要求应当与基金合同约定的投资范围保持一致；</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13）本基金投资于同一原始权益人的各类资产支持证券的比例，不得超过基金资产净值的10%；</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14）本基金持有的全部资产支持证券，其市值不得超过基金资产净值的20%；</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15）本基金持有的同一（指同一信用级别）资产支持证券的比例，不得超过该资产支持证券规模的10%；</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16）本基金管理人管理的全部基金投资于同一原始权益人的各类资产支持证券，不得超过其各类资产支持证券合计规模的10%；</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17）本基金应投资于信用级别评级为BBB以上（含BBB）的资产支持证券。基金持有资产支持证券期间，如果其信用等级下降、不再符合投资标准，应在评级报告发布之日起3个月内予以全部卖出；</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18）基金财产参与股票发行申购，本基金所申报的金额不超过本基金的总资产，本基金所申报的股票数量不超过拟发行股票公司本次发行股票的总量；</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19）本基金进入全国银行间同业市场进行债券回购的资金余额不得超过基金资产净值的40%，进入全国银行间同业市场进行债券回购的最长期限为1年，债券回购到期后不得展期；</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20）本基金资产总值不超过基金资产净值的140%；</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21）本基金投资存托凭证的比例限制依照境内上市交易的股票执行；</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22）法律法规及中国证监会规定的和《基金合同》约定的其他投资限制。</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证券市场波动、证券发行人合并、本基金规模变动、本基金所投资的基金发生流动性限制、暂停申购、赎回或二级市场交易停牌等基金管理人之外的因素致使本基金投资比例不符合上述第3）项、第4）项规定投资比例的，基金管理人应当在20个交易日内进行调整；对于第2）项、第3）项、第4）项、第11）项、第12）项及第17）项以外的其他情形，基金管理人应当在10个交易日内进行调整，但中国证监会规定的特殊情形除外。法律法规另有规定的，从其规定。</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w:t>
      </w:r>
      <w:r>
        <w:rPr>
          <w:rFonts w:ascii="宋体" w:hAnsi="宋体"/>
          <w:sz w:val="24"/>
        </w:rPr>
        <w:lastRenderedPageBreak/>
        <w:t>金合同的有关约定。在上述期间内，本基金的投资范围、投资策略应当符合基金合同的约定。基金托管人对基金的投资的监督与检查自基金合同生效之日起开始。</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对上述指标的监督义务，仅限于监督由基金管理人管理且由托管人托管的全部公募基金是否符合上述比例限制。《基金法》及其他有关法律法规或监管部门取消上述限制的，如适用于本基金，基金管理人在履行适当程序后，则本基金投资不再受相关限制。</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基金管理人应在出现可预见资产规模大幅变动的情况下，至少提前2个工作日正式向基金托管人发函说明基金可能的变动规模和公司应对措施，便于基金托管人实施交易监督。</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3.基金托管人根据有关法律法规的规定及《基金合同》的约定对下述基金投资禁止行为进行监督：</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根据法律法规的规定及《基金合同》的约定，本基金禁止从事下列行为：</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（4）向其基金管理人、基金托管人出资；</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（5）从事内幕交易、操纵证券交易价格及其他不正当的证券交易活动；</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（6）法律、行政法规和中国证监会规定禁止的其他活动。</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如法律、行政法规或监管部门取消或变更上述禁止性规定，如适用于本基金，基金管理人在履行适当程序后可不受上述规定的限制。</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4.基金托管人依据有关法律法规的规定和《基金合同》的约定对于基金关联投资限制进行监督。</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w:t>
      </w:r>
      <w:r>
        <w:rPr>
          <w:rFonts w:ascii="宋体" w:hAnsi="宋体"/>
          <w:sz w:val="24"/>
        </w:rPr>
        <w:lastRenderedPageBreak/>
        <w:t>露。重大关联交易应提交基金管理人董事会审议，并经过三分之二以上的独立董事通过。基金管理人董事会应至少每半年对关联交易事项进行审查。</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基金合同》有关于基金从事关联交易的规定，基金管理人和基金托管人事先相互提供与本机构有控股关系的股东、与本机构有其他重大利害关系的公司名单及有关关联方发行的证券清单，加盖公章并书面提交。基金管理人有责任确保其向基金托管人提供的关联交易名单的真实性、准确性、完整性，并负责及时将更新后的名单发送给基金托管人。基金管理人的关联方名单变更后基金管理人应及时发送基金托管人，经基金托管人确认后，新的关联交易名单开始生效。基金托管人仅按基金管理人提供的基金关联方名单为限，进行监督。如果基金托管人在运作中严格遵循了监督流程，基金管理人仍违规进行关联交易，并造成基金资产损失的，由基金管理人承担责任。</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5.基金托管人依据有关法律法规的规定和《基金合同》的约定对基金管理人参与银行间债券市场进行监督。</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基金托管人根据基金管理人提供的银行间债券市场交易对手名单进行监督。</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6.基金托管人依据有关法律法规的规定和《基金合同》的约定，对基金银行存款业务进行监督。</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加强对基金投资银行存款风险的评估与研究，严格测算与控制投资银行存款的风险敞口，针对不同类型存款银行建立相关投资限制制度。对于基金投资的银行存款，由于存款银行发生信用风险事件而造成损失时，如果基金托管人在运作过程中遵循有关法律法规的规定和《基金合同》的约定监督流程，则对于由于存款银行信用风险引起的损失，不承担赔偿责任。</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7.基金托管人对基金投资流通受限证券的监督</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如下所指“流通受限证券”与本协议以及基金合同所指“流动性受限资产”定义存在不同。就流动性受限资产定义，请参照基金合同的“第二部分 释义”部分。</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投资流通受限证券，应事先根据中国证监会相关规定，明确基金投资流通受限证券的比例，制订严格的投资决策流程和风险控制制度，防范流动性风险、法律风险和操作风险等各种风险。基金托管人对基金管理人是否遵守相关制</w:t>
      </w:r>
      <w:r>
        <w:rPr>
          <w:rFonts w:ascii="宋体" w:hAnsi="宋体"/>
          <w:sz w:val="24"/>
        </w:rPr>
        <w:lastRenderedPageBreak/>
        <w:t>度、流动性风险处置预案以及相关投资额度和比例等的情况进行监督。</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的流通受限证券包括经中国证监会批准的非公开发行股票、公开发行股票网下配售部分等在发行时明确一定期限锁定期的可交易证券，不包括由于发布重大消息或其他原因而临时停牌的证券、已发行未上市证券、回购交易中的质押券等流通受限证券。本基金不投资有锁定期但锁定期不明确的证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投资非公开发行股票，应制订流动性风险处置预案并经其董事会批准。风险处置预案应包括但不限于因投资流通受限证券需要解决的基金投资比例限制失调、基金流动性困难以及相关损失等问题的应对解决措施，以及有关异常情况的处置。基金管理人应在首次投资流通受限证券前向基金托管人提供基金投资非公开发行股票的相关流动性风险处置预案。</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对本基金投资流通受限证券的流动性风险负责，确保对相关风险采取积极有效的措施，在合理的时间内有效解决基金运作的流动性问题。对本基金因投资流通受限证券导致的流动性风险，基金托管人不承担任何责任。如因基金管理人原因导致本基金出现损失的，基金托管人不承担任何责任。</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应在基金投资非公开发行股票后两个交易日内，在中国证监会规定媒介披露所投资非公开发行股票的名称、数量、总成本、账面价值，以及总成本和账面价值占基金资产净值的比例、锁定期等信息。</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关基金投资的流通受限证券应保证登记存管在相关基金名下，基金管理人负责相关工作的落实和协调，并保证基金托管人能够正常查询。如因流通受限证券的登记存管不能保证基金托管人正常履行资产保管责任，有关此项基金资产存管的责任由基金管理人承担。</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未遵守相关制度、流动性风险处置方案以及投资额度和比例限制要求，导致基金出现风险使基金托管人承担连带赔偿责任的，若基金托管人此前已切实履行监督职责的，基金管理人应赔偿基金托管人由此遭受的损失。</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非公开发行股票，基金管理人应至少于执行投资指令之前两个工作日将有关资料书面提交基金托管人，并保证向基金托管人提供的有关资料真实、准确、完整。有关资料如有调整，基金管理人应及时提供调整后的资料。上述书面资料包括但不限于：</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1）中国证监会批准发行非公开发行股票的批准文件。</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2）有关非公开发行股票的发行数量、发行价格、锁定期等发行资料。</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3）基金拟认购的数量、价格、总成本、账面价值。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4）该基金投资流通受限证券的投资额度和投资比例控制。</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应按照《关于基金投资非公开发行股票等流通受限证券有关问题的通知》规定，对基金管理人是否遵守法律法规进行监督，并审核基金管理人提供的有关书面信息。基金托管人认为上述资料可能导致基金出现风险的，有权要求基金管理人在投资流通受限证券前就该风险的消除或防范措施进行补充书面说明，并保留查看基金管理人风险管理部门就基金投资流通受限证券出具的风险评估报告等资料的权利。否则，基金托管人有权拒绝执行有关指令。因拒绝执行该指令造成基金财产损失的，基金托管人不承担任何责任，并有权报告中国证监会。</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如基金管理人和基金托管人无法就上述问题达成一致，应及时上报中国证监会请求解决。基金托管人履行了本协议规定的监督职责后，不承担任何责任。</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(5)相关法律法规对基金投资流通受限证券有新规定的，从其规定。</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托管人对基金投资中期票据的监督责任仅限于依据本协议相关规定对投资比例和投资限制进行事后监督；除此外，无其它监督责任。如发现异常情况，应及时以书面形式通知基金管理人。基金管理人应积极配合和协助基金托管人进行监督和核查。基金因投资中期票据导致的信用风险、流动性风险，基金托管人不承担任何责任。如因基金管理人原因导致基金出现损失的，基金托管人不承担任何责任。</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发现基金管理人的投资运作及其他运作违反《基金法》、《基金合同》、基金托管协议等有关规定时，应及时以书面形式通知基金管理人限期纠正，基金管理人收到通知后应在下一个工作日及时核对，并以书面形式向基金托管人发出回函，进行解释或举证。</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在限期内，基金托管人有权随时对通知事项进行复查，督促基金管理人改正。基金管理人对基金托管人通知的违规事项未能在限期内纠正的，基金托管人应报告中国证监会。</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基金管理人应积极配合和协助基金托管人依照法律法规、《基金合同》和本托</w:t>
      </w:r>
      <w:r>
        <w:rPr>
          <w:rFonts w:ascii="宋体" w:hAnsi="宋体"/>
          <w:sz w:val="24"/>
        </w:rPr>
        <w:lastRenderedPageBreak/>
        <w:t>管协议对基金业务的监督和核查，对基金托管人发出的书面提示，必须在规定时间内答复基金托管人并改正，或就基金托管人的疑义进行解释或举证，对基金托管人按照法律法规、《基金合同》和本托管协议的要求需向中国证监会报送基金监督报告的，基金管理人应积极配合提供相关数据资料和制度等。</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托管人发现基金管理人发出但未执行的投资指令或依据交易程序已经生效的投资指令违反法律、行政法规和其他有关规定，或者违反《基金合同》约定的，应当立即通知基金管理人，并报告中国证监会。基金管理人的上述违规失信行为给基金财产或基金份额持有人造成的损失，由基金管理人承担。</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对于必须于估值完成后方可获知的监控指标或依据交易程序已经成交的投资指令，基金托管人发现该投资指令违反法律法规或者违反《基金合同》约定的，应当立即通知基金管理人，并报告中国证监会。</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基金托管人发现基金管理人有重大违规行为，应立即报告中国证监会，同时通知基金管理人限期纠正。</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无正当理由，拒绝、阻挠基金托管人根据本协议规定行使监督权，或采取拖延、欺诈等手段妨碍基金托管人进行有效监督，情节严重或经基金托管人提出警告仍不改正的，基金托管人应报告中国证监会。</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（三）基金管理人对基金托管人的业务核查</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对基金托管人履行托管职责情况进行核查，核查事项包括但不限于基金托管人是否安全保管基金财产、是否分别开设基金财产的资金账户、证券账户、基金账户及投资所需其他账户、是否复核基金管理人计算的基金资产净值和各类基金份额净值、是否根据基金管理人指令办理清算交收、进行相关信息披露和监督基金投资运作等行为。</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发现基金托管人擅自挪用基金财产、未对基金财产实行分账管理、无故未执行或无故延迟执行基金管理人资金划拨指令、泄露基金投资信息等违反《基金法》、《基金合同》、本托管协议及其他有关规定时，基金管理人应及时以书面形式通知基金托管人限期纠正，基金托管人收到通知后应及时核对并以书面形式向基金管理人发出回函。在限期内，基金管理人有权随时对通知事项进行复查，督促基金托管人改正。基金托管人对基金管理人通知的违规事项未能在限期内纠正的，基金管理人应报告中国证监会。基金管理人发现基金托管人有重大违规行为，应立即报告中国证监会和银行业监督管理机构，同时通知基金托管人限期纠正。</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基金托管人应积极配合基金管理人的核查行为，包括但不限于：提交相关资料以供基金管理人核查托管财产的完整性和真实性，在规定时间内答复基金管理人并改正。</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无正当理由，拒绝、阻挠基金管理人根据本协议规定行使监督权，或采取拖延、欺诈等手段妨碍基金管理人进行有效监督，情节严重或经基金管理人提出警告仍不改正的，基金管理人应报告中国证监会。</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（四）基金财产保管</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按本协议规定安全保管托管财产。未经基金管理人的指令，不得自行运用、处分、分配基金的任何财产（基金托管人主动扣收的汇划费除外）。基金托管人不对处于自身实际控制之外的账户及财产承担责任。</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（3）基金托管人按照规定为托管的基金财产开设资金账户、证券账户、基金账户及投资所需其他账户。</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于因基金认（申）购、基金投资过程中产生的应收财产，应由基金管理人负责与有关当事人确定到账日期并通知基金托管人，到账日基金财产没有到达基金托管人处的，基金托管人应及时通知基金管理人采取措施进行催收。由此给基金造成损失的，基金管理人应负责向有关当事人追偿基金的损失，基金托管人对基金管理人的追偿行为应予以必要的协助与配合，但对基金财产的损失不承担责任。</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2、募集资金的验证</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募集期内销售机构按销售与服务协议的约定，将认购资金划入基金管理人在具有托管资格的商业银行开设的“交银施罗德基金管理有限公司基金认购专户”。该账户由基金管理人开立并管理。基金募集期满或基金管理人宣布停止募集时，募集的基金份额总额、基金募集金额、基金份额持有人人数符合《基金法》、《运作办法》等有关规定后，由基金管理人聘请符合《中华人民共和国证券法》规定的会计师事务所进行验资，出具验资报告，出具的验资报告应由参加验资的2名以上（含2名）中国注册会计师签字方为有效。验资完成，基金管理人应将募集的属于本基金财产的全部资金划入基金托管人为基金开立的资产托管专户中，并确保划入的资金</w:t>
      </w:r>
      <w:r>
        <w:rPr>
          <w:rFonts w:ascii="宋体" w:hAnsi="宋体"/>
          <w:sz w:val="24"/>
        </w:rPr>
        <w:lastRenderedPageBreak/>
        <w:t>与验资金额相一致。基金托管人收到有效认购资金当日以书面形式确认资金到账情况，并及时将资金到账凭证传真给基金管理人，双方进行账务处理。</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若基金募集期限届满，未能达到《基金合同》生效的条件，由基金管理人按规定办理退款事宜，基金托管人应提供充分协助。</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3、基金资产托管专户的开立和管理</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以基金的名义在其营业机构开设资产托管专户，并根据基金管理人合法合规的有效指令办理资金收付。基金管理人应根据法律法规及基金托管人的相关要求，提供开户所需的资料并提供其他必要协助。本基金的资产托管专户的预留印鉴的印章由基金托管人刻制、保管和使用。</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一切货币收支活动，均需通过基金托管人或基金的资产托管专户进行。基金的资产托管专户的开立和使用，限于满足开展本基金业务的需要。除因本基金业务需要，基金托管人和基金管理人不得假借本基金的名义开立其他任何银行账户；亦不得使用以基金名义开立的银行账户进行本基金业务以外的活动。</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资产托管专户的管理应符合《人民币银行结算账户管理办法》、《现金管理暂行条例》、《人民币利率管理规定》、《利率管理暂行规定》、《支付结算办法》以及银行业监督管理机构的其他有关规定。</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4、基金证券账户与证券交易资金账户的开设和管理</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基金托管人以基金托管人和本基金联名的方式在中国证券登记结算有限责任公司上海分公司/深圳分公司开立专门的证券账户。</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基金证券账户的开立和使用，限于满足开展本基金业务的需要。基金托管人和基金管理人不得出借和未经对方同意擅自转让本基金的任何证券账户；亦不得使用本基金的任何证券账户进行本基金业务以外的活动。</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证券账户的开立和原始开户材料的保管由基金托管人负责，账户资产的管理和运用由基金管理人负责。基金托管人以基金托管人的名义在中国证券登记结算有限责任公司上海分公司/深圳分公司开立结算备付金账户，基金托管人代表所托管的基金完成与中国证券登记结算有限责任公司的一级法人清算工作，基金管理人应予以积极协助。结算备付金、证券结算保证金等的收取按照中国证券登记结算有限责任公司的规定和基金托管人为履行结算参与人的义务所制定的业务规则执行。</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5、银行间市场债券托管和资金结算专户的开立和管理及市场准入备案</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《基金合同》生效后，在符合监管机构要求的情况下，基金管理人负责以基金</w:t>
      </w:r>
      <w:r>
        <w:rPr>
          <w:rFonts w:ascii="宋体" w:hAnsi="宋体"/>
          <w:sz w:val="24"/>
        </w:rPr>
        <w:lastRenderedPageBreak/>
        <w:t>的名义申请并取得进入全国银行间同业拆借市场的交易资格，并代表基金进行交易；基金托管人根据中国人民银行、中央国债登记结算有限责任公司、银行间市场清算所股份有限公司的有关规定，以本基金的名义分别在中央国债登记结算有限责任公司、银行间市场清算所股份有限公司开立债券托管账户和资金结算账户，并代表基金进行银行间市场债券交易的结算。基金托管人协助基金管理人完成银行间债券市场准入备案。</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6、其他账户的开设和管理</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（1）因业务发展而需要开立的其它账户，可以根据《基金合同》或有关法律法规的规定，经基金管理人和基金托管人协商一致后，由基金托管人负责为基金开立。新账户按有关规则使用并管理。</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（2）法律、法规等有关规定对相关账户的开立和管理另有规定的，从其规定办理。</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7、基金投资银行存款账户的开立和管理</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基金投资银行定期存款，基金管理人与基金托管人应比照相关规定，就本基金投资银行存款业务签订书面协议。</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存款账户必须以基金名义开立，账户名称为基金名称，存款账户开户文件上加盖预留印鉴及基金管理人公章。</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本基金投资银行存款时，基金管理人应当与存款银行签订具体存款协议，明确存款的类型、期限、利率、金额、账号、对账方式、支取方式、账户管理等细则。</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为防范特殊情况下的流动性风险，定期存款协议中应当约定提前支取条款。</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基金所投资定期存款存续期间，基金管理人、基金托管人应当与存款银行建立定期对账机制，确保基金银行存款业务账目及核对的真实、准确。</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8、基金财产投资的有关实物证券、银行定期存款存单等有价凭证的保管</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由基金托管人存放于基金托管人的保管库；其中实物证券也可存入中央国债登记结算有限责任公司、中国证券登记结算有限责任公司上海分公司/深圳分公司、银行间市场清算所股份有限公司或票据营业中心的代保管库。实物证券的购买和转让，由基金托管人根据基金管理人的指令办理。属于基金托管人实际有效控制下的实物证券在基金托管人保管期间的损坏、灭失，由此产生的责任应由基金托管人承担。基金托管人对基金托管人以外机构实际有效控制或保管的实物证券、银行定期存款存单对应的财产不承担保管责任。</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9、与基金财产有关的重大合同的保管</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基金管理人代表基金签署的与基金有关的重大合同的原件分别应由基金托管人、基金管理人保管。除本协议另有规定外，基金管理人在代表基金签署与基金有关的重大合同时应保证基金一方持有两份以上的正本，以便基金管理人和基金托管人至少各持有一份正本的原件。基金管理人在合同签署后30个工作日内通过专人送达、挂号邮寄等安全方式将合同原件送达基金托管人处。合同原件应存放于基金管理人和基金托管人各自文件保管部门，保管期限不低于法律法规规定的最低期限。</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对于无法取得二份以上的正本的，基金管理人应向基金托管人提供与合同原件核对一致的并加盖基金管理人公章的合同传真件或复印件，未经双方协商一致，合同原件不得转移。</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（五）基金资产净值计算、估值和会计核算</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1、基金资产净值的计算、复核的时间和程序</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负债后的价值。各类基金份额的基金份额净值是按照每个估值日，基金资产净值除以当日该类估值日基金份额的余额数量计算，精确到0.0001元，小数点后第5位四舍五入。基金管理人可以设立大额赎回情形下的净值精度应急调整机制，具体可参见相关公告。国家另有规定的，从其规定。</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每个工作日对基金资产估值。但基金管理人根据法律法规或本基金合同的规定暂停估值时除外。基金管理人每个工作日对基金资产估值后，将各类基金份额净值结果发送基金托管人，经基金托管人复核无误后，由基金管理人依据基金合同和相关法律法规的规定对外公布。</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基金管理人计算并公告基金净值信息，基金托管人复核、审查基金管理人计算的基金净值信息。本基金的会计责任方是基金管理人，就与本基金有关的会计问题，如经相关各方在平等基础上充分讨论后，仍无法达成一致的意见，按照基金管理人对基金净值信息的计算结果对外予以公布。法律法规以及监管部门有强制规定的，从其规定。如有新增事项，按国家最新规定估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2、基金资产估值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估值原则应符合《基金合同》、《证券投资基金会计核算业务指引》及其他法律法规的规定的约定。</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当相关法律法规或《基金合同》规定的估值方法不能客观反映基金财产公允价</w:t>
      </w:r>
      <w:r>
        <w:rPr>
          <w:rFonts w:ascii="宋体" w:hAnsi="宋体"/>
          <w:sz w:val="24"/>
        </w:rPr>
        <w:lastRenderedPageBreak/>
        <w:t>值时，基金管理人可根据具体情况，并与基金托管人商定后，按最能反映公允价值的价格估值。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基金份额净值小数点后4位以内(含第4位)发生差错时，视为基金份额净值错误；基金份额净值出现错误时，基金管理人应当立即予以纠正，通报基金托管人，并采取合理的措施防止损失进一步扩大；错误偏差达到基金份额净值的0.25%时，基金管理人应当通报基金托管人并报中国证监会备案；错误偏差达到基金份额净值的0.5%时，基金管理人应当公告并报中国证监会备案；当发生净值计算错误时，由基金管理人负责处理，由此给基金份额持有人和基金造成损失的，应由基金管理人先行赔付，基金管理人按差错情形，有权向其他当事人追偿，基金托管人不承担任何责任。</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当因基金管理人和基金托管人原因致使基金份额净值计算差错给基金和基金份额持有人造成损失需要进行赔偿时，基金管理人和基金托管人应根据实际情况界定双方承担的责任，经确认后按以下条款进行赔偿：</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基金会计责任方由基金管理人担任，与本基金有关的会计问题，如经双方在平等基础上充分讨论后，尚不能达成一致时，按基金管理人的建议执行，由此给基金份额持有人和基金财产造成的直接损失，由基金管理人负责赔付。2）若基金管理人计算的基金份额净值已由基金托管人复核确认后公告，而且基金托管人未对计算过程提出疑义或要求基金管理人书面说明的，在基金份额净值出错且造成基金份额持有人直接损失的，应根据法律法规的规定对基金份额持有人或基金支付赔偿金，对于向基金份额持有人或基金支付的赔偿金额，基金管理人与基金托管人按照各自收取的管理费和托管费的比例承担相应的责任。3）如基金管理人和基金托管人对基金份额净值的计算结果，虽然多次重新计算和核对，尚不能达成一致时，为避免不能按时公布基金份额净值的情形，以基金管理人的计算结果对外公布，由此给基金份额持有人和基金造成的直接损失，由基金管理人负责赔付。4）由于基金管理人提供的信息错误（包括但不限于基金申购或赎回金额等），导致基金份额净值计算错误而引起的基金份额持有人和基金财产的损失，由基金管理人负责赔付。</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（3）由于不可抗力原因，或由于证券交易所、证券经纪机构及登记结算公司发送的数据错误，或国家会计政策变更、市场规则变更等，基金管理人和基金托管</w:t>
      </w:r>
      <w:r>
        <w:rPr>
          <w:rFonts w:ascii="宋体" w:hAnsi="宋体"/>
          <w:sz w:val="24"/>
        </w:rPr>
        <w:lastRenderedPageBreak/>
        <w:t>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（4）基金管理人和基金托管人由于各自技术系统设置而产生的净值计算尾差，以基金管理人计算结果为准。</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（5）前述内容如法律法规或者监管部门另有规定的，从其规定。如果行业另有通行做法，双方当事人应本着平等和保护基金份额持有人利益的原则进行协商。</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4、暂停估值的情形</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（1）基金投资所涉及的证券交易市场遇法定节假日或因其他原因暂停营业时；</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（3）由于本基金持有的相当比例的基金暂停估值，导致基金管理人无法计算当日基金资产净值；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（4）当特定资产占前一估值日基金资产净值50%以上的，经与基金托管人协商确认后，基金管理人应当暂停估值；</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（5）法律法规、中国证监会和《基金合同》认定的其他情形。</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5、基金账册的建立</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在《基金合同》生效后，应按照相关各方约定的同一记账方法和会计处理原则，分别独立地设置、登录和保管本基金的全套账册，对相关各方各自的账册定期进行核对，互相监督，以保证基金资产的安全。若双方对会计处理方法存在分歧，应以基金管理人的处理方法为准。</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对账发现相关各方的账目存在不符的，基金管理人和基金托管人必须及时查明原因并纠正，保证相关各方平行登录的账册记录完全相符。若当日核对不符，暂时无法查找到错账的原因而影响到基金净值信息的计算和公告的，以基金管理人的账册为准。</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6、基金定期报告、基金招募说明书的编制和复核</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基金财务报表由基金管理人和基金托管人每月分别独立编制。月度报表的编制，应于每月终了后5个工作日内完成。</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《基金合同》生效后，基金招募说明书的信息发生重大变更的，基金管理人应</w:t>
      </w:r>
      <w:r>
        <w:rPr>
          <w:rFonts w:ascii="宋体" w:hAnsi="宋体"/>
          <w:sz w:val="24"/>
        </w:rPr>
        <w:lastRenderedPageBreak/>
        <w:t>当在三个工作日内，更新基金招募说明书并登载在规定网站上；基金招募说明书其他信息发生变更的，基金管理人至少每年更新一次。基金管理人在季度结束之日起15个工作日内完成季度报告编制并公告；在上半年结束之日起两个月内完成中期报告编制并公告；在每年结束之日起三个月内完成年度报告编制并公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每月结束后5个工作日内完成月度报告，在月度报告完成当日，对报告加盖公章后，以加密传真方式将有关报告提供基金托管人复核；基金托管人在3个工作日内进行复核，并将复核结果及时书面通知基金管理人。基金管理人在每季度结束后7个工作日内完成季度报告，在季度报告完成当日，将有关报告提供基金托管人复核，基金托管人在收到后7个工作日内进行复核，并将复核结果书面通知基金管理人。基金管理人在基金会计年度前六个月结束后30日内完成中期报告，在中期报告完成当日，将有关报告提供基金托管人复核，基金托管人在收到后30日内进行复核，并将复核结果书面通知基金管理人。基金管理人在基金会计年度结束后45日内完成年度报告，在年度报告完成当日，将有关报告提供基金托管人复核，基金托管人在收到后45日内复核，并将复核结果书面通知基金管理人。</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复核过程中，发现相关各方的报表存在不符时，基金管理人和基金托管人应共同查明原因，进行调整，调整以相关各方认可的账务处理方式为准。核对无误后，基金托管人在基金管理人提供的报告上加盖印鉴或者出具加盖托管业务部门业务章的复核意见书，相关各方各自留存一份。如果基金管理人与基金托管人不能于应当发布公告之日之前就相关报表达成一致，基金管理人有权按照其编制的报表对外发布公告，基金托管人有权就相关情况报中国证监会备案。</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基金托管人在对财务会计报告、中期报告或年度报告复核完毕后，需盖章确认或出具相应的复核确认书，以备有权机构对相关文件审核时提示。</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（六）基金份额持有人名册的保管</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妥善保管的基金份额持有人名册，包括《基金合同》生效日、《基金合同》终止日、基金份额持有人大会权益登记日、每年6月30日、12月31日的基金份额持有人名册。基金份额持有人名册的内容必须包括基金份额持有人的名称和持有的基金份额。</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由基金的基金登记机构根据基金管理人的指令编制和保管，基金管理人应按照目前相关规则保管基金份额持有人名册。保管方式可以采用电子或文档的形式。保管期限不低于法律法规规定的最低期限。</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在基金托管人编制中期报告和年度报告前，基金管理人应将每年6月30日、12月31日的基金持有人名册送交基金托管人，文件方式可以采用电子或文档的形式并且保证其的真实、准确、完整。基金托管人应妥善保管，不得将持有人名册用于基金托管业务以外的其他用途。</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（七）争议解决方式</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1、本协议适用中华人民共和国法律（为本协议之目的，在此不包括香港、澳门特别行政区和台湾地区法律），并从其解释。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双方当事人同意，因本协议而产生的或与本协议有关的一切争议，除经友好协商可以解决的，任何一方均有权将争议提交上海国际经济贸易仲裁委员会，根据该会届时有效的仲裁规则进行仲裁，仲裁的地点在上海，仲裁裁决是终局性的并对双方均有约束力，除非仲裁裁决另有规定，仲裁费用由败诉方承担。</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争议处理期间，双方当事人应恪守基金管理人和基金托管人职责，继续忠实、勤勉、尽责地履行《基金合同》和本托管协议规定的义务，维护基金份额持有人的合法权益。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（八）托管协议的变更、终止与基金财产的清算</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1、托管协议的变更与终止</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的内容进行变更。变更后的托管协议，其内容不得与《基金合同》的规定有任何冲突，并需经基金管理人、基金托管人加盖公章或合同专用章以及双方法定代表人或授权代理人签字（或盖章）确认。基金托管协议的变更报中国证监会备案。</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发生以下情况，本托管协议终止：</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2）基金托管人解散、依法被撤销、破产或有其他基金托管人接管基金资产；</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3）基金管理人解散、依法被撤销、破产或有其他基金管理人接管基金管理权；</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4）发生法律法规或《基金合同》规定的终止事项。</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2、基金财产的清算</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w:t>
      </w:r>
      <w:r>
        <w:rPr>
          <w:rFonts w:ascii="宋体" w:hAnsi="宋体"/>
          <w:sz w:val="24"/>
        </w:rPr>
        <w:lastRenderedPageBreak/>
        <w:t>成立清算小组，基金管理人组织基金财产清算小组并在中国证监会的监督下进行基金清算。</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（2）在基金财产清算小组接管基金财产之前，基金管理人和基金托管人应按照《基金合同》和本托管协议的规定继续履行保护基金财产安全的职责。</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组成：基金财产清算小组成员由基金管理人、基金托管人、符合《中华人民共和国证券法》规定的注册会计师、律师以及中国证监会指定的人员组成。基金财产清算小组可以聘用必要的工作人员。</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（4）基金财产清算小组职责：基金财产清算小组负责基金财产的保管、清理、估价、变现和分配。基金财产清算小组可以依法进行必要的民事活动。</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（5）基金财产清算程序：</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基金财产清算的期限为6个月，但因本基金所持证券的流动性受到限制而不能及时变现的，清算期限相应顺延。</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（6）清算费用</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（7）基金财产按下列顺序清偿：</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1）支付清算费用；</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2）交纳所欠税款；</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3）清偿基金债务；</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4）按基金份额持有人持有的基金份额比例进行分配。</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基金财产未按前款1)－3)项规定清偿前，不分配给基金份额持有人。</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3、基金财产清算的公告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4、基金财产清算账册及文件的保存</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B439CC" w:rsidRDefault="00145B8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11CA4" w:rsidRDefault="00145B85">
      <w:pPr>
        <w:pStyle w:val="1"/>
        <w:snapToGrid w:val="0"/>
        <w:spacing w:beforeLines="0" w:before="240" w:after="240"/>
        <w:rPr>
          <w:rFonts w:ascii="宋体" w:hAnsi="宋体"/>
          <w:szCs w:val="30"/>
        </w:rPr>
      </w:pPr>
      <w:bookmarkStart w:id="25" w:name="_Toc238542776"/>
      <w:r>
        <w:rPr>
          <w:rFonts w:ascii="Times New Roman" w:hAnsi="Times New Roman"/>
          <w:sz w:val="30"/>
        </w:rPr>
        <w:lastRenderedPageBreak/>
        <w:t>二十二、对基金份额持有人的服务</w:t>
      </w:r>
      <w:bookmarkEnd w:id="25"/>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（一）持有人交易资料的寄送服务</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每次交易结束后，可在T+3个工作日后通过销售机构的网点查询和打印确认单。</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本基金管理人将向持有人提供电子或纸质对账单，需要订阅或取消的客户可与本基金管理人客户服务中心（400-700-5000，021-61055000）联系。</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（二）网上直销服务</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业务，个人投资者可以直接通过本基金管理人网站的网上直销交易平台办理开户和本基金的申购、定期定额投资等业务。通过网上直销交易平台办理本基金A类基金份额的申购和定期定额投资业务的个人投资者将享受前端申购费率的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本公司基金网上直销业务已开通的银行卡及各银行卡交易金额限额请参阅本公司网站。</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在条件成熟的时候，本基金管理人将根据基金网上直销业务的发展状况，适时调整可用于基金网上直销交易平台的银行卡种类，敬请投资人留意相关公告。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（三）信息咨询、查询服务</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投资人如果想查询基金账户余额、基金产品与服务等信息，请拨打本基金管理人客户服务电话（400-700-5000，021-61055000）或登录本基金管理人网站（www.fund001.com）进行咨询、查询。</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（四）基金红利再投资</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持有的基金份额可选择现金红利或选择红利再投将现金红利自动转为基金份额进行再投资，若投资人不选择，本基金默认的收益分配方式是现金分红；基金份额持有人可对其持有的A类以及C类基金份额分别选择不同的收益分配方式。再投资红利按红利再投日（即除息日）除息后的基金份额净值自动转为基金份额，并免收申购费用。</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（五）定期定额投资计划</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（六）如本招募说明书存在任何您/贵机构无法理解的内容，请通过上述方式联系基金管理人。请确保投资前，您/贵机构已经全面理解了本招募说明书。</w:t>
      </w:r>
    </w:p>
    <w:p w:rsidR="00B439CC" w:rsidRDefault="00145B8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11CA4" w:rsidRDefault="00145B85">
      <w:pPr>
        <w:pStyle w:val="1"/>
        <w:snapToGrid w:val="0"/>
        <w:spacing w:beforeLines="0" w:before="240" w:after="240"/>
        <w:rPr>
          <w:rFonts w:ascii="宋体" w:hAnsi="宋体"/>
          <w:szCs w:val="30"/>
        </w:rPr>
      </w:pPr>
      <w:bookmarkStart w:id="26" w:name="_Toc238542777"/>
      <w:r>
        <w:rPr>
          <w:rFonts w:ascii="Times New Roman" w:hAnsi="Times New Roman"/>
          <w:sz w:val="30"/>
        </w:rPr>
        <w:lastRenderedPageBreak/>
        <w:t>二十三、其他应披露事项</w:t>
      </w:r>
      <w:bookmarkEnd w:id="26"/>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B11CA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B11CA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交银施罗德基金管理有限公司关于旗下基金改聘会计师事务所的公告</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2024-12-03</w:t>
            </w:r>
          </w:p>
        </w:tc>
      </w:tr>
      <w:tr w:rsidR="00B11CA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交银施罗德优享一年持有期混合型基金中基金（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2024-12-27</w:t>
            </w:r>
          </w:p>
        </w:tc>
      </w:tr>
      <w:tr w:rsidR="00B11CA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交银施罗德优享一年持有期混合型基金中基金（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2024-12-27</w:t>
            </w:r>
          </w:p>
        </w:tc>
      </w:tr>
      <w:tr w:rsidR="00B11CA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交银施罗德优享一年持有期混合型基金中基金（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2024-12-27</w:t>
            </w:r>
          </w:p>
        </w:tc>
      </w:tr>
      <w:tr w:rsidR="00B11CA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交银施罗德优享一年持有期混合型基金中基金（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2024</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B11CA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B11CA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交银施罗德基金管理有限公司关于增加国泰君安证券股份有限公司为旗下基金的销售机构的公告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2025-03-17</w:t>
            </w:r>
          </w:p>
        </w:tc>
      </w:tr>
      <w:tr w:rsidR="00B11CA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交银施罗德优享一年持有期混合型基金中基金（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）基金合同</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2025-03-26</w:t>
            </w:r>
          </w:p>
        </w:tc>
      </w:tr>
      <w:tr w:rsidR="00B11CA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交银施罗德优享一年持有期混合型基金中基金（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2025-03-26</w:t>
            </w:r>
          </w:p>
        </w:tc>
      </w:tr>
      <w:tr w:rsidR="00B11CA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交银施罗德优享一年持有期混合型基金中基金（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2025-03-26</w:t>
            </w:r>
          </w:p>
        </w:tc>
      </w:tr>
      <w:tr w:rsidR="00B11CA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11</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交银施罗德优享一年持有期混合型基金中基金（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2025-03-26</w:t>
            </w:r>
          </w:p>
        </w:tc>
      </w:tr>
      <w:tr w:rsidR="00B11CA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交银施罗德基金管理有限公司关于调整交银施罗德优享一年持有期混合型基金中基金（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）管理费率并修改基金合同等法律文件的公告</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2025-03-26</w:t>
            </w:r>
          </w:p>
        </w:tc>
      </w:tr>
      <w:tr w:rsidR="00B11CA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交银施罗德优享一年持有期混合型基金中基金（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2024</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2025-03-28</w:t>
            </w:r>
          </w:p>
        </w:tc>
      </w:tr>
      <w:tr w:rsidR="00B11CA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交银施罗德基金管理有限公司旗下公募基金通过证券公司交易及佣金支付情况公告</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2025-03-31</w:t>
            </w:r>
          </w:p>
        </w:tc>
      </w:tr>
      <w:tr w:rsidR="00B11CA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交银施罗德优享一年持有期混合型基金中基金（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2025-04-21</w:t>
            </w:r>
          </w:p>
        </w:tc>
      </w:tr>
      <w:tr w:rsidR="00B11CA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B11CA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交银施罗德优享一年持有期混合型基金中基金（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B11CA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交银施罗德优享一年持有期混合型基金中基金（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B11CA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交银施罗德优享一年持有期混合型基金中基金（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B11CA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20</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交银施罗德基金管理有限公司关于交银施罗德优享一年持有期混合型基金中基金（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）基金资产净值连续低于</w:t>
            </w:r>
            <w:r>
              <w:rPr>
                <w:rFonts w:ascii="Times New Roman" w:hAnsi="Times New Roman"/>
                <w:color w:val="000000"/>
                <w:kern w:val="0"/>
                <w:sz w:val="25"/>
                <w:szCs w:val="24"/>
              </w:rPr>
              <w:t>5000</w:t>
            </w:r>
            <w:r>
              <w:rPr>
                <w:rFonts w:ascii="Times New Roman" w:hAnsi="Times New Roman"/>
                <w:color w:val="000000"/>
                <w:kern w:val="0"/>
                <w:sz w:val="25"/>
                <w:szCs w:val="24"/>
              </w:rPr>
              <w:t>万元的提示性公告</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2025-11-04</w:t>
            </w:r>
          </w:p>
        </w:tc>
      </w:tr>
      <w:tr w:rsidR="00B11CA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21</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交银施罗德基金管理有限公司关于交银施罗德优享一年持有期混合型基金中基金（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）资产净值连续低于</w:t>
            </w:r>
            <w:r>
              <w:rPr>
                <w:rFonts w:ascii="Times New Roman" w:hAnsi="Times New Roman"/>
                <w:color w:val="000000"/>
                <w:kern w:val="0"/>
                <w:sz w:val="25"/>
                <w:szCs w:val="24"/>
              </w:rPr>
              <w:t>5000</w:t>
            </w:r>
            <w:r>
              <w:rPr>
                <w:rFonts w:ascii="Times New Roman" w:hAnsi="Times New Roman"/>
                <w:color w:val="000000"/>
                <w:kern w:val="0"/>
                <w:sz w:val="25"/>
                <w:szCs w:val="24"/>
              </w:rPr>
              <w:t>万元的提示性公告</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2025-11-18</w:t>
            </w:r>
          </w:p>
        </w:tc>
      </w:tr>
      <w:tr w:rsidR="00B11CA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22</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交银施罗德基金管理有限公司关于交银施罗德优享一年持有期混合型基金中基金（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）资产净值连续低于</w:t>
            </w:r>
            <w:r>
              <w:rPr>
                <w:rFonts w:ascii="Times New Roman" w:hAnsi="Times New Roman"/>
                <w:color w:val="000000"/>
                <w:kern w:val="0"/>
                <w:sz w:val="25"/>
                <w:szCs w:val="24"/>
              </w:rPr>
              <w:t>5000</w:t>
            </w:r>
            <w:r>
              <w:rPr>
                <w:rFonts w:ascii="Times New Roman" w:hAnsi="Times New Roman"/>
                <w:color w:val="000000"/>
                <w:kern w:val="0"/>
                <w:sz w:val="25"/>
                <w:szCs w:val="24"/>
              </w:rPr>
              <w:t>万元的提示性公告</w:t>
            </w:r>
          </w:p>
        </w:tc>
        <w:tc>
          <w:tcPr>
            <w:tcW w:w="75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11CA4" w:rsidRDefault="00145B8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2025-11-25</w:t>
            </w:r>
          </w:p>
        </w:tc>
      </w:tr>
    </w:tbl>
    <w:p w:rsidR="00B439CC" w:rsidRDefault="00145B8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11CA4" w:rsidRDefault="00145B85">
      <w:pPr>
        <w:pStyle w:val="1"/>
        <w:snapToGrid w:val="0"/>
        <w:spacing w:beforeLines="0" w:before="240" w:after="240"/>
        <w:rPr>
          <w:rFonts w:ascii="宋体" w:hAnsi="宋体"/>
          <w:szCs w:val="30"/>
        </w:rPr>
      </w:pPr>
      <w:bookmarkStart w:id="27" w:name="_Toc238542778"/>
      <w:r>
        <w:rPr>
          <w:rFonts w:ascii="Times New Roman" w:hAnsi="Times New Roman"/>
          <w:sz w:val="30"/>
        </w:rPr>
        <w:lastRenderedPageBreak/>
        <w:t>二十四、招募说明书的存放及查阅方式</w:t>
      </w:r>
      <w:bookmarkEnd w:id="27"/>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145B8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11CA4" w:rsidRDefault="00145B85">
      <w:pPr>
        <w:pStyle w:val="1"/>
        <w:snapToGrid w:val="0"/>
        <w:spacing w:beforeLines="0" w:before="240" w:after="240"/>
        <w:rPr>
          <w:rFonts w:ascii="宋体" w:hAnsi="宋体"/>
          <w:szCs w:val="30"/>
        </w:rPr>
      </w:pPr>
      <w:bookmarkStart w:id="28" w:name="_Toc238542779"/>
      <w:r>
        <w:rPr>
          <w:rFonts w:ascii="Times New Roman" w:hAnsi="Times New Roman"/>
          <w:sz w:val="30"/>
        </w:rPr>
        <w:lastRenderedPageBreak/>
        <w:t>二十五、备查文件</w:t>
      </w:r>
      <w:bookmarkEnd w:id="28"/>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（一）中国证监会准予交银施罗德优享一年持有期混合型基金中基金（FOF）募集注册的文件</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（二）《交银施罗德优享一年持有期混合型基金中基金（FOF）基金合同》</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（三）《交银施罗德优享一年持有期混合型基金中基金（FOF）托管协议》</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B11CA4" w:rsidRDefault="00145B8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（六）关于申请募集注册交银施罗德优享一年持有期混合型基金中基金（FOF）的法律意见书</w:t>
      </w:r>
    </w:p>
    <w:sectPr w:rsidR="00B11CA4">
      <w:footerReference w:type="default" r:id="rId17"/>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53AA" w:rsidRDefault="00145B85">
      <w:r>
        <w:separator/>
      </w:r>
    </w:p>
  </w:endnote>
  <w:endnote w:type="continuationSeparator" w:id="0">
    <w:p w:rsidR="00E853AA" w:rsidRDefault="00145B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1CA4" w:rsidRDefault="00B11CA4">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1CA4" w:rsidRDefault="00166808">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B11CA4" w:rsidRDefault="00145B85">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166808">
                  <w:rPr>
                    <w:rFonts w:ascii="Times New Roman" w:hAnsi="Times New Roman"/>
                    <w:noProof/>
                    <w:kern w:val="0"/>
                    <w:sz w:val="18"/>
                    <w:szCs w:val="18"/>
                  </w:rPr>
                  <w:t>3</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1CA4" w:rsidRDefault="00B11CA4">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1CA4" w:rsidRDefault="00166808">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B11CA4" w:rsidRDefault="00145B85">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166808">
                  <w:rPr>
                    <w:rFonts w:ascii="Times New Roman" w:hAnsi="Times New Roman"/>
                    <w:noProof/>
                    <w:kern w:val="0"/>
                    <w:sz w:val="18"/>
                    <w:szCs w:val="18"/>
                  </w:rPr>
                  <w:t>149</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53AA" w:rsidRDefault="00145B85">
      <w:r>
        <w:separator/>
      </w:r>
    </w:p>
  </w:footnote>
  <w:footnote w:type="continuationSeparator" w:id="0">
    <w:p w:rsidR="00E853AA" w:rsidRDefault="00145B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1CA4" w:rsidRDefault="00B11CA4">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1CA4" w:rsidRDefault="00145B85">
    <w:pPr>
      <w:pStyle w:val="a3"/>
      <w:jc w:val="right"/>
      <w:rPr>
        <w:rFonts w:ascii="宋体" w:hAnsi="宋体"/>
      </w:rPr>
    </w:pPr>
    <w:r>
      <w:rPr>
        <w:rFonts w:ascii="宋体" w:hAnsi="宋体" w:hint="eastAsia"/>
      </w:rPr>
      <w:t>交银施罗德优享一年持有期混合型基金中基金（FOF）招募说明书更新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1CA4" w:rsidRDefault="00B11CA4">
    <w:pPr>
      <w:pStyle w:val="10"/>
      <w:jc w:val="right"/>
    </w:pPr>
  </w:p>
  <w:p w:rsidR="00B11CA4" w:rsidRDefault="00B11CA4">
    <w:pPr>
      <w:pStyle w:val="10"/>
      <w:jc w:val="right"/>
    </w:pPr>
  </w:p>
  <w:p w:rsidR="00B11CA4" w:rsidRDefault="00B11CA4">
    <w:pPr>
      <w:pStyle w:val="a3"/>
      <w:jc w:val="right"/>
    </w:pPr>
  </w:p>
  <w:p w:rsidR="00B11CA4" w:rsidRDefault="00145B85">
    <w:pPr>
      <w:pStyle w:val="a3"/>
      <w:jc w:val="right"/>
      <w:rPr>
        <w:rFonts w:ascii="宋体" w:hAnsi="宋体"/>
      </w:rPr>
    </w:pPr>
    <w:r>
      <w:rPr>
        <w:rFonts w:ascii="宋体" w:hAnsi="宋体" w:hint="eastAsia"/>
      </w:rPr>
      <w:t>交银施罗德优享一年持有期混合型基金中基金（FOF）招募说明书更新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1CA4" w:rsidRDefault="00B11CA4">
    <w:pPr>
      <w:pStyle w:val="a3"/>
      <w:jc w:val="right"/>
    </w:pPr>
  </w:p>
  <w:p w:rsidR="00B11CA4" w:rsidRDefault="00B11CA4">
    <w:pPr>
      <w:pStyle w:val="a3"/>
      <w:jc w:val="right"/>
    </w:pPr>
  </w:p>
  <w:p w:rsidR="00B11CA4" w:rsidRDefault="00B11CA4">
    <w:pPr>
      <w:pStyle w:val="a3"/>
      <w:jc w:val="right"/>
    </w:pPr>
  </w:p>
  <w:p w:rsidR="00B11CA4" w:rsidRDefault="00145B85">
    <w:pPr>
      <w:pStyle w:val="a3"/>
      <w:jc w:val="right"/>
      <w:rPr>
        <w:rFonts w:ascii="宋体" w:hAnsi="宋体"/>
      </w:rPr>
    </w:pPr>
    <w:r>
      <w:rPr>
        <w:rFonts w:ascii="宋体" w:hAnsi="宋体" w:hint="eastAsia"/>
      </w:rPr>
      <w:t>交银施罗德优享一年持有期混合型基金中基金（FOF）招募说明书更新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6"/>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45B85"/>
    <w:rsid w:val="00153D66"/>
    <w:rsid w:val="0015725E"/>
    <w:rsid w:val="00162F69"/>
    <w:rsid w:val="00164946"/>
    <w:rsid w:val="00165756"/>
    <w:rsid w:val="00166808"/>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1CA4"/>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853AA"/>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6"/>
    <o:shapelayout v:ext="edit">
      <o:idmap v:ext="edit" data="3"/>
    </o:shapelayout>
  </w:shapeDefaults>
  <w:decimalSymbol w:val="."/>
  <w:listSeparator w:val=","/>
  <w15:docId w15:val="{5E0B2FCB-99A8-4692-B47A-160AB108A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150</Pages>
  <Words>15715</Words>
  <Characters>89577</Characters>
  <Application>Microsoft Office Word</Application>
  <DocSecurity>0</DocSecurity>
  <Lines>746</Lines>
  <Paragraphs>210</Paragraphs>
  <ScaleCrop>false</ScaleCrop>
  <Company>Microsoft</Company>
  <LinksUpToDate>false</LinksUpToDate>
  <CharactersWithSpaces>105082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2026-08-25T01:32:00Z</dcterms:created>
  <dcterms:modified xsi:type="dcterms:W3CDTF">2026-08-25T01:32:00Z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