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交银施罗德安悦平衡养老目标三年持有期混合型发起式基金中基金（FOF）（Y类份额）</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2026-08-22</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2026-08-26</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交银安悦平衡养老三年持有期混合发起（FOF）Y</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023459</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招商银行股份有限公司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2024-02-05</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基金中基金</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其他开放式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每个开放日开放申购；每份基金份额最短持有期限为三年，在最短持有期限内不可赎回</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刘兵</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2024-02-05</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2016-06-21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陈玲斐</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2026-08-22</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2014-05-16</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基金合同》生效之日起三年后的对应日，若基金资产净值低于2亿元，基金合同自动终止，且不得通过召开基金份额持有人大会的方式延续《基金合同》期限。若届时有效的法律法规或中国证监会规定发生变化，上述终止规定被取消、更改或补充，则本基金可以参照届时有效的法律法规或中国证监会规定执行。</w:t>
            </w:r>
          </w:p>
          <w:p>
            <w:pPr>
              <w:ind w:firstLine="420"/>
              <w:jc w:val="left"/>
              <w:rPr>
                <w:rFonts w:ascii="仿宋_GB2312" w:eastAsia="仿宋_GB2312"/>
                <w:szCs w:val="21"/>
              </w:rPr>
            </w:pPr>
            <w:r>
              <w:rPr>
                <w:rFonts w:ascii="仿宋_GB2312" w:eastAsia="仿宋_GB2312"/>
                <w:szCs w:val="21"/>
              </w:rPr>
              <w:t>《基金合同》生效三年后继续存续的，基金存续期内，连续20个工作日出现基金份额持有人数量不满200人或者基金资产净值低于5000万元情形的，基金管理人应当在定期报告中予以披露；连续50个工作日出现前述情形的，基金合同终止，不需召开基金份额持有人大会。</w:t>
            </w:r>
          </w:p>
        </w:tc>
      </w:tr>
    </w:tbl>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本基金为基金中基金，在保持基金资产良好的流动性的前提下，力争实现基金资产的长期增值，满足养老资金理财需求。</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范围为具有良好流动性的金融工具，包括经中国证监会依法核准或注册的公开募集证券投资基金（含ETF和LOF、香港互认基金、QDII基金）、国内依法发行上市的股票（含创业板、科创板及其他经中国证监会核准或注册上市的股票、存托凭证）、港股通标的股票、债券（含国债、央行票据、金融债券、政府支持债券、政府支持机构债券、地方政府债券、企业债券、公司债券、可转换债券（含可分离交易可转换债券的纯债部分）、可交换债券、公开发行的次级债券、中期票据、短期融资券、超短期融资券等）、资产支持证券、货币市场工具、债券回购、同业存单、银行存款（含协议存款、定期存款及其他银行存款）以及法律法规或中国证监会允许基金投资的其他金融工具（但须符合中国证监会相关规定）。</w:t>
            </w:r>
          </w:p>
          <w:p>
            <w:pPr>
              <w:ind w:firstLine="420"/>
              <w:jc w:val="left"/>
              <w:rPr>
                <w:rFonts w:ascii="仿宋_GB2312" w:eastAsia="仿宋_GB2312"/>
                <w:szCs w:val="21"/>
              </w:rPr>
            </w:pPr>
            <w:r>
              <w:rPr>
                <w:rFonts w:hint="eastAsia" w:ascii="仿宋_GB2312" w:eastAsia="仿宋_GB2312"/>
                <w:szCs w:val="21"/>
              </w:rPr>
              <w:t>如法律法规或监管机构以后允许基金投资其他品种，基金管理人在履行适当程序后，可以将其纳入投资范围。</w:t>
            </w:r>
          </w:p>
          <w:p>
            <w:pPr>
              <w:ind w:firstLine="420"/>
              <w:jc w:val="left"/>
              <w:rPr>
                <w:rFonts w:ascii="仿宋_GB2312" w:eastAsia="仿宋_GB2312"/>
                <w:szCs w:val="21"/>
              </w:rPr>
            </w:pPr>
            <w:r>
              <w:rPr>
                <w:rFonts w:hint="eastAsia" w:ascii="仿宋_GB2312" w:eastAsia="仿宋_GB2312"/>
                <w:szCs w:val="21"/>
              </w:rPr>
              <w:t>基金的投资组合比例为：本基金投资于经中国证监会依法核准或注册的公开募集证券投资基金的基金份额的资产不低于本基金资产的80%；投资于股票（含存托凭证）、股票型基金（包括股票指数基金）、混合型基金和商品基金（含商品期货基金和黄金ETF）等品种的比例合计不超过基金资产的60%（其中投资于港股通标的股票的比例占股票资产的0%-50%）；投资于QDII基金和香港互认基金的比例合计不超过基金资产的20%；投资于货币市场基金的比例不超过基金资产的15%；投资于商品基金（含商品期货基金和黄金ETF）的比例不超过基金资产的10%；本基金持有的现金或者到期日在一年以内的政府债券的比例合计不低于基金资产净值的5%，其中现金不包括结算备付金、存出保证金、应收申购款等。</w:t>
            </w:r>
          </w:p>
          <w:p>
            <w:pPr>
              <w:ind w:firstLine="420"/>
              <w:jc w:val="left"/>
              <w:rPr>
                <w:rFonts w:ascii="仿宋_GB2312" w:eastAsia="仿宋_GB2312"/>
                <w:szCs w:val="21"/>
              </w:rPr>
            </w:pPr>
            <w:r>
              <w:rPr>
                <w:rFonts w:hint="eastAsia" w:ascii="仿宋_GB2312" w:eastAsia="仿宋_GB2312"/>
                <w:szCs w:val="21"/>
              </w:rPr>
              <w:t>本基金投资于权益类资产包括股票（含存托凭证）、股票型基金（包括股票指数基金）、混合型基金的战略配置目标比例为50%，投资比例为基金资产的35%-60%。</w:t>
            </w:r>
          </w:p>
          <w:p>
            <w:pPr>
              <w:ind w:firstLine="420"/>
              <w:jc w:val="left"/>
              <w:rPr>
                <w:rFonts w:ascii="仿宋_GB2312" w:eastAsia="仿宋_GB2312"/>
                <w:szCs w:val="21"/>
              </w:rPr>
            </w:pPr>
            <w:r>
              <w:rPr>
                <w:rFonts w:hint="eastAsia" w:ascii="仿宋_GB2312" w:eastAsia="仿宋_GB2312"/>
                <w:szCs w:val="21"/>
              </w:rPr>
              <w:t>计入上述权益类资产的混合型基金需符合下列两个条件之一：</w:t>
            </w:r>
          </w:p>
          <w:p>
            <w:pPr>
              <w:ind w:firstLine="420"/>
              <w:jc w:val="left"/>
              <w:rPr>
                <w:rFonts w:ascii="仿宋_GB2312" w:eastAsia="仿宋_GB2312"/>
                <w:szCs w:val="21"/>
              </w:rPr>
            </w:pPr>
            <w:r>
              <w:rPr>
                <w:rFonts w:hint="eastAsia" w:ascii="仿宋_GB2312" w:eastAsia="仿宋_GB2312"/>
                <w:szCs w:val="21"/>
              </w:rPr>
              <w:t>1、基金合同中约定股票投资占基金资产的比例不低于60%的混合型基金；</w:t>
            </w:r>
          </w:p>
          <w:p>
            <w:pPr>
              <w:ind w:firstLine="420"/>
              <w:jc w:val="left"/>
              <w:rPr>
                <w:rFonts w:ascii="仿宋_GB2312" w:eastAsia="仿宋_GB2312"/>
                <w:szCs w:val="21"/>
              </w:rPr>
            </w:pPr>
            <w:r>
              <w:rPr>
                <w:rFonts w:hint="eastAsia" w:ascii="仿宋_GB2312" w:eastAsia="仿宋_GB2312"/>
                <w:szCs w:val="21"/>
              </w:rPr>
              <w:t>2、最近四个季度披露的股票投资占基金资产的比例均不低于60%的混合型基金。</w:t>
            </w:r>
          </w:p>
          <w:p>
            <w:pPr>
              <w:ind w:firstLine="420"/>
              <w:jc w:val="left"/>
              <w:rPr>
                <w:rFonts w:ascii="仿宋_GB2312" w:eastAsia="仿宋_GB2312"/>
                <w:szCs w:val="21"/>
              </w:rPr>
            </w:pPr>
            <w:r>
              <w:rPr>
                <w:rFonts w:hint="eastAsia" w:ascii="仿宋_GB2312" w:eastAsia="仿宋_GB2312"/>
                <w:szCs w:val="21"/>
              </w:rPr>
              <w:t>如果法律法规或中国证监会变更投资品种的投资比例限制，基金管理人在履行适当程序后，可以调整上述投资品种的投资比例。</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本基金投资策略主要分为以下七个部分：</w:t>
            </w:r>
          </w:p>
          <w:p>
            <w:pPr>
              <w:ind w:firstLine="420"/>
              <w:jc w:val="left"/>
              <w:rPr>
                <w:rFonts w:ascii="仿宋_GB2312" w:eastAsia="仿宋_GB2312"/>
                <w:szCs w:val="21"/>
              </w:rPr>
            </w:pPr>
            <w:r>
              <w:rPr>
                <w:rFonts w:hint="eastAsia" w:ascii="仿宋_GB2312" w:eastAsia="仿宋_GB2312"/>
                <w:szCs w:val="21"/>
              </w:rPr>
              <w:t>1、大类资产配置；2、基金投资策略；3、股票投资策略；4、港股通标的股票投资策略；5、债券投资策略；6、资产支持证券投资策略；7、风险控制策略。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48%×中证偏股型基金指数收益率+2%×恒生指数收益率+50%×中债综合全价指数收益率</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本基金为混合型基金中基金，其预期风险与预期收益理论上高于债券型基金、债券型基金中基金、货币市场基金和货币型基金中基金，低于股票型基金和股票型基金中基金。</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详见《交银施罗德安悦平衡养老目标三年持有期混合型发起式基金中基金（FOF）招募说明书》第九部分“基金的投资”。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199.5pt;width:419.25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ind w:firstLine="420"/>
        <w:jc w:val="left"/>
        <w:rPr>
          <w:rFonts w:ascii="仿宋_GB2312" w:eastAsia="仿宋_GB2312"/>
          <w:szCs w:val="21"/>
        </w:rPr>
      </w:pPr>
      <w:r>
        <w:rPr>
          <w:rFonts w:hint="eastAsia" w:ascii="仿宋_GB2312" w:eastAsia="仿宋_GB2312"/>
          <w:szCs w:val="21"/>
        </w:rPr>
        <w:t>无。</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930"/>
        <w:gridCol w:w="2409"/>
        <w:gridCol w:w="1843"/>
        <w:gridCol w:w="212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Align w:val="center"/>
          </w:tcPr>
          <w:p>
            <w:pPr>
              <w:widowControl/>
              <w:jc w:val="left"/>
              <w:rPr>
                <w:rFonts w:ascii="仿宋_GB2312" w:eastAsia="仿宋_GB2312"/>
                <w:szCs w:val="21"/>
              </w:rPr>
            </w:pPr>
            <w:r>
              <w:rPr>
                <w:rFonts w:hint="eastAsia" w:ascii="仿宋_GB2312" w:hAnsi="宋体" w:eastAsia="仿宋_GB2312" w:cs="宋体"/>
                <w:kern w:val="0"/>
                <w:szCs w:val="21"/>
              </w:rPr>
              <w:t>费用类型</w:t>
            </w:r>
          </w:p>
        </w:tc>
        <w:tc>
          <w:tcPr>
            <w:tcW w:w="2409" w:type="dxa"/>
            <w:vAlign w:val="center"/>
          </w:tcPr>
          <w:p>
            <w:pPr>
              <w:rPr>
                <w:rFonts w:ascii="仿宋_GB2312" w:eastAsia="仿宋_GB2312"/>
                <w:szCs w:val="21"/>
              </w:rPr>
            </w:pPr>
            <w:r>
              <w:rPr>
                <w:rFonts w:hint="eastAsia" w:ascii="仿宋_GB2312" w:eastAsia="仿宋_GB2312"/>
                <w:szCs w:val="21"/>
              </w:rPr>
              <w:t>份额（S）或金额（M）/持有期限（N）</w:t>
            </w:r>
          </w:p>
        </w:tc>
        <w:tc>
          <w:tcPr>
            <w:tcW w:w="1843" w:type="dxa"/>
            <w:vAlign w:val="center"/>
          </w:tcPr>
          <w:p>
            <w:pPr>
              <w:rPr>
                <w:rFonts w:ascii="仿宋_GB2312" w:eastAsia="仿宋_GB2312"/>
                <w:szCs w:val="21"/>
              </w:rPr>
            </w:pPr>
            <w:r>
              <w:rPr>
                <w:rFonts w:hint="eastAsia" w:ascii="仿宋_GB2312" w:eastAsia="仿宋_GB2312"/>
                <w:szCs w:val="21"/>
              </w:rPr>
              <w:t>收费方式/费率</w:t>
            </w:r>
          </w:p>
        </w:tc>
        <w:tc>
          <w:tcPr>
            <w:tcW w:w="2126" w:type="dxa"/>
            <w:vAlign w:val="center"/>
          </w:tcPr>
          <w:p>
            <w:pPr>
              <w:widowControl/>
              <w:jc w:val="left"/>
              <w:rPr>
                <w:rFonts w:ascii="仿宋_GB2312" w:eastAsia="仿宋_GB2312"/>
                <w:szCs w:val="21"/>
              </w:rPr>
            </w:pPr>
            <w:r>
              <w:rPr>
                <w:rFonts w:hint="eastAsia" w:ascii="仿宋_GB2312" w:hAnsi="宋体" w:eastAsia="仿宋_GB2312" w:cs="宋体"/>
                <w:kern w:val="0"/>
                <w:szCs w:val="21"/>
              </w:rPr>
              <w:t>备注</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申购费（前收费）</w:t>
            </w:r>
          </w:p>
        </w:tc>
        <w:tc>
          <w:tcPr>
            <w:tcW w:w="2409" w:type="dxa"/>
          </w:tcPr>
          <w:p>
            <w:pPr>
              <w:rPr>
                <w:rFonts w:ascii="仿宋_GB2312" w:eastAsia="仿宋_GB2312"/>
                <w:szCs w:val="21"/>
              </w:rPr>
            </w:pPr>
            <w:r>
              <w:rPr>
                <w:rFonts w:hint="eastAsia" w:ascii="仿宋_GB2312" w:eastAsia="仿宋_GB2312"/>
                <w:szCs w:val="21"/>
              </w:rPr>
              <w:t>M＜500万元</w:t>
            </w:r>
          </w:p>
        </w:tc>
        <w:tc>
          <w:tcPr>
            <w:tcW w:w="1843" w:type="dxa"/>
            <w:vAlign w:val="center"/>
          </w:tcPr>
          <w:p>
            <w:pPr>
              <w:rPr>
                <w:rFonts w:ascii="仿宋_GB2312" w:eastAsia="仿宋_GB2312"/>
                <w:szCs w:val="21"/>
              </w:rPr>
            </w:pPr>
            <w:r>
              <w:rPr>
                <w:rFonts w:hint="eastAsia" w:ascii="仿宋_GB2312" w:eastAsia="仿宋_GB2312"/>
                <w:szCs w:val="21"/>
              </w:rPr>
              <w:t>1.2%</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500万元≤M＜1000万元</w:t>
            </w:r>
          </w:p>
        </w:tc>
        <w:tc>
          <w:tcPr>
            <w:tcW w:w="1843" w:type="dxa"/>
            <w:vAlign w:val="center"/>
          </w:tcPr>
          <w:p>
            <w:pPr>
              <w:rPr>
                <w:rFonts w:ascii="仿宋_GB2312" w:eastAsia="仿宋_GB2312"/>
                <w:szCs w:val="21"/>
              </w:rPr>
            </w:pPr>
            <w:r>
              <w:rPr>
                <w:rFonts w:hint="eastAsia" w:ascii="仿宋_GB2312" w:eastAsia="仿宋_GB2312"/>
                <w:szCs w:val="21"/>
              </w:rPr>
              <w:t>1.0%</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1000万元≤M</w:t>
            </w:r>
          </w:p>
        </w:tc>
        <w:tc>
          <w:tcPr>
            <w:tcW w:w="1843" w:type="dxa"/>
            <w:vAlign w:val="center"/>
          </w:tcPr>
          <w:p>
            <w:pPr>
              <w:rPr>
                <w:rFonts w:ascii="仿宋_GB2312" w:eastAsia="仿宋_GB2312"/>
                <w:szCs w:val="21"/>
              </w:rPr>
            </w:pPr>
            <w:r>
              <w:rPr>
                <w:rFonts w:hint="eastAsia" w:ascii="仿宋_GB2312" w:eastAsia="仿宋_GB2312"/>
                <w:szCs w:val="21"/>
              </w:rPr>
              <w:t>1000元每笔</w:t>
            </w:r>
          </w:p>
        </w:tc>
        <w:tc>
          <w:tcPr>
            <w:tcW w:w="2126" w:type="dxa"/>
            <w:vAlign w:val="center"/>
          </w:tcPr>
          <w:p>
            <w:pPr>
              <w:widowControl/>
              <w:jc w:val="left"/>
              <w:rPr>
                <w:rFonts w:ascii="仿宋_GB2312" w:hAnsi="宋体" w:eastAsia="仿宋_GB2312" w:cs="宋体"/>
                <w:kern w:val="0"/>
                <w:szCs w:val="21"/>
              </w:rPr>
            </w:pPr>
          </w:p>
        </w:tc>
      </w:tr>
    </w:tbl>
    <w:p>
      <w:pPr>
        <w:jc w:val="left"/>
        <w:rPr>
          <w:rFonts w:ascii="仿宋_GB2312" w:eastAsia="仿宋_GB2312"/>
          <w:szCs w:val="21"/>
        </w:rPr>
      </w:pPr>
      <w:r>
        <w:rPr>
          <w:rFonts w:hint="eastAsia" w:ascii="仿宋_GB2312" w:eastAsia="仿宋_GB2312"/>
          <w:szCs w:val="21"/>
        </w:rPr>
        <w:t>注：1、基金份额持有人持有的每份基金份额最短持有期限为三年，最短持有期限届满后，本基金不收取赎回费。其中，对于不受最短持有期限制的红利再投资所得基金份额，对持续持有期少于7日的投资者收取1.5%的赎回费，并全额计入基金财产。销售机构若有其他费率优惠请见基金管理人或其他销售机构的有关公告或通知。</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38"/>
        <w:gridCol w:w="4219"/>
        <w:gridCol w:w="2148"/>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0.30%</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0.0</w:t>
            </w:r>
            <w:r>
              <w:rPr>
                <w:rFonts w:hint="eastAsia" w:ascii="仿宋_GB2312" w:eastAsia="仿宋_GB2312"/>
                <w:szCs w:val="21"/>
                <w:lang w:val="en-US" w:eastAsia="zh-CN"/>
              </w:rPr>
              <w:t>75</w:t>
            </w: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15000.00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80000.00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1、本基金Y类基金份额可对基金管理费和基金托管费实施一定的费率优惠，具体优惠请参看招募说明书或相关公告。2、本基金基金财产中持有的基金管理人自身管理的基金部分不收取管理费；持有的基金托管人自身托管的基金部分不收取托管费。3、本基金交易证券、基金等产生的费用和税负，按实际发生额从基金资产扣除。上表中披露的年费用金额为基金整体承担费用，非单个份额类别费用，且年金额为预估值，最终实际金额以基金定期报告披露为准。</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0.63%</w:t>
            </w:r>
          </w:p>
        </w:tc>
      </w:tr>
    </w:tbl>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（1）政策风险、（2）经济周期风险、（3）利率风险、（4）上市公司经营风险、（5）购买力风险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4、信用风险</w:t>
      </w:r>
    </w:p>
    <w:p>
      <w:pPr>
        <w:ind w:firstLine="420"/>
        <w:jc w:val="left"/>
        <w:rPr>
          <w:rFonts w:ascii="仿宋_GB2312" w:eastAsia="仿宋_GB2312"/>
          <w:szCs w:val="21"/>
        </w:rPr>
      </w:pPr>
      <w:r>
        <w:rPr>
          <w:rFonts w:hint="eastAsia" w:ascii="仿宋_GB2312" w:eastAsia="仿宋_GB2312"/>
          <w:szCs w:val="21"/>
        </w:rPr>
        <w:t>5、本基金的特有风险</w:t>
      </w:r>
    </w:p>
    <w:p>
      <w:pPr>
        <w:ind w:firstLine="420"/>
        <w:jc w:val="left"/>
        <w:rPr>
          <w:rFonts w:ascii="仿宋_GB2312" w:eastAsia="仿宋_GB2312"/>
          <w:szCs w:val="21"/>
        </w:rPr>
      </w:pPr>
      <w:r>
        <w:rPr>
          <w:rFonts w:hint="eastAsia" w:ascii="仿宋_GB2312" w:eastAsia="仿宋_GB2312"/>
          <w:szCs w:val="21"/>
        </w:rPr>
        <w:t>（1）本基金为养老目标基金，致力于满足投资者的养老资金理财需求，但养老目标基金并不代表收益保障或其他任何形式的收益承诺。本基金非保本产品，存在投资者承担亏损的可能性。</w:t>
      </w:r>
    </w:p>
    <w:p>
      <w:pPr>
        <w:ind w:firstLine="420"/>
        <w:jc w:val="left"/>
        <w:rPr>
          <w:rFonts w:ascii="仿宋_GB2312" w:eastAsia="仿宋_GB2312"/>
          <w:szCs w:val="21"/>
        </w:rPr>
      </w:pPr>
      <w:r>
        <w:rPr>
          <w:rFonts w:hint="eastAsia" w:ascii="仿宋_GB2312" w:eastAsia="仿宋_GB2312"/>
          <w:szCs w:val="21"/>
        </w:rPr>
        <w:t>（2）本基金定位为平衡型目标风险策略基金，本基金投资于经中国证监会依法核准或注册的公开募集证券投资基金的基金份额的资产不低于本基金资产的80%；投资于股票（含存托凭证）、股票型基金（包括股票指数基金）、混合型基金和商品基金（含商品期货基金和黄金ETF）等品种的比例合计不超过基金资产的60%（其中投资于港股通标的股票的比例占股票资产的0%-50%）。因此本基金所持有的基金的业绩表现、持有基金的基金管理人水平等因素将影响到本基金的基金业绩表现。</w:t>
      </w:r>
    </w:p>
    <w:p>
      <w:pPr>
        <w:ind w:firstLine="420"/>
        <w:jc w:val="left"/>
        <w:rPr>
          <w:rFonts w:ascii="仿宋_GB2312" w:eastAsia="仿宋_GB2312"/>
          <w:szCs w:val="21"/>
        </w:rPr>
      </w:pPr>
      <w:r>
        <w:rPr>
          <w:rFonts w:hint="eastAsia" w:ascii="仿宋_GB2312" w:eastAsia="仿宋_GB2312"/>
          <w:szCs w:val="21"/>
        </w:rPr>
        <w:t>（3）本基金为基金中基金，由于本基金所持有的相当比例的基金暂停估值，导致基金管理人无法计算当日本基金资产净值；或者由于本基金持有的相当比例的基金份额或适合本基金投资的基金份额拒绝或暂停申购、暂停上市或二级市场交易停牌、基金管理人无法找到其他合适的可替代的基金品种，或其他可能对本基金业绩产生负面影响的情形，本基金可能拒绝或暂停申购业务。</w:t>
      </w:r>
    </w:p>
    <w:p>
      <w:pPr>
        <w:ind w:firstLine="420"/>
        <w:jc w:val="left"/>
        <w:rPr>
          <w:rFonts w:ascii="仿宋_GB2312" w:eastAsia="仿宋_GB2312"/>
          <w:szCs w:val="21"/>
        </w:rPr>
      </w:pPr>
      <w:r>
        <w:rPr>
          <w:rFonts w:hint="eastAsia" w:ascii="仿宋_GB2312" w:eastAsia="仿宋_GB2312"/>
          <w:szCs w:val="21"/>
        </w:rPr>
        <w:t>（4）本基金为基金中基金，由于本基金所持有的相当比例的基金暂停估值，导致基金管理人无法计算当日本基金资产净值；或者由于本基金持有的相当比例的基金份额拒绝或暂停赎回、暂停上市或二级市场交易停牌、延期办理赎回、延期支付赎回款项，或其他可能对本基金业绩产生负面影响的情形，本基金可能暂停赎回或延缓支付赎回款项。</w:t>
      </w:r>
    </w:p>
    <w:p>
      <w:pPr>
        <w:ind w:firstLine="420"/>
        <w:jc w:val="left"/>
        <w:rPr>
          <w:rFonts w:ascii="仿宋_GB2312" w:eastAsia="仿宋_GB2312"/>
          <w:szCs w:val="21"/>
        </w:rPr>
      </w:pPr>
      <w:r>
        <w:rPr>
          <w:rFonts w:hint="eastAsia" w:ascii="仿宋_GB2312" w:eastAsia="仿宋_GB2312"/>
          <w:szCs w:val="21"/>
        </w:rPr>
        <w:t>（5）本基金为基金中基金，本基金管理人运用本基金的基金财产申购自身管理的基金的（ETF除外），应当通过直销渠道申购且不得收取申购费、赎回费（按照相关法规、基金招募说明书约定应当收取，并计入基金财产的赎回费用除外）、销售服务费（如有）等销售费用。但如果本基金管理人运用本基金的基金财产申购非自身管理的基金的，将会承担本基金以及本基金所投资或持有基金份额的相关费用，本基金对上述费用的支付将对收益水平造成影响。</w:t>
      </w:r>
    </w:p>
    <w:p>
      <w:pPr>
        <w:ind w:firstLine="420"/>
        <w:jc w:val="left"/>
        <w:rPr>
          <w:rFonts w:ascii="仿宋_GB2312" w:eastAsia="仿宋_GB2312"/>
          <w:szCs w:val="21"/>
        </w:rPr>
      </w:pPr>
      <w:r>
        <w:rPr>
          <w:rFonts w:hint="eastAsia" w:ascii="仿宋_GB2312" w:eastAsia="仿宋_GB2312"/>
          <w:szCs w:val="21"/>
        </w:rPr>
        <w:t>（6）本基金为基金中基金，本基金可能投资于封闭运作基金、定期开放基金等流通受限基金。本基金投资流动受限基金将面临所投资基金的流动性风险，因此可能在本基金需要变现资产时，受流动性所限，本基金无法卖出所持有的流通受限基金，由此可能给基金净值带来不利影响或损失。</w:t>
      </w:r>
    </w:p>
    <w:p>
      <w:pPr>
        <w:ind w:firstLine="420"/>
        <w:jc w:val="left"/>
        <w:rPr>
          <w:rFonts w:ascii="仿宋_GB2312" w:eastAsia="仿宋_GB2312"/>
          <w:szCs w:val="21"/>
        </w:rPr>
      </w:pPr>
      <w:r>
        <w:rPr>
          <w:rFonts w:hint="eastAsia" w:ascii="仿宋_GB2312" w:eastAsia="仿宋_GB2312"/>
          <w:szCs w:val="21"/>
        </w:rPr>
        <w:t>（7）本基金为基金中基金，本基金可投资于商品基金，因此将间接承担商品基金可能面临的商品价格波动风险、投资商品期货合约的风险、盯市风险等商品投资风险。</w:t>
      </w:r>
    </w:p>
    <w:p>
      <w:pPr>
        <w:ind w:firstLine="420"/>
        <w:jc w:val="left"/>
        <w:rPr>
          <w:rFonts w:ascii="仿宋_GB2312" w:eastAsia="仿宋_GB2312"/>
          <w:szCs w:val="21"/>
        </w:rPr>
      </w:pPr>
      <w:r>
        <w:rPr>
          <w:rFonts w:hint="eastAsia" w:ascii="仿宋_GB2312" w:eastAsia="仿宋_GB2312"/>
          <w:szCs w:val="21"/>
        </w:rPr>
        <w:t>（8）基金份额持有人持有的每份基金份额最短持有期限为三年，在最短持有期限内该份基金份额不可赎回，自最短持有期限届满的下一工作日起（含该日）可赎回。对于每笔认购的基金份额而言，最短持有期限自基金合同生效之日起（含该日）至三年后年度对日的前一日；对于每笔申购的基金份额而言，最短持有期限自该笔申购份额确认日（含该日）至三年后年度对日的前一日。因此，对于基金份额持有人而言，存在投资本基金后三年内无法赎回的风险。</w:t>
      </w:r>
    </w:p>
    <w:p>
      <w:pPr>
        <w:ind w:firstLine="420"/>
        <w:jc w:val="left"/>
        <w:rPr>
          <w:rFonts w:ascii="仿宋_GB2312" w:eastAsia="仿宋_GB2312"/>
          <w:szCs w:val="21"/>
        </w:rPr>
      </w:pPr>
      <w:r>
        <w:rPr>
          <w:rFonts w:hint="eastAsia" w:ascii="仿宋_GB2312" w:eastAsia="仿宋_GB2312"/>
          <w:szCs w:val="21"/>
        </w:rPr>
        <w:t>（9）本基金可投资创业板股票，创业板个股上市后的前五个交易日不设价格涨跌幅限制，第六个交易日开始涨跌幅限制比例为20%。</w:t>
      </w:r>
    </w:p>
    <w:p>
      <w:pPr>
        <w:ind w:firstLine="420"/>
        <w:jc w:val="left"/>
        <w:rPr>
          <w:rFonts w:ascii="仿宋_GB2312" w:eastAsia="仿宋_GB2312"/>
          <w:szCs w:val="21"/>
        </w:rPr>
      </w:pPr>
      <w:r>
        <w:rPr>
          <w:rFonts w:hint="eastAsia" w:ascii="仿宋_GB2312" w:eastAsia="仿宋_GB2312"/>
          <w:szCs w:val="21"/>
        </w:rPr>
        <w:t>（10）本基金的Y类基金份额为针对个人养老金投资基金业务设立的单独的基金份额类别，投资者仅能通过个人养老金资金账户购买Y类基金份额参与个人养老金投资基金业务。根据个人养老金账户要求，个人养老金投资基金的基金份额申购赎回等款项将在个人养老金账户内流转，投资者未达到领取基本养老金年龄或者政策规定的其他领取条件时不可领取个人养老金。具体业务规则请关注基金管理人届时发布的相关公告。</w:t>
      </w:r>
    </w:p>
    <w:p>
      <w:pPr>
        <w:ind w:firstLine="420"/>
        <w:jc w:val="left"/>
        <w:rPr>
          <w:rFonts w:ascii="仿宋_GB2312" w:eastAsia="仿宋_GB2312"/>
          <w:szCs w:val="21"/>
        </w:rPr>
      </w:pPr>
      <w:r>
        <w:rPr>
          <w:rFonts w:hint="eastAsia" w:ascii="仿宋_GB2312" w:eastAsia="仿宋_GB2312"/>
          <w:szCs w:val="21"/>
        </w:rPr>
        <w:t>6、投资资产支持证券的特定风险</w:t>
      </w:r>
    </w:p>
    <w:p>
      <w:pPr>
        <w:ind w:firstLine="420"/>
        <w:jc w:val="left"/>
        <w:rPr>
          <w:rFonts w:ascii="仿宋_GB2312" w:eastAsia="仿宋_GB2312"/>
          <w:szCs w:val="21"/>
        </w:rPr>
      </w:pPr>
      <w:r>
        <w:rPr>
          <w:rFonts w:hint="eastAsia" w:ascii="仿宋_GB2312" w:eastAsia="仿宋_GB2312"/>
          <w:szCs w:val="21"/>
        </w:rPr>
        <w:t>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pPr>
        <w:ind w:firstLine="420"/>
        <w:jc w:val="left"/>
        <w:rPr>
          <w:rFonts w:ascii="仿宋_GB2312" w:eastAsia="仿宋_GB2312"/>
          <w:szCs w:val="21"/>
        </w:rPr>
      </w:pPr>
      <w:r>
        <w:rPr>
          <w:rFonts w:hint="eastAsia" w:ascii="仿宋_GB2312" w:eastAsia="仿宋_GB2312"/>
          <w:szCs w:val="21"/>
        </w:rPr>
        <w:t>7、投资流通受限证券的特定风险</w:t>
      </w:r>
    </w:p>
    <w:p>
      <w:pPr>
        <w:ind w:firstLine="420"/>
        <w:jc w:val="left"/>
        <w:rPr>
          <w:rFonts w:ascii="仿宋_GB2312" w:eastAsia="仿宋_GB2312"/>
          <w:szCs w:val="21"/>
        </w:rPr>
      </w:pPr>
      <w:r>
        <w:rPr>
          <w:rFonts w:hint="eastAsia" w:ascii="仿宋_GB2312" w:eastAsia="仿宋_GB2312"/>
          <w:szCs w:val="21"/>
        </w:rPr>
        <w:t>基金若投资流动受限证券将面临证券市场流动性风险，主要表现在几个方面：基金建仓困难，或建仓成本很高；基金资产不能迅速转变成现金，或变现成本很高；不能应付可能出现的投资者大额赎回的风险；证券投资中个券和个股的流动性风险等。</w:t>
      </w:r>
    </w:p>
    <w:p>
      <w:pPr>
        <w:ind w:firstLine="420"/>
        <w:jc w:val="left"/>
        <w:rPr>
          <w:rFonts w:ascii="仿宋_GB2312" w:eastAsia="仿宋_GB2312"/>
          <w:szCs w:val="21"/>
        </w:rPr>
      </w:pPr>
      <w:r>
        <w:rPr>
          <w:rFonts w:hint="eastAsia" w:ascii="仿宋_GB2312" w:eastAsia="仿宋_GB2312"/>
          <w:szCs w:val="21"/>
        </w:rPr>
        <w:t>8、基金合同提前终止风险</w:t>
      </w:r>
    </w:p>
    <w:p>
      <w:pPr>
        <w:ind w:firstLine="420"/>
        <w:jc w:val="left"/>
        <w:rPr>
          <w:rFonts w:ascii="仿宋_GB2312" w:eastAsia="仿宋_GB2312"/>
          <w:szCs w:val="21"/>
        </w:rPr>
      </w:pPr>
      <w:r>
        <w:rPr>
          <w:rFonts w:hint="eastAsia" w:ascii="仿宋_GB2312" w:eastAsia="仿宋_GB2312"/>
          <w:szCs w:val="21"/>
        </w:rPr>
        <w:t>《基金合同》生效之日起三年后的对应日，若基金资产净值低于2亿元，基金合同自动终止，且不得通过召开基金份额持有人大会的方式延续《基金合同》期限。若届时有效的法律法规或中国证监会规定发生变化，上述终止规定被取消、更改或补充，则本基金可以参照届时有效的法律法规或中国证监会规定执行。</w:t>
      </w:r>
    </w:p>
    <w:p>
      <w:pPr>
        <w:ind w:firstLine="420"/>
        <w:jc w:val="left"/>
        <w:rPr>
          <w:rFonts w:ascii="仿宋_GB2312" w:eastAsia="仿宋_GB2312"/>
          <w:szCs w:val="21"/>
        </w:rPr>
      </w:pPr>
      <w:r>
        <w:rPr>
          <w:rFonts w:hint="eastAsia" w:ascii="仿宋_GB2312" w:eastAsia="仿宋_GB2312"/>
          <w:szCs w:val="21"/>
        </w:rPr>
        <w:t>《基金合同》生效三年后继续存续的，基金存续期内，连续50个工作日出现基金份额持有人数量不满200人或基金资产净值低于5000万元情形时，基金合同终止，不需召开基金份额持有人大会。投资者可能面临基金合同提前终止的风险。</w:t>
      </w:r>
    </w:p>
    <w:p>
      <w:pPr>
        <w:ind w:firstLine="420"/>
        <w:jc w:val="left"/>
        <w:rPr>
          <w:rFonts w:ascii="仿宋_GB2312" w:eastAsia="仿宋_GB2312"/>
          <w:szCs w:val="21"/>
        </w:rPr>
      </w:pPr>
      <w:r>
        <w:rPr>
          <w:rFonts w:hint="eastAsia" w:ascii="仿宋_GB2312" w:eastAsia="仿宋_GB2312"/>
          <w:szCs w:val="21"/>
        </w:rPr>
        <w:t>9、投资港股通标的股票的特定风险</w:t>
      </w:r>
    </w:p>
    <w:p>
      <w:pPr>
        <w:ind w:firstLine="420"/>
        <w:jc w:val="left"/>
        <w:rPr>
          <w:rFonts w:ascii="仿宋_GB2312" w:eastAsia="仿宋_GB2312"/>
          <w:szCs w:val="21"/>
        </w:rPr>
      </w:pPr>
      <w:r>
        <w:rPr>
          <w:rFonts w:hint="eastAsia" w:ascii="仿宋_GB2312" w:eastAsia="仿宋_GB2312"/>
          <w:szCs w:val="21"/>
        </w:rPr>
        <w:t>本基金可投资港股通标的股票，会面临港股通机制下因投资环境、投资标的、市场制度以及交易规则等差异带来的特有风险，具体如下（1）港股交易失败风险（2）汇率风险（3）境外市场的风险（4）本基金可根据投资策略需要或不同配置地市场环境的变化，选择将部分基金资产投资于港股或选择不将基金资产投资于港股，基金资产并非必然投资港股。</w:t>
      </w:r>
    </w:p>
    <w:p>
      <w:pPr>
        <w:ind w:firstLine="420"/>
        <w:jc w:val="left"/>
        <w:rPr>
          <w:rFonts w:ascii="仿宋_GB2312" w:eastAsia="仿宋_GB2312"/>
          <w:szCs w:val="21"/>
        </w:rPr>
      </w:pPr>
      <w:r>
        <w:rPr>
          <w:rFonts w:hint="eastAsia" w:ascii="仿宋_GB2312" w:eastAsia="仿宋_GB2312"/>
          <w:szCs w:val="21"/>
        </w:rPr>
        <w:t>10、投资科创板股票的特定风险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pPr>
        <w:ind w:firstLine="420"/>
        <w:jc w:val="left"/>
        <w:rPr>
          <w:rFonts w:ascii="仿宋_GB2312" w:eastAsia="仿宋_GB2312"/>
          <w:szCs w:val="21"/>
        </w:rPr>
      </w:pPr>
      <w:r>
        <w:rPr>
          <w:rFonts w:hint="eastAsia" w:ascii="仿宋_GB2312" w:eastAsia="仿宋_GB2312"/>
          <w:szCs w:val="21"/>
        </w:rPr>
        <w:t>11、投资存托凭证的特定风险</w:t>
      </w:r>
    </w:p>
    <w:p>
      <w:pPr>
        <w:ind w:firstLine="420"/>
        <w:jc w:val="left"/>
        <w:rPr>
          <w:rFonts w:ascii="仿宋_GB2312" w:eastAsia="仿宋_GB2312"/>
          <w:szCs w:val="21"/>
        </w:rPr>
      </w:pPr>
      <w:r>
        <w:rPr>
          <w:rFonts w:hint="eastAsia" w:ascii="仿宋_GB2312" w:eastAsia="仿宋_GB2312"/>
          <w:szCs w:val="21"/>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pPr>
        <w:ind w:firstLine="420"/>
        <w:jc w:val="left"/>
        <w:rPr>
          <w:rFonts w:ascii="仿宋_GB2312" w:eastAsia="仿宋_GB2312"/>
          <w:szCs w:val="21"/>
        </w:rPr>
      </w:pPr>
      <w:r>
        <w:rPr>
          <w:rFonts w:hint="eastAsia" w:ascii="仿宋_GB2312" w:eastAsia="仿宋_GB2312"/>
          <w:szCs w:val="21"/>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本基金可根据投资策略需要或市场环境的变化，选择将部分基金资产投资于存托凭证或选择不将基金资产投资于存托凭证，基金资产并非必然投资存托凭证。</w:t>
      </w:r>
    </w:p>
    <w:p>
      <w:pPr>
        <w:ind w:firstLine="420"/>
        <w:jc w:val="left"/>
        <w:rPr>
          <w:rFonts w:ascii="仿宋_GB2312" w:eastAsia="仿宋_GB2312"/>
          <w:szCs w:val="21"/>
        </w:rPr>
      </w:pPr>
      <w:r>
        <w:rPr>
          <w:rFonts w:hint="eastAsia" w:ascii="仿宋_GB2312" w:eastAsia="仿宋_GB2312"/>
          <w:szCs w:val="21"/>
        </w:rPr>
        <w:t>12、本基金法律文件风险收益特征表述与销售机构基金风险评价可能不一致的风险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13、其他风险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因基金合同而产生的或与基金合同有关的一切争议，如经友好协商未能解决的，任何一方均有权将争议提交深圳国际仲裁院，按其届时有效的仲裁规则进行仲裁。仲裁地点为深圳市。</w:t>
      </w:r>
    </w:p>
    <w:bookmarkEnd w:id="0"/>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●《交银施罗德安悦平衡养老目标三年持有期混合型发起式基金中基金（FOF）基金合同》、</w:t>
      </w:r>
    </w:p>
    <w:p>
      <w:pPr>
        <w:ind w:firstLine="420"/>
        <w:jc w:val="left"/>
        <w:rPr>
          <w:rFonts w:ascii="仿宋_GB2312" w:eastAsia="仿宋_GB2312"/>
          <w:szCs w:val="21"/>
        </w:rPr>
      </w:pPr>
      <w:r>
        <w:rPr>
          <w:rFonts w:hint="eastAsia" w:ascii="仿宋_GB2312" w:eastAsia="仿宋_GB2312"/>
          <w:szCs w:val="21"/>
        </w:rPr>
        <w:t>《交银施罗德安悦平衡养老目标三年持有期混合型发起式基金中基金（FOF）托管协议》、</w:t>
      </w:r>
    </w:p>
    <w:p>
      <w:pPr>
        <w:ind w:firstLine="420"/>
        <w:jc w:val="left"/>
        <w:rPr>
          <w:rFonts w:ascii="仿宋_GB2312" w:eastAsia="仿宋_GB2312"/>
          <w:szCs w:val="21"/>
        </w:rPr>
      </w:pPr>
      <w:r>
        <w:rPr>
          <w:rFonts w:hint="eastAsia" w:ascii="仿宋_GB2312" w:eastAsia="仿宋_GB2312"/>
          <w:szCs w:val="21"/>
        </w:rPr>
        <w:t>《交银施罗德安悦平衡养老目标三年持有期混合型发起式基金中基金（FOF）招募说明书》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287210"/>
    <w:rsid w:val="002F5DBC"/>
    <w:rsid w:val="00325F2C"/>
    <w:rsid w:val="00335FE8"/>
    <w:rsid w:val="003E751E"/>
    <w:rsid w:val="00401C56"/>
    <w:rsid w:val="00447692"/>
    <w:rsid w:val="004A275D"/>
    <w:rsid w:val="006240B9"/>
    <w:rsid w:val="006A53E7"/>
    <w:rsid w:val="007A64C5"/>
    <w:rsid w:val="00846EFA"/>
    <w:rsid w:val="00880454"/>
    <w:rsid w:val="008A6FA6"/>
    <w:rsid w:val="00902522"/>
    <w:rsid w:val="0090269C"/>
    <w:rsid w:val="009728DC"/>
    <w:rsid w:val="009C0C41"/>
    <w:rsid w:val="009F4EAE"/>
    <w:rsid w:val="00AB59CB"/>
    <w:rsid w:val="00AF7A1E"/>
    <w:rsid w:val="00C0525C"/>
    <w:rsid w:val="00CD7637"/>
    <w:rsid w:val="00D04A15"/>
    <w:rsid w:val="00D373CC"/>
    <w:rsid w:val="00DB319C"/>
    <w:rsid w:val="00E51B6D"/>
    <w:rsid w:val="00F75715"/>
    <w:rsid w:val="00F811C4"/>
    <w:rsid w:val="00FC2918"/>
    <w:rsid w:val="16AB6C83"/>
    <w:rsid w:val="254D6FE6"/>
    <w:rsid w:val="474C7708"/>
    <w:rsid w:val="5C7A2726"/>
    <w:rsid w:val="738B271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semiHidden/>
    <w:unhideWhenUsed/>
    <w:uiPriority w:val="99"/>
    <w:pPr>
      <w:jc w:val="left"/>
    </w:pPr>
  </w:style>
  <w:style w:type="paragraph" w:styleId="3">
    <w:name w:val="Balloon Text"/>
    <w:basedOn w:val="1"/>
    <w:link w:val="16"/>
    <w:semiHidden/>
    <w:unhideWhenUsed/>
    <w:uiPriority w:val="99"/>
    <w:rPr>
      <w:sz w:val="18"/>
      <w:szCs w:val="18"/>
    </w:rPr>
  </w:style>
  <w:style w:type="paragraph" w:styleId="4">
    <w:name w:val="footer"/>
    <w:basedOn w:val="1"/>
    <w:link w:val="12"/>
    <w:unhideWhenUsed/>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uiPriority w:val="99"/>
    <w:rPr>
      <w:b/>
      <w:bCs/>
    </w:rPr>
  </w:style>
  <w:style w:type="table" w:styleId="8">
    <w:name w:val="Table Grid"/>
    <w:basedOn w:val="7"/>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uiPriority w:val="99"/>
    <w:rPr>
      <w:sz w:val="21"/>
      <w:szCs w:val="21"/>
    </w:rPr>
  </w:style>
  <w:style w:type="character" w:customStyle="1" w:styleId="11">
    <w:name w:val="页眉 Char"/>
    <w:basedOn w:val="9"/>
    <w:link w:val="5"/>
    <w:uiPriority w:val="99"/>
    <w:rPr>
      <w:sz w:val="18"/>
      <w:szCs w:val="18"/>
    </w:rPr>
  </w:style>
  <w:style w:type="character" w:customStyle="1" w:styleId="12">
    <w:name w:val="页脚 Char"/>
    <w:basedOn w:val="9"/>
    <w:link w:val="4"/>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uiPriority w:val="99"/>
  </w:style>
  <w:style w:type="character" w:customStyle="1" w:styleId="15">
    <w:name w:val="批注主题 Char"/>
    <w:basedOn w:val="14"/>
    <w:link w:val="6"/>
    <w:semiHidden/>
    <w:uiPriority w:val="99"/>
    <w:rPr>
      <w:b/>
      <w:bCs/>
    </w:rPr>
  </w:style>
  <w:style w:type="character" w:customStyle="1" w:styleId="16">
    <w:name w:val="批注框文本 Char"/>
    <w:basedOn w:val="9"/>
    <w:link w:val="3"/>
    <w:semiHidden/>
    <w:uiPriority w:val="99"/>
    <w:rPr>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1004</Words>
  <Characters>5729</Characters>
  <Lines>47</Lines>
  <Paragraphs>13</Paragraphs>
  <TotalTime>1</TotalTime>
  <ScaleCrop>false</ScaleCrop>
  <LinksUpToDate>false</LinksUpToDate>
  <CharactersWithSpaces>6720</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2026-08-25T02:09:00Z</dcterms:created>
  <dc:creator>Cc</dc:creator>
  <cp:lastModifiedBy>haotingting</cp:lastModifiedBy>
  <dcterms:modified xsi:type="dcterms:W3CDTF">2026-08-25T02:11:57Z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C6AEE764D4294BC685F67EA0874093A1</vt:lpwstr>
  </property>
</Properties>
</file>