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C6175">
      <w:pPr>
        <w:rPr>
          <w:sz w:val="32"/>
        </w:rPr>
      </w:pPr>
    </w:p>
    <w:p w:rsidR="00C92FC0" w:rsidRPr="00EB07BC" w:rsidRDefault="007C6175">
      <w:pPr>
        <w:rPr>
          <w:sz w:val="32"/>
        </w:rPr>
      </w:pPr>
    </w:p>
    <w:p w:rsidR="00C92FC0" w:rsidRPr="00EB07BC" w:rsidRDefault="007C6175">
      <w:pPr>
        <w:rPr>
          <w:sz w:val="32"/>
        </w:rPr>
      </w:pPr>
    </w:p>
    <w:p w:rsidR="00023D27" w:rsidRDefault="00023D2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23D27" w:rsidRDefault="00023D2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23D27" w:rsidRDefault="00023D2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23D27" w:rsidRDefault="009969C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交银施罗德安悦平衡养老目标三年持有期混合型发起式基金中基金（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023D27" w:rsidRDefault="009969C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023D27" w:rsidRDefault="00023D27">
      <w:pPr>
        <w:snapToGrid w:val="0"/>
        <w:spacing w:line="360" w:lineRule="auto"/>
        <w:jc w:val="center"/>
        <w:rPr>
          <w:rFonts w:ascii="宋体" w:hAnsi="宋体"/>
          <w:b/>
          <w:sz w:val="30"/>
          <w:szCs w:val="30"/>
        </w:rPr>
      </w:pP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9969C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023D27" w:rsidRDefault="009969C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023D2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23D27" w:rsidRDefault="009969C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023D27" w:rsidRDefault="00023D27">
      <w:pPr>
        <w:autoSpaceDE w:val="0"/>
        <w:autoSpaceDN w:val="0"/>
        <w:adjustRightInd w:val="0"/>
        <w:snapToGrid w:val="0"/>
        <w:spacing w:line="360" w:lineRule="auto"/>
        <w:ind w:left="1347" w:rightChars="6" w:right="13"/>
        <w:rPr>
          <w:rFonts w:ascii="宋体" w:hAnsi="宋体"/>
          <w:kern w:val="0"/>
          <w:sz w:val="32"/>
          <w:szCs w:val="32"/>
        </w:rPr>
        <w:sectPr w:rsidR="00023D2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023D27" w:rsidRDefault="009969CB">
      <w:pPr>
        <w:pStyle w:val="1"/>
        <w:snapToGrid w:val="0"/>
        <w:spacing w:beforeLines="0" w:before="240" w:after="240"/>
        <w:rPr>
          <w:rFonts w:ascii="宋体" w:hAnsi="宋体"/>
          <w:kern w:val="0"/>
        </w:rPr>
      </w:pPr>
      <w:bookmarkStart w:id="0" w:name="_Toc324920538"/>
      <w:bookmarkStart w:id="1" w:name="_Toc496884613"/>
      <w:bookmarkStart w:id="2" w:name="_Toc238542769"/>
      <w:r>
        <w:rPr>
          <w:rFonts w:ascii="Times New Roman" w:hAnsi="Times New Roman"/>
          <w:kern w:val="0"/>
        </w:rPr>
        <w:lastRenderedPageBreak/>
        <w:t>重要提示</w:t>
      </w:r>
      <w:bookmarkEnd w:id="0"/>
      <w:bookmarkEnd w:id="1"/>
      <w:bookmarkEnd w:id="2"/>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交银施罗德安悦平衡养老目标三年持有期混合型发起式基金中基金（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2731</w:t>
      </w:r>
      <w:r>
        <w:rPr>
          <w:rFonts w:ascii="Times New Roman" w:hAnsi="Times New Roman"/>
          <w:kern w:val="0"/>
          <w:sz w:val="24"/>
        </w:rPr>
        <w:t>号文准予募集注册。本基金基金合同于</w:t>
      </w:r>
      <w:r>
        <w:rPr>
          <w:rFonts w:ascii="Times New Roman" w:hAnsi="Times New Roman"/>
          <w:kern w:val="0"/>
          <w:sz w:val="24"/>
        </w:rPr>
        <w:t>2024</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日正式生效。</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资产支持证券的特定风险；投资流通受限证券的特定风险；基金合同提前终止的风险；投资港股通标的股票的特定风险；投资科创板股票的特定风险；投资存托凭证的特定风险；本基金法律文件风险收益特征表述与销售机构基金风险评价可能不一致的风险；投资本基金的其他风险等等。</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本基金为混合型基金中基金，其预期风险与预期收益理论上高于债券型基金、债券型基金中基金、货币市场基金和货币型基金中基金，低于股票型基金和股票型基金中基金。</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本基金为发起式基金，《基金合同》生效之日起三年后的对应日，基金资产净值低于</w:t>
      </w:r>
      <w:r>
        <w:rPr>
          <w:rFonts w:ascii="Times New Roman" w:hAnsi="Times New Roman"/>
          <w:kern w:val="0"/>
          <w:sz w:val="24"/>
        </w:rPr>
        <w:t>2</w:t>
      </w:r>
      <w:r>
        <w:rPr>
          <w:rFonts w:ascii="Times New Roman" w:hAnsi="Times New Roman"/>
          <w:kern w:val="0"/>
          <w:sz w:val="24"/>
        </w:rPr>
        <w:t>亿元，或《基金合同》生效三年后继续存续的，基金存续期内，连续</w:t>
      </w:r>
      <w:r>
        <w:rPr>
          <w:rFonts w:ascii="Times New Roman" w:hAnsi="Times New Roman"/>
          <w:kern w:val="0"/>
          <w:sz w:val="24"/>
        </w:rPr>
        <w:lastRenderedPageBreak/>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万元情形时，基金合同终止。因此，投资者可能面临基金合同提前终止的风险。</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本基金为养老目标基金，致力于满足投资者的养老资金理财需求，但养老目标基金并不代表收益保障或其他任何形式的收益承诺。本基金非保本产品，存在投资者承担亏损的可能性。</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本基金定位为平衡型目标风险策略基金，本基金投资于股票（含存托凭证）、股票型基金（包括股票指数基金）、混合型基金和商品基金（含商品期货基金和黄金</w:t>
      </w:r>
      <w:r>
        <w:rPr>
          <w:rFonts w:ascii="Times New Roman" w:hAnsi="Times New Roman"/>
          <w:kern w:val="0"/>
          <w:sz w:val="24"/>
        </w:rPr>
        <w:t>ETF</w:t>
      </w:r>
      <w:r>
        <w:rPr>
          <w:rFonts w:ascii="Times New Roman" w:hAnsi="Times New Roman"/>
          <w:kern w:val="0"/>
          <w:sz w:val="24"/>
        </w:rPr>
        <w:t>）等品种的比例合计不超过基金资产的</w:t>
      </w:r>
      <w:r>
        <w:rPr>
          <w:rFonts w:ascii="Times New Roman" w:hAnsi="Times New Roman"/>
          <w:kern w:val="0"/>
          <w:sz w:val="24"/>
        </w:rPr>
        <w:t>60%</w:t>
      </w:r>
      <w:r>
        <w:rPr>
          <w:rFonts w:ascii="Times New Roman" w:hAnsi="Times New Roman"/>
          <w:kern w:val="0"/>
          <w:sz w:val="24"/>
        </w:rPr>
        <w:t>；投资于港股通标的</w:t>
      </w:r>
      <w:r>
        <w:rPr>
          <w:rFonts w:ascii="Times New Roman" w:hAnsi="Times New Roman"/>
          <w:kern w:val="0"/>
          <w:sz w:val="24"/>
        </w:rPr>
        <w:lastRenderedPageBreak/>
        <w:t>股票的比例占股票资产的</w:t>
      </w:r>
      <w:r>
        <w:rPr>
          <w:rFonts w:ascii="Times New Roman" w:hAnsi="Times New Roman"/>
          <w:kern w:val="0"/>
          <w:sz w:val="24"/>
        </w:rPr>
        <w:t>0%-50%</w:t>
      </w:r>
      <w:r>
        <w:rPr>
          <w:rFonts w:ascii="Times New Roman" w:hAnsi="Times New Roman"/>
          <w:kern w:val="0"/>
          <w:sz w:val="24"/>
        </w:rPr>
        <w:t>。其中投资于权益类资产包括股票（含存托凭证）、股票型基金（包括股票指数基金）、混合型基金的战略配置目标比例为</w:t>
      </w:r>
      <w:r>
        <w:rPr>
          <w:rFonts w:ascii="Times New Roman" w:hAnsi="Times New Roman"/>
          <w:kern w:val="0"/>
          <w:sz w:val="24"/>
        </w:rPr>
        <w:t>50%</w:t>
      </w:r>
      <w:r>
        <w:rPr>
          <w:rFonts w:ascii="Times New Roman" w:hAnsi="Times New Roman"/>
          <w:kern w:val="0"/>
          <w:sz w:val="24"/>
        </w:rPr>
        <w:t>，投资比例为基金资产的</w:t>
      </w:r>
      <w:r>
        <w:rPr>
          <w:rFonts w:ascii="Times New Roman" w:hAnsi="Times New Roman"/>
          <w:kern w:val="0"/>
          <w:sz w:val="24"/>
        </w:rPr>
        <w:t>35%-60%</w:t>
      </w:r>
      <w:r>
        <w:rPr>
          <w:rFonts w:ascii="Times New Roman" w:hAnsi="Times New Roman"/>
          <w:kern w:val="0"/>
          <w:sz w:val="24"/>
        </w:rPr>
        <w:t>。</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基金份额时，基金份额持有人在赎回时需特别关注申请赎回的基金份额数量，若申请赎回的基金份额超过了该基金份额持有人持续持有超过三年的基金份额数量，则基金份额持有人的赎回申请将全部被予以拒绝。基金份额持有人需承担赎回申请失败的风险。</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本基金单一投资者（基金管理人、基金管理人高级管理人员或基金经理等人员作为发起资金提供方除外）持有基金份额数不得超过基金份额总数的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本基金的</w:t>
      </w:r>
      <w:r>
        <w:rPr>
          <w:rFonts w:ascii="Times New Roman" w:hAnsi="Times New Roman"/>
          <w:kern w:val="0"/>
          <w:sz w:val="24"/>
        </w:rPr>
        <w:t>Y</w:t>
      </w:r>
      <w:r>
        <w:rPr>
          <w:rFonts w:ascii="Times New Roman" w:hAnsi="Times New Roman"/>
          <w:kern w:val="0"/>
          <w:sz w:val="24"/>
        </w:rPr>
        <w:t>类基金份额为针对个人养老金投资基金业务设立的单独的基金份额类别，投资者仅能通过个人养老金资金账户购买</w:t>
      </w:r>
      <w:r>
        <w:rPr>
          <w:rFonts w:ascii="Times New Roman" w:hAnsi="Times New Roman"/>
          <w:kern w:val="0"/>
          <w:sz w:val="24"/>
        </w:rPr>
        <w:t>Y</w:t>
      </w:r>
      <w:r>
        <w:rPr>
          <w:rFonts w:ascii="Times New Roman" w:hAnsi="Times New Roman"/>
          <w:kern w:val="0"/>
          <w:sz w:val="24"/>
        </w:rPr>
        <w:t>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023D27" w:rsidRDefault="009969C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023D27" w:rsidRDefault="00023D27">
      <w:pPr>
        <w:autoSpaceDE w:val="0"/>
        <w:autoSpaceDN w:val="0"/>
        <w:adjustRightInd w:val="0"/>
        <w:snapToGrid w:val="0"/>
        <w:spacing w:before="51" w:line="360" w:lineRule="auto"/>
        <w:ind w:left="120" w:rightChars="6" w:right="13" w:firstLine="480"/>
        <w:rPr>
          <w:rFonts w:ascii="宋体" w:hAnsi="宋体"/>
          <w:kern w:val="0"/>
          <w:szCs w:val="24"/>
        </w:rPr>
        <w:sectPr w:rsidR="00023D27">
          <w:headerReference w:type="default" r:id="rId14"/>
          <w:pgSz w:w="11920" w:h="16840"/>
          <w:pgMar w:top="1440" w:right="1680" w:bottom="280" w:left="1680" w:header="0" w:footer="1073" w:gutter="0"/>
          <w:pgNumType w:start="1"/>
          <w:cols w:space="720"/>
        </w:sectPr>
      </w:pPr>
    </w:p>
    <w:p w:rsidR="007C6175" w:rsidRPr="007C6175" w:rsidRDefault="009969CB" w:rsidP="007C6175">
      <w:pPr>
        <w:pStyle w:val="ad"/>
        <w:snapToGrid w:val="0"/>
        <w:spacing w:after="240" w:line="360" w:lineRule="auto"/>
        <w:jc w:val="center"/>
        <w:rPr>
          <w:rFonts w:ascii="宋体" w:hAnsi="宋体"/>
          <w:noProof/>
          <w:sz w:val="24"/>
        </w:rPr>
      </w:pPr>
      <w:r w:rsidRPr="007C6175">
        <w:rPr>
          <w:rFonts w:ascii="宋体" w:hAnsi="宋体"/>
          <w:color w:val="000000"/>
          <w:position w:val="-4"/>
          <w:sz w:val="24"/>
          <w:szCs w:val="30"/>
        </w:rPr>
        <w:lastRenderedPageBreak/>
        <w:t>目</w:t>
      </w:r>
      <w:r w:rsidRPr="007C6175">
        <w:rPr>
          <w:rFonts w:ascii="宋体" w:hAnsi="宋体"/>
          <w:color w:val="000000"/>
          <w:position w:val="-4"/>
          <w:sz w:val="24"/>
          <w:szCs w:val="30"/>
        </w:rPr>
        <w:tab/>
        <w:t>录</w:t>
      </w:r>
      <w:r w:rsidR="007C6175" w:rsidRPr="007C6175">
        <w:rPr>
          <w:rFonts w:ascii="宋体" w:hAnsi="宋体"/>
          <w:color w:val="000000"/>
          <w:position w:val="-4"/>
          <w:sz w:val="24"/>
          <w:szCs w:val="30"/>
        </w:rPr>
        <w:fldChar w:fldCharType="begin"/>
      </w:r>
      <w:r w:rsidR="007C6175" w:rsidRPr="007C6175">
        <w:rPr>
          <w:rFonts w:ascii="宋体" w:hAnsi="宋体"/>
          <w:color w:val="000000"/>
          <w:position w:val="-4"/>
          <w:sz w:val="24"/>
          <w:szCs w:val="30"/>
        </w:rPr>
        <w:instrText xml:space="preserve"> TOC \o "1-3" \f - \h \t "-1" </w:instrText>
      </w:r>
      <w:r w:rsidR="007C6175" w:rsidRPr="007C6175">
        <w:rPr>
          <w:rFonts w:ascii="宋体" w:hAnsi="宋体"/>
          <w:color w:val="000000"/>
          <w:position w:val="-4"/>
          <w:sz w:val="24"/>
          <w:szCs w:val="30"/>
        </w:rPr>
        <w:fldChar w:fldCharType="separate"/>
      </w:r>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69" w:history="1">
        <w:r w:rsidRPr="007C6175">
          <w:rPr>
            <w:rStyle w:val="aa"/>
            <w:rFonts w:ascii="宋体" w:hAnsi="宋体" w:hint="eastAsia"/>
            <w:noProof/>
            <w:kern w:val="0"/>
            <w:sz w:val="24"/>
          </w:rPr>
          <w:t>重要提示</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_Toc238542769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0" w:history="1">
        <w:r w:rsidRPr="007C6175">
          <w:rPr>
            <w:rStyle w:val="aa"/>
            <w:rFonts w:ascii="宋体" w:hAnsi="宋体" w:hint="eastAsia"/>
            <w:noProof/>
            <w:sz w:val="24"/>
          </w:rPr>
          <w:t>一、绪言</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_Toc238542770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6</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1" w:history="1">
        <w:r w:rsidRPr="007C6175">
          <w:rPr>
            <w:rStyle w:val="aa"/>
            <w:rFonts w:ascii="宋体" w:hAnsi="宋体" w:hint="eastAsia"/>
            <w:noProof/>
            <w:sz w:val="24"/>
          </w:rPr>
          <w:t>二、释义</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_Toc238542771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7</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2" w:history="1">
        <w:r w:rsidRPr="007C6175">
          <w:rPr>
            <w:rStyle w:val="aa"/>
            <w:rFonts w:ascii="宋体" w:hAnsi="宋体" w:hint="eastAsia"/>
            <w:noProof/>
            <w:sz w:val="24"/>
          </w:rPr>
          <w:t>三、基金管理人</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_Toc238542772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12</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3" w:history="1">
        <w:r w:rsidRPr="007C6175">
          <w:rPr>
            <w:rStyle w:val="aa"/>
            <w:rFonts w:ascii="宋体" w:hAnsi="宋体" w:hint="eastAsia"/>
            <w:noProof/>
            <w:sz w:val="24"/>
          </w:rPr>
          <w:t>四、基金托管人</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_Toc238542773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20</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4" w:history="1">
        <w:r w:rsidRPr="007C6175">
          <w:rPr>
            <w:rStyle w:val="aa"/>
            <w:rFonts w:ascii="宋体" w:hAnsi="宋体" w:hint="eastAsia"/>
            <w:noProof/>
            <w:sz w:val="24"/>
          </w:rPr>
          <w:t>五、相关服务机构</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_Toc238542774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27</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5" w:history="1">
        <w:r w:rsidRPr="007C6175">
          <w:rPr>
            <w:rStyle w:val="aa"/>
            <w:rFonts w:ascii="宋体" w:hAnsi="宋体" w:hint="eastAsia"/>
            <w:noProof/>
            <w:sz w:val="24"/>
          </w:rPr>
          <w:t>六、基金的募集</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_Toc238542775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42</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6" w:history="1">
        <w:r w:rsidRPr="007C6175">
          <w:rPr>
            <w:rStyle w:val="aa"/>
            <w:rFonts w:ascii="宋体" w:hAnsi="宋体" w:hint="eastAsia"/>
            <w:noProof/>
            <w:sz w:val="24"/>
          </w:rPr>
          <w:t>七、基金合同的生效</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_Toc238542776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43</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7" w:history="1">
        <w:r w:rsidRPr="007C6175">
          <w:rPr>
            <w:rStyle w:val="aa"/>
            <w:rFonts w:ascii="宋体" w:hAnsi="宋体" w:hint="eastAsia"/>
            <w:noProof/>
            <w:sz w:val="24"/>
          </w:rPr>
          <w:t>八、基金份额的申购与赎回</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_Toc238542777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44</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8" w:history="1">
        <w:r w:rsidRPr="007C6175">
          <w:rPr>
            <w:rStyle w:val="aa"/>
            <w:rFonts w:ascii="宋体" w:hAnsi="宋体" w:hint="eastAsia"/>
            <w:noProof/>
            <w:sz w:val="24"/>
          </w:rPr>
          <w:t>九、基金的投资</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_Toc238542778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57</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79" w:history="1">
        <w:r w:rsidRPr="007C6175">
          <w:rPr>
            <w:rStyle w:val="aa"/>
            <w:rFonts w:ascii="宋体" w:hAnsi="宋体" w:hint="eastAsia"/>
            <w:noProof/>
            <w:sz w:val="24"/>
          </w:rPr>
          <w:t>十、基金的业绩</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_Toc238542779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69</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0" w:history="1">
        <w:r w:rsidRPr="007C6175">
          <w:rPr>
            <w:rStyle w:val="aa"/>
            <w:rFonts w:ascii="宋体" w:hAnsi="宋体" w:hint="eastAsia"/>
            <w:noProof/>
            <w:sz w:val="24"/>
          </w:rPr>
          <w:t>十一、基金的财产</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_Toc238542780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71</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1" w:history="1">
        <w:r w:rsidRPr="007C6175">
          <w:rPr>
            <w:rStyle w:val="aa"/>
            <w:rFonts w:ascii="宋体" w:hAnsi="宋体" w:hint="eastAsia"/>
            <w:noProof/>
            <w:sz w:val="24"/>
          </w:rPr>
          <w:t>十二、基金资产的估值</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_Toc238542781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72</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2" w:history="1">
        <w:r w:rsidRPr="007C6175">
          <w:rPr>
            <w:rStyle w:val="aa"/>
            <w:rFonts w:ascii="宋体" w:hAnsi="宋体" w:hint="eastAsia"/>
            <w:noProof/>
            <w:sz w:val="24"/>
          </w:rPr>
          <w:t>十三、基金收益与分配</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_Toc238542782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80</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3" w:history="1">
        <w:r w:rsidRPr="007C6175">
          <w:rPr>
            <w:rStyle w:val="aa"/>
            <w:rFonts w:ascii="宋体" w:hAnsi="宋体" w:hint="eastAsia"/>
            <w:noProof/>
            <w:sz w:val="24"/>
          </w:rPr>
          <w:t>十四、基金的费用与税收</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_Toc238542783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82</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4" w:history="1">
        <w:r w:rsidRPr="007C6175">
          <w:rPr>
            <w:rStyle w:val="aa"/>
            <w:rFonts w:ascii="宋体" w:hAnsi="宋体" w:hint="eastAsia"/>
            <w:noProof/>
            <w:sz w:val="24"/>
          </w:rPr>
          <w:t>十五、基金的会计与审计</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_Toc238542784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85</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5" w:history="1">
        <w:r w:rsidRPr="007C6175">
          <w:rPr>
            <w:rStyle w:val="aa"/>
            <w:rFonts w:ascii="宋体" w:hAnsi="宋体" w:hint="eastAsia"/>
            <w:noProof/>
            <w:sz w:val="24"/>
          </w:rPr>
          <w:t>十六、基金的信息披露</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_Toc238542785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86</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6" w:history="1">
        <w:r w:rsidRPr="007C6175">
          <w:rPr>
            <w:rStyle w:val="aa"/>
            <w:rFonts w:ascii="宋体" w:hAnsi="宋体" w:hint="eastAsia"/>
            <w:noProof/>
            <w:sz w:val="24"/>
          </w:rPr>
          <w:t>十七、侧袋机制</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_Toc238542786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93</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7" w:history="1">
        <w:r w:rsidRPr="007C6175">
          <w:rPr>
            <w:rStyle w:val="aa"/>
            <w:rFonts w:ascii="宋体" w:hAnsi="宋体" w:hint="eastAsia"/>
            <w:noProof/>
            <w:sz w:val="24"/>
          </w:rPr>
          <w:t>十八、风险揭示</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_Toc238542787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96</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8" w:history="1">
        <w:r w:rsidRPr="007C6175">
          <w:rPr>
            <w:rStyle w:val="aa"/>
            <w:rFonts w:ascii="宋体" w:hAnsi="宋体" w:hint="eastAsia"/>
            <w:noProof/>
            <w:sz w:val="24"/>
          </w:rPr>
          <w:t>十九、基金合同的变更、终止与基金财产的清算</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_Toc238542788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107</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89" w:history="1">
        <w:r w:rsidRPr="007C6175">
          <w:rPr>
            <w:rStyle w:val="aa"/>
            <w:rFonts w:ascii="宋体" w:hAnsi="宋体" w:hint="eastAsia"/>
            <w:noProof/>
            <w:sz w:val="24"/>
          </w:rPr>
          <w:t>二十、基金合同内容摘要</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_Toc238542789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109</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90" w:history="1">
        <w:r w:rsidRPr="007C6175">
          <w:rPr>
            <w:rStyle w:val="aa"/>
            <w:rFonts w:ascii="宋体" w:hAnsi="宋体" w:hint="eastAsia"/>
            <w:noProof/>
            <w:sz w:val="24"/>
          </w:rPr>
          <w:t>二十一、托管协议的内容摘要</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_Toc238542790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126</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91" w:history="1">
        <w:r w:rsidRPr="007C6175">
          <w:rPr>
            <w:rStyle w:val="aa"/>
            <w:rFonts w:ascii="宋体" w:hAnsi="宋体" w:hint="eastAsia"/>
            <w:noProof/>
            <w:sz w:val="24"/>
          </w:rPr>
          <w:t>二十二、对基金份额持有人的服务</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_Toc238542791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145</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92" w:history="1">
        <w:r w:rsidRPr="007C6175">
          <w:rPr>
            <w:rStyle w:val="aa"/>
            <w:rFonts w:ascii="宋体" w:hAnsi="宋体" w:hint="eastAsia"/>
            <w:noProof/>
            <w:sz w:val="24"/>
          </w:rPr>
          <w:t>二十三、其他应披露事项</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_Toc238542792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147</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93" w:history="1">
        <w:r w:rsidRPr="007C6175">
          <w:rPr>
            <w:rStyle w:val="aa"/>
            <w:rFonts w:ascii="宋体" w:hAnsi="宋体" w:hint="eastAsia"/>
            <w:noProof/>
            <w:sz w:val="24"/>
          </w:rPr>
          <w:t>二十四、招募说明书的存放及查阅方式</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_Toc238542793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150</w:t>
        </w:r>
        <w:r w:rsidRPr="007C6175">
          <w:rPr>
            <w:rFonts w:ascii="宋体" w:hAnsi="宋体"/>
            <w:noProof/>
            <w:sz w:val="24"/>
          </w:rPr>
          <w:fldChar w:fldCharType="end"/>
        </w:r>
      </w:hyperlink>
    </w:p>
    <w:p w:rsidR="007C6175" w:rsidRPr="007C6175" w:rsidRDefault="007C6175" w:rsidP="007C6175">
      <w:pPr>
        <w:pStyle w:val="10"/>
        <w:tabs>
          <w:tab w:val="right" w:leader="dot" w:pos="8550"/>
        </w:tabs>
        <w:spacing w:line="360" w:lineRule="auto"/>
        <w:rPr>
          <w:rFonts w:ascii="宋体" w:hAnsi="宋体" w:cstheme="minorBidi"/>
          <w:noProof/>
          <w:sz w:val="24"/>
        </w:rPr>
      </w:pPr>
      <w:hyperlink w:anchor="_Toc238542794" w:history="1">
        <w:r w:rsidRPr="007C6175">
          <w:rPr>
            <w:rStyle w:val="aa"/>
            <w:rFonts w:ascii="宋体" w:hAnsi="宋体" w:hint="eastAsia"/>
            <w:noProof/>
            <w:sz w:val="24"/>
          </w:rPr>
          <w:t>二十五、备查文件</w:t>
        </w:r>
        <w:r w:rsidRPr="007C6175">
          <w:rPr>
            <w:rFonts w:ascii="宋体" w:hAnsi="宋体"/>
            <w:noProof/>
            <w:sz w:val="24"/>
          </w:rPr>
          <w:tab/>
        </w:r>
        <w:r w:rsidRPr="007C6175">
          <w:rPr>
            <w:rFonts w:ascii="宋体" w:hAnsi="宋体"/>
            <w:noProof/>
            <w:sz w:val="24"/>
          </w:rPr>
          <w:fldChar w:fldCharType="begin"/>
        </w:r>
        <w:r w:rsidRPr="007C6175">
          <w:rPr>
            <w:rFonts w:ascii="宋体" w:hAnsi="宋体"/>
            <w:noProof/>
            <w:sz w:val="24"/>
          </w:rPr>
          <w:instrText xml:space="preserve"> PAGEREF _Toc238542794 \h </w:instrText>
        </w:r>
        <w:r w:rsidRPr="007C6175">
          <w:rPr>
            <w:rFonts w:ascii="宋体" w:hAnsi="宋体"/>
            <w:noProof/>
            <w:sz w:val="24"/>
          </w:rPr>
        </w:r>
        <w:r w:rsidRPr="007C6175">
          <w:rPr>
            <w:rFonts w:ascii="宋体" w:hAnsi="宋体"/>
            <w:noProof/>
            <w:sz w:val="24"/>
          </w:rPr>
          <w:fldChar w:fldCharType="separate"/>
        </w:r>
        <w:r w:rsidRPr="007C6175">
          <w:rPr>
            <w:rFonts w:ascii="宋体" w:hAnsi="宋体"/>
            <w:noProof/>
            <w:sz w:val="24"/>
          </w:rPr>
          <w:t>151</w:t>
        </w:r>
        <w:r w:rsidRPr="007C6175">
          <w:rPr>
            <w:rFonts w:ascii="宋体" w:hAnsi="宋体"/>
            <w:noProof/>
            <w:sz w:val="24"/>
          </w:rPr>
          <w:fldChar w:fldCharType="end"/>
        </w:r>
      </w:hyperlink>
    </w:p>
    <w:p w:rsidR="00023D27" w:rsidRPr="007C6175" w:rsidRDefault="007C6175" w:rsidP="007C6175">
      <w:pPr>
        <w:pStyle w:val="ad"/>
        <w:snapToGrid w:val="0"/>
        <w:spacing w:after="240" w:line="360" w:lineRule="auto"/>
        <w:jc w:val="center"/>
        <w:rPr>
          <w:rFonts w:ascii="宋体" w:hAnsi="宋体"/>
          <w:color w:val="000000"/>
          <w:sz w:val="24"/>
        </w:rPr>
      </w:pPr>
      <w:r w:rsidRPr="007C6175">
        <w:rPr>
          <w:rFonts w:ascii="宋体" w:hAnsi="宋体"/>
          <w:color w:val="000000"/>
          <w:position w:val="-4"/>
          <w:sz w:val="24"/>
          <w:szCs w:val="30"/>
        </w:rPr>
        <w:fldChar w:fldCharType="end"/>
      </w:r>
      <w:bookmarkStart w:id="3" w:name="_GoBack"/>
      <w:bookmarkEnd w:id="3"/>
    </w:p>
    <w:p w:rsidR="00023D27" w:rsidRDefault="00023D27">
      <w:pPr>
        <w:autoSpaceDE w:val="0"/>
        <w:autoSpaceDN w:val="0"/>
        <w:adjustRightInd w:val="0"/>
        <w:snapToGrid w:val="0"/>
        <w:spacing w:line="360" w:lineRule="auto"/>
        <w:ind w:left="120" w:rightChars="6" w:right="13"/>
        <w:rPr>
          <w:rFonts w:ascii="宋体" w:hAnsi="宋体"/>
          <w:kern w:val="0"/>
          <w:szCs w:val="24"/>
        </w:rPr>
        <w:sectPr w:rsidR="00023D27">
          <w:pgSz w:w="11920" w:h="16840"/>
          <w:pgMar w:top="1480" w:right="1680" w:bottom="280" w:left="1680" w:header="0" w:footer="1073" w:gutter="0"/>
          <w:cols w:space="720"/>
        </w:sectPr>
      </w:pPr>
    </w:p>
    <w:p w:rsidR="00023D27" w:rsidRDefault="009969CB">
      <w:pPr>
        <w:pStyle w:val="1"/>
        <w:snapToGrid w:val="0"/>
        <w:spacing w:beforeLines="0" w:before="240" w:after="240"/>
        <w:rPr>
          <w:rFonts w:ascii="宋体" w:hAnsi="宋体"/>
          <w:szCs w:val="30"/>
        </w:rPr>
      </w:pPr>
      <w:bookmarkStart w:id="4" w:name="_Toc238542770"/>
      <w:r>
        <w:rPr>
          <w:rFonts w:ascii="Times New Roman" w:hAnsi="Times New Roman"/>
          <w:sz w:val="30"/>
        </w:rPr>
        <w:lastRenderedPageBreak/>
        <w:t>一、绪言</w:t>
      </w:r>
      <w:bookmarkEnd w:id="4"/>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安悦平衡养老目标三年持有期混合型发起式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养老目标证券投资基金指引（试行）》和其他相关法律法规的规定以及《交银施罗德安悦平衡养老目标三年持有期混合型发起式基金中基金（FOF）基金合同》（以下简称“基金合同”）编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5" w:name="_Toc238542771"/>
      <w:r>
        <w:rPr>
          <w:rFonts w:ascii="Times New Roman" w:hAnsi="Times New Roman"/>
          <w:sz w:val="30"/>
        </w:rPr>
        <w:lastRenderedPageBreak/>
        <w:t>二、释义</w:t>
      </w:r>
      <w:bookmarkEnd w:id="5"/>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1、基金或本基金：指交银施罗德安悦平衡养老目标三年持有期混合型发起式基金中基金（FOF）</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4、基金合同、《基金合同》：指《交银施罗德安悦平衡养老目标三年持有期混合型发起式基金中基金（FOF）基金合同》及对基金合同的任何有效修订和补充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5、托管协议：指基金管理人与基金托管人就本基金签订之《交银施罗德安悦平衡养老目标三年持有期混合型发起式基金中基金（FOF）托管协议》及对该托管协议的任何有效修订和补充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6、招募说明书、《招募说明书》或本招募说明书：指《交银施罗德安悦平衡养老目标三年持有期混合型发起式基金中基金（FOF）招募说明书》及其更新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7、基金产品资料概要：指《交银施罗德安悦平衡养老目标三年持有期混合型发起式基金中基金（FOF）基金产品资料概要》及其更新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8、基金份额发售公告：指《交银施罗德安悦平衡养老目标三年持有期混合型发起式基金中基金（FOF）基金份额发售公告》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21、投资人、投资者：指个人投资者、机构投资者、合格境外投资者、发起资金提供方以及法律法规或中国证监会允许购买证券投资基金的其他投资人的合称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w:t>
      </w:r>
      <w:r>
        <w:rPr>
          <w:rFonts w:ascii="宋体" w:hAnsi="宋体"/>
          <w:sz w:val="24"/>
        </w:rPr>
        <w:lastRenderedPageBreak/>
        <w:t>的条件要求将基金份额兑换为现金的行为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55、基金份额类别：指本基金将基金份额分为不同的类别。非针对个人养老金投资基金业务设立的基金份额，称为A类基金份额；针对个人养老金投资基金业务设立的基金份额，称为Y类基金份额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发起式基金：指符合《运作办法》和中国证监会规定的相关条件而募集、运作，由基金管理人、基金管理人股东、基金管理人高级管理人员或基金经理（指基金管理人员工中依法具有基金经理资格者，包括但不限于本基金的基金经理，下</w:t>
      </w:r>
      <w:r>
        <w:rPr>
          <w:rFonts w:ascii="宋体" w:hAnsi="宋体"/>
          <w:sz w:val="24"/>
        </w:rPr>
        <w:lastRenderedPageBreak/>
        <w:t>同）等人员承诺认购一定金额并持有一定期限的证券投资基金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发起资金：指基金管理人的股东资金、基金管理人固有资金、基金管理人高级管理人员或基金经理等人员参与认购的资金。发起资金认购本基金的金额不低于1000万元人民币，且发起资金认购的基金份额持有期限自基金合同生效日起不低于三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58、发起资金提供方：指以发起资金认购本基金且承诺以发起资金认购的基金份额持有期限自基金合同生效之日起不少于三年的基金管理人股东、基金管理人、基金管理人高级管理人员或基金经理等人员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59、规定媒介：指符合中国证监会规定条件的用以进行信息披露的全国性报刊及《信息披露办法》规定的互联网网站（包括基金管理人网站、基金托管人网站、中国证监会基金电子披露网站）等媒介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64、不可抗力：指基金合同当事人不能预见、不能避免且不能克服的客观事件</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6" w:name="_Toc238542772"/>
      <w:r>
        <w:rPr>
          <w:rFonts w:ascii="Times New Roman" w:hAnsi="Times New Roman"/>
          <w:sz w:val="30"/>
        </w:rPr>
        <w:lastRenderedPageBreak/>
        <w:t>三、基金管理人</w:t>
      </w:r>
      <w:bookmarkEnd w:id="6"/>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基金经理。上海财经大学经济学博士。10年证券投资行业从业经验。2016年加入交银施罗德基金管理有限公司，曾任量化投资部研究员、多元资产管理部研究员、投资经理，现任多元资产管理部基金经理以及基金投顾业务投资经理。曾任交银施罗德招享一年持有期混合型基金中基金（FOF）(2021年08月24日至2025年05月08日)、交银施罗德智选星光混合型基金中基金（FOF-LOF）(2021年11月10日至2026年08月10日)、交银施罗德慧选睿信一年持有期混合型基金中基金（FOF）(2022年07月27日至2025年05月08日)、交银施罗德安享稳健养老目标一年持有期混合型基金中基金（FOF）(2023年01月07日至2025年07月12日)、交银施罗德智选进取三个月持有期混合型发起式基金中基金（FOF）(2023年12月27日至2026年08月10日)的基金经理。现任交银施罗德兴享一年持有期混合型基金中基金（FOF）(2021年12月01日至今)、交银施罗德优享一年持有期混合型基金中基金（FOF）(2022年01月27日至今)、交银施罗德养老目标日期2035三年持有期混合型基金中基金（FOF）(2023年01月07日至今)、交银施罗德安悦平衡养老目标三年持有期混合型发起式基金中基金（FOF）(2024年02月05日至今)的基金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从业年限。历任中国银行股份有限公司上海市分行产品经理、交通银行股份有限公司总行资产管理中心交易员/投资经理、交银理财有限责任公司固定收益部、多资产投资部投资经理。2026年加入交银施罗德基金管理有限公司，现任多元资产管理助理总监、基金经理。现任交银施罗德优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兴享一年持有期混合型基金中基金（FOF）(2026年08月22日至今)的基金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黄莹洁（固定收益（公募）投资助理总监、基金经理）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（5）侵占、挪用基金财产；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7" w:name="_Toc238542773"/>
      <w:r>
        <w:rPr>
          <w:rFonts w:ascii="Times New Roman" w:hAnsi="Times New Roman"/>
          <w:sz w:val="30"/>
        </w:rPr>
        <w:lastRenderedPageBreak/>
        <w:t>四、基金托管人</w:t>
      </w:r>
      <w:bookmarkEnd w:id="7"/>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9月30日，本集团总资产126,440.75亿元人民币，高级法下资本充足率17.59%，权重法下资本充足率15.07%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258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w:t>
      </w:r>
      <w:r>
        <w:rPr>
          <w:rFonts w:ascii="宋体" w:hAnsi="宋体"/>
          <w:sz w:val="24"/>
        </w:rPr>
        <w:lastRenderedPageBreak/>
        <w:t>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截至2025年9月30日，招商银行股份有限公司累计托管1707只证券投资基金。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（3）独立性原则。招商银行资产托管部各团队、各岗位职责保持相对独立，不同托管资产之间、托管资产和自有资产之间相互分离。内部控制的检查、评价部门独立于内部控制的建立和执行部门。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w:t>
      </w:r>
      <w:r>
        <w:rPr>
          <w:rFonts w:ascii="宋体" w:hAnsi="宋体"/>
          <w:sz w:val="24"/>
        </w:rPr>
        <w:lastRenderedPageBreak/>
        <w:t>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8" w:name="_Toc238542774"/>
      <w:r>
        <w:rPr>
          <w:rFonts w:ascii="Times New Roman" w:hAnsi="Times New Roman"/>
          <w:sz w:val="30"/>
        </w:rPr>
        <w:lastRenderedPageBreak/>
        <w:t>五、相关服务机构</w:t>
      </w:r>
      <w:bookmarkEnd w:id="8"/>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（3）名称：兴业证券股份有限公司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（4）名称：东方财富证券股份有限公司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（5）名称：中信证券（山东）有限责任公司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传真：0532-85022605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（6）名称：中信证券股份有限公司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（7）名称：中信证券华南股份有限公司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（8）名称：华泰证券股份有限公司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（9）名称：国金证券股份有限公司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住所：四川省成都市东城根上街95号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（10）名称：中信建投证券股份有限公司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（11）名称：深圳市新兰德证券投资咨询有限公司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（12）名称：济安财富（北京）基金销售有限公司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传真：010-65330699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（13）名称：博时财富基金销售有限公司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（14）名称：大连网金基金销售有限公司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（15）名称：京东肯特瑞基金销售有限公司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客服热线：95118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（16）名称：腾安基金销售（深圳）有限公司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（17）名称：珠海盈米基金销售有限公司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（18）名称：上海华夏财富投资管理有限公司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（19）名称：北京度小满基金销售有限公司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（20）名称：南京苏宁基金销售有限公司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（21）名称：嘉实财富管理有限公司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（22）名称：北京汇成基金销售有限公司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电话：（010）56282140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（23）名称：上海利得基金销售有限公司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（24）名称：上海挖财基金销售有限公司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（25）名称：万家财富基金销售（天津）有限公司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联系人：王茜蕊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（26）名称：上海万得基金销售有限公司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（27）名称：北京雪球基金销售有限公司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（28）名称：中证金牛（北京）基金销售有限公司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（29）名称：上海证达通基金销售有限公司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（30）名称：北京创金启富基金销售有限公司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（31）名称：奕丰基金销售有限公司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（32）名称：上海天天基金销售有限公司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（33）名称：诺亚正行基金销售有限公司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（34）名称：上海好买基金销售有限公司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（35）名称：上海长量基金销售有限公司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（36）名称：深圳众禄基金销售股份有限公司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（37）名称：蚂蚁（杭州）基金销售有限公司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（38）名称：北京展恒基金销售股份有限公司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（39）名称：泛华普益基金销售有限公司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（40）名称：上海联泰基金销售有限公司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（41）名称：宜信普泽（北京）基金销售有限公司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（42）名称：浙江同花顺基金销售有限公司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法定代表人：吴强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（43）名称：上海基煜基金销售有限公司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（44）名称：中信期货有限公司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名称：中国证券登记结算有限责任公司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9" w:name="_Toc238542775"/>
      <w:r>
        <w:rPr>
          <w:rFonts w:ascii="Times New Roman" w:hAnsi="Times New Roman"/>
          <w:sz w:val="30"/>
        </w:rPr>
        <w:lastRenderedPageBreak/>
        <w:t>六、基金的募集</w:t>
      </w:r>
      <w:bookmarkEnd w:id="9"/>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本基金由基金管理人依照《基金法》、《运作办法》、《销售办法》、基金合同及其他有关规定，并经中国证监会2023年12月1日证监许可【2023】2731号文准予募集注册。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本基金为契约型开放式混合型基金中基金（FOF）。基金存续期间为不定期。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本基金2023年12月20日至2024年1月31日进行发售，本基金设立募集期共募集55,847,913.21份基金份额，有效认购户数为822户。</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0" w:name="_Toc238542776"/>
      <w:r>
        <w:rPr>
          <w:rFonts w:ascii="Times New Roman" w:hAnsi="Times New Roman"/>
          <w:sz w:val="30"/>
        </w:rPr>
        <w:lastRenderedPageBreak/>
        <w:t>七、基金合同的生效</w:t>
      </w:r>
      <w:bookmarkEnd w:id="10"/>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根据有关规定，本基金满足基金合同生效条件，基金合同已于2024年2月5日正式生效。自基金合同生效之日起，本基金管理人正式开始管理本基金。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1" w:name="_Toc238542777"/>
      <w:r>
        <w:rPr>
          <w:rFonts w:ascii="Times New Roman" w:hAnsi="Times New Roman"/>
          <w:sz w:val="30"/>
        </w:rPr>
        <w:lastRenderedPageBreak/>
        <w:t>八、基金份额的申购与赎回</w:t>
      </w:r>
      <w:bookmarkEnd w:id="11"/>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个人投资者可以通过基金管理人网上直销交易平台办理开户、本基金的申购、定期定额投资等业务，具体交易细则请参阅基金管理人网站。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基金份额最短持有期限届满后申请赎回，具体办理时间为上海证券交易所、深圳证券交易所的正常交易日的交易时间（若该工作日为非港股通交</w:t>
      </w:r>
      <w:r>
        <w:rPr>
          <w:rFonts w:ascii="宋体" w:hAnsi="宋体"/>
          <w:sz w:val="24"/>
        </w:rPr>
        <w:lastRenderedPageBreak/>
        <w:t>易日，则本基金可不开放），但基金管理人根据法律法规、中国证监会的要求或基金合同的规定公告暂停申购、赎回时除外。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本基金A类基金份额已于2024年2月6日起开放申购业务。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本基金Y类基金份额已于2025年4月2日起开放申购业务。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自A类基金份额基金合同生效之日起三年后年度对日（含该日）开始办理赎回，具体业务办理时间在赎回开始公告中规定。自Y类基金份额开放申购业务之日起至三年后的年度对日（含该日）开始办理Y类基金份额的赎回，具体业务办理时间在赎回开始公告中规定。对于每份基金份额，自其最短持有期限届满的下一工作日起（含该日），基金份额持有人方可就该基金份额提出赎回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在确定赎回开始时间后，基金管理人应在赎回开放日前依照《信息披露办法》的有关规定在规定媒介上公告赎回的开始时间。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最短持有期限内提出的赎回或转换申请，视为无效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w:t>
      </w:r>
      <w:r>
        <w:rPr>
          <w:rFonts w:ascii="宋体" w:hAnsi="宋体"/>
          <w:sz w:val="24"/>
        </w:rPr>
        <w:lastRenderedPageBreak/>
        <w:t>资者的合法权益不受损害并得到公平对待。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基金管理人可对Y类基金份额实施不同的申购金额限制或豁免申购限制，敬请投资者留意本基金管理人的有关公告。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1、申购和赎回的申请方式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+10日（包括该日）内支付赎回款项。在发生巨额赎回或基金合同载明的其他暂停赎回或延缓支付赎回款项的情形时，款项的支付办法参照基金合同有关条款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+3日（包括该日）内对该交易的有效性进行确认。T日提交的有效申请，投资人应在T+4日后（包括该日）及时到销售网点柜台或以销售机构规定的其他方式查询申请的确认情况。若申购不成功，则申购款项本金退还给投资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（1）投资人T日申购基金成功后，正常情况下，登记机构在T＋3日为投资人增加权益并办理登记手续。投资人应及时查询有关申请的确认情况。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（2）投资人T日赎回基金成功后，正常情况下，登记机构在T＋3日为投资人扣除权益并办理相应的登记手续。</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（3）基金管理人可在法律法规允许的范围内，对上述登记办理时间进行调整，并于开始实施前按照《信息披露办法》的有关规定在规定媒介上公告。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Y类基金份额。投资人申购A类基金份额和Y类基金份额在申购时支付申购费用。本基金的申购费用由该类基金份额申购人承担，不列入基金财产，主要用于本基金的市场推广、销售、登记结算等各项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本基金A类基金份额和Y类基金份额的申购费率如下：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w:t>
            </w:r>
            <w:r>
              <w:rPr>
                <w:rFonts w:ascii="Times New Roman" w:hAnsi="Times New Roman"/>
                <w:color w:val="000000"/>
                <w:kern w:val="0"/>
                <w:sz w:val="25"/>
                <w:szCs w:val="24"/>
              </w:rPr>
              <w:t>/Y</w:t>
            </w:r>
            <w:r>
              <w:rPr>
                <w:rFonts w:ascii="Times New Roman" w:hAnsi="Times New Roman"/>
                <w:color w:val="000000"/>
                <w:kern w:val="0"/>
                <w:sz w:val="25"/>
                <w:szCs w:val="24"/>
              </w:rPr>
              <w:t>类基金份额申购费率</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因红利自动再投资而产生的该类基金份额，不收取相应的申购费用。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基金管理人可对Y类基金份额实施费率优惠或豁免申购费用，敬请投资者留意本基金管理人的有关公告。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本基金对通过基金管理人直销柜台申购本基金A类基金份额的非个人养老金客户实施特定申购费率。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非个人养老金客户指基本养老基金与依法成立的养老计划筹集的资金及其投资运营收益形成的补充养老基金等，具体包括：</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如将来出现经养老基金监管部门认可的新的养老基金类型，基金管理人可在招募说明书更新或发布临时公告将其纳入非个人养老金客户范围。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通过基金管理人直销柜台申购本基金A类基金份额的非个人养老金客户特定申购费率如下表：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0.30%</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Y类基金份额的有效份额为净申购金额除以当日该类基金份额的基金份额净值，有效份额单位为份，申购份额计算结果按四舍五入方法，保留到小数点后2位，由此产生的收益或损失由基金财产承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Y类基金份额的赎回金额为按实际确认的有效赎回份额乘以当日该类基金份额的基金份额净值并扣除相应的费用（如有），赎回金额单位为元。赎回金额计算结果按四舍五入方法，保留到小数点后2位，由此产生的收益或</w:t>
      </w:r>
      <w:r>
        <w:rPr>
          <w:rFonts w:ascii="宋体" w:hAnsi="宋体"/>
          <w:sz w:val="24"/>
        </w:rPr>
        <w:lastRenderedPageBreak/>
        <w:t>损失由基金财产承担。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申购份额=（申购总金额-申购费用）/T日A类或Y类基金份额净值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例三：某投资者投资100,000.00元申购本基金的A类基金份额，假设申购当日A类基金份额净值为1.0400元，申购费率为1.2%，则其可得到的申购份额为：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净申购金额=100,000.00/（1+1.2%）=98,814.23元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申购费用=100,000.00-98,814.23=1,185.77元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申购份额=（100,000-1,185.77）/1.0400=95,013.68份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即：某投资者投资100,000.00元申购本基金的A类基金份额，假设申购当日A类基金份额净值为1.0400元，则其可得到95,013.68份A类基金份额。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例四：某非个人养老金客户投资1,000,000.00元通过基金管理人的直销柜台申购本基金的A类基金份额，假设申购当日A类基金份额净值为1.0400元，申购费率为0.48%，则其可得到的申购份额为：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净申购金额=1,000,000.00/（1+0.48%）=995,222.93元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申购费用=1,000,000.00-995,222.93=4,777.07元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申购份额=（1,000,000-4,777.07）/1.0400=956,945.13份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即：该非个人养老金客户投资1,000,000.00元通过基金管理人的直销柜台申购本基金的A类基金份额，假设申购当日A类基金份额净值为1.0400元，则其可得到956,945.13份A类基金份额。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赎回费用=赎回份额×T日A类或Y类基金份额净值×赎回费率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赎回金额=赎回份额×T日A类或Y类基金份额净值-赎回费用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例五：某投资者赎回持有的10,000.00份A类基金份额或Y类基金份额，持有期限为三年，对应的赎回费率为0，假设赎回当日该类基金份额净值是1.0160元，则其可得到的赎回金额为：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赎回费用=10,000.00×1.0160×0=0元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赎回金额=10,000.00×1.0160-0＝10,160.00元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即：投资者赎回本基金10,000.00份A类基金份额或Y类基金份额，持有期限为三年，对应的赎回费率为0，假设赎回当日该类基金份额净值是1.0160元，则其可得到的赎回金额为10,160.00元。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Y类基金份额净值＝Y类基金份额的基金资产净值总额/发行在外的Y类基金份额总数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Y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+3日内披露本基金T日各类基金份额的基金份额净值和基金份额累计净值。遇特殊情况，经履行适当程序，可以适当延迟计算或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6、接受某笔或某些申购申请可能会影响或损害现有基金份额持有人利益时。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8、基金资产规模过大，使基金管理人无法找到合适的投资品种，或其他可能对基金业绩产生负面影响，或发生其他损害现有基金份额持有人利益的情形。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基金管理人、基金管理人高级管理人员或基金经理等人员作为发起资金提供方除外）持有基金份额的比例超过50%，或者变相规避50%集中度的。出现上述情形时，基金管理人有权将上述申购申请全部或部分确认失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7、发生继续接受赎回申请将损害现有基金份额持有人利益的情形时，基金管理人可暂停接受基金份额持有人的赎回申请。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法律法规对Y类基金份额的继承等事项另有规定的，按法律法规的规定执行。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本基金2024年2月6日刊登公告自2024年2月6日起开通A类基金份额的定期定额</w:t>
      </w:r>
      <w:r>
        <w:rPr>
          <w:rFonts w:ascii="宋体" w:hAnsi="宋体"/>
          <w:sz w:val="24"/>
        </w:rPr>
        <w:lastRenderedPageBreak/>
        <w:t>投资计划业务，本基金2025年4月1日刊登公告自2025年4月2日起开通Y类基金份额的定期定额投资计划业务，具体开通销售机构名单和业务规则参见相关公告。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2" w:name="_Toc238542778"/>
      <w:r>
        <w:rPr>
          <w:rFonts w:ascii="Times New Roman" w:hAnsi="Times New Roman"/>
          <w:sz w:val="30"/>
        </w:rPr>
        <w:lastRenderedPageBreak/>
        <w:t>九、基金的投资</w:t>
      </w:r>
      <w:bookmarkEnd w:id="12"/>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本基金为基金中基金，在保持基金资产良好的流动性的前提下，力争实现基金资产的长期增值，满足养老资金理财需求。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本基金投资于权益类资产包括股票（含存托凭证）、股票型基金（包括股票指数基金）、混合型基金的战略配置目标比例为50%，投资比例为基金资产的35%-60%。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计入上述权益类资产的混合型基金需符合下列两个条件之一：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1、基金合同中约定股票投资占基金资产的比例不低于60%的混合型基金；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2、最近四个季度披露的股票投资占基金资产的比例均不低于60%的混合型基金。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本基金投资策略主要分为以下七个部分：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目标风险策略来进行投资品种的大类资产配置，通过对宏观经济运行周期、货币与财政政策形势、资金面供求变化、证券市场走势与估值水平等综合分析，并融合量化投资方法，结合国内外先进资产配置理念，及时把握市场时机，在基于目标风险策略应用过程中，本基金根据既定的风险预算对投资组合进行目标约束，并根据该风险预算目标来调整资产配置比例，获取资产配置收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被投资基金运作合规，风格清晰，中长期收益良好，业绩波动性较低，根据定性评估分析结果，最</w:t>
      </w:r>
      <w:r>
        <w:rPr>
          <w:rFonts w:ascii="宋体" w:hAnsi="宋体"/>
          <w:sz w:val="24"/>
        </w:rPr>
        <w:lastRenderedPageBreak/>
        <w:t>终确定本基金的投资组合及配置比例。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综上，本基金通过定量和定性相结合的方法，长期持续跟踪本基金的组合业绩，并定期对基金组合进行维护，力争实现基金资产的长期增值。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w:t>
      </w:r>
      <w:r>
        <w:rPr>
          <w:rFonts w:ascii="宋体" w:hAnsi="宋体"/>
          <w:sz w:val="24"/>
        </w:rPr>
        <w:lastRenderedPageBreak/>
        <w:t>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7、风险控制策略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本基金定位为平衡型目标风险策略基金，在风险控制策略上，将从大类资产配置、子基金选择、整体流动性风险等方面来控制风险。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特定的风险偏好设定权益类资产、非权益资产的基准配置比例，通过控制目标风险，根据既定的风险预算对投资组合进行目标约束，并进行战术上的调整，当组合的实际风险偏离风险目标时，通过调整权益类资产、非权益类资产的配置比例，将整个投资组合维持在相对稳定的市场风险暴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子基金选择方面，采用基金绩效评估系统进行全面分析，同时着重对子基金的风险控制能力进行评估，包括风险指标和风险调整后收益指标等，及时调整子基金在投资组合中的比例，来控制子基金在投资组合中的风险暴露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整体流动性风险方面，本基金将通过严格控制封闭运作的基金、定期开放基金等流动受限基金的投资比例，有效控制流动性风险。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投资于权益类资产包括股票（含存托凭证）、股票型基金（包括股票指数基金）、混合型基金的战略配置目标比例为50%，投资比例为基金资产的35%-60%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（3）本基金持有单只基金的市值，不得高于本基金资产净值的20%，且不得持有其他基金中基金；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不含指数基金、ETF和商品基金等品种）的运作期限不少于2年、最近两年平均季末基金净资产应当不低于2亿元；被投资基金为指数基金、ETF和商品基金等品种的，运作期限应当不少于1年，最近定期报告披露的季末基金净资产应当不低于1亿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w:t>
      </w:r>
      <w:r>
        <w:rPr>
          <w:rFonts w:ascii="宋体" w:hAnsi="宋体"/>
          <w:sz w:val="24"/>
        </w:rPr>
        <w:lastRenderedPageBreak/>
        <w:t>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48%×中证偏股型基金指数收益率+2%×恒生指数收益率+50%×中债综合全价指数收益率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投资的业绩比较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w:t>
      </w:r>
      <w:r>
        <w:rPr>
          <w:rFonts w:ascii="宋体" w:hAnsi="宋体"/>
          <w:sz w:val="24"/>
        </w:rPr>
        <w:lastRenderedPageBreak/>
        <w:t>最有影响的一种股价指数。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w:t>
      </w:r>
      <w:r>
        <w:rPr>
          <w:rFonts w:ascii="宋体" w:hAnsi="宋体"/>
          <w:sz w:val="24"/>
        </w:rPr>
        <w:lastRenderedPageBreak/>
        <w:t>比较基准、风险收益特征等约定仅适用于主袋账户。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本基金托管人招商银行股份有限公司根据本基金合同规定，于2025年10月27日复核了本报告中的财务指标、净值表现和投资组合报告等内容，保证复核内容不存在虚假记载、误导性陈述或者重大遗漏。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60,200,953.60</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87.67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4.99</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4.99</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3,998,560.00</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5.82</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1,023,467.37</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1.49</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17,433.36</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68,668,989.39</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3、期末按公允价值占基金资产净值比例大小排序的股票投资明细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1,610,149.26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2.35</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1,007,731.23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1.47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019643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205,912.49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202,485.10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019710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国债</w:t>
            </w: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201,901.42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 报告期末本基金投资的股指期货持仓和损益明细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14,658.91</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2,774.45</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right"/>
              <w:rPr>
                <w:rFonts w:ascii="宋体" w:hAnsi="宋体"/>
                <w:color w:val="000000"/>
                <w:kern w:val="0"/>
                <w:sz w:val="25"/>
                <w:szCs w:val="24"/>
              </w:rPr>
            </w:pPr>
            <w:r>
              <w:rPr>
                <w:rFonts w:ascii="Times New Roman" w:hAnsi="Times New Roman"/>
                <w:color w:val="000000"/>
                <w:kern w:val="0"/>
                <w:sz w:val="25"/>
                <w:szCs w:val="24"/>
              </w:rPr>
              <w:t>17,433.36</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11.6 投资组合报告附注的其他文字描述部分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3" w:name="_Toc238542779"/>
      <w:r>
        <w:rPr>
          <w:rFonts w:ascii="Times New Roman" w:hAnsi="Times New Roman"/>
          <w:sz w:val="30"/>
        </w:rPr>
        <w:lastRenderedPageBreak/>
        <w:t>十、基金的业绩</w:t>
      </w:r>
      <w:bookmarkEnd w:id="13"/>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（1）交银安悦平衡养老三年持有期混合发起（FOF）A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23D2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23D2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16.23%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11.44%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023D2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1.93%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3.12%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023D2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13.44%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-10.68%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（2）交银安悦平衡养老三年持有期混合发起（FOF）Y</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23D2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23D2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自基金份额类别首次确认起至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注：本基金的业绩比较基准为48%×中证偏股型基金指数收益率+2%×恒生指数收益率+50%×中债综合全价指数收益率，每日进行再平衡过程。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023D27" w:rsidRDefault="009969C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交银施罗德安悦平衡养老目标三年持有期混合型证券投资基金（FOF）</w:t>
      </w:r>
    </w:p>
    <w:p w:rsidR="00023D27" w:rsidRDefault="009969C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023D27" w:rsidRDefault="009969C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（2024年2月5日至2025年09月30日）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（1）交银安悦平衡养老三年持有期混合发起（FOF）A</w:t>
      </w:r>
    </w:p>
    <w:p w:rsidR="00023D27" w:rsidRDefault="007C617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（2）交银安悦平衡养老三年持有期混合发起（FOF）Y</w:t>
      </w:r>
    </w:p>
    <w:p w:rsidR="00023D27" w:rsidRDefault="007C617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 　　2、本基金自2025年3月10日起，开始销售Y类份额，投资者提交的申购申请于2025年9月4日被确认并将有效份额登记在册。</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4" w:name="_Toc238542780"/>
      <w:r>
        <w:rPr>
          <w:rFonts w:ascii="Times New Roman" w:hAnsi="Times New Roman"/>
          <w:sz w:val="30"/>
        </w:rPr>
        <w:lastRenderedPageBreak/>
        <w:t>十一、基金的财产</w:t>
      </w:r>
      <w:bookmarkEnd w:id="14"/>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5" w:name="_Toc238542781"/>
      <w:r>
        <w:rPr>
          <w:rFonts w:ascii="Times New Roman" w:hAnsi="Times New Roman"/>
          <w:sz w:val="30"/>
        </w:rPr>
        <w:lastRenderedPageBreak/>
        <w:t>十二、基金资产的估值</w:t>
      </w:r>
      <w:bookmarkEnd w:id="15"/>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采用估值技术确定公允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6、估值计算中涉及港币对人民币汇率的，将依据下列信息提供机构所提供的汇率为基准：当日中国人民银行或其授权机构公布的人民币与港币的中间价。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9、当发生大额申购或赎回情形时，基金管理人可以采用摆动定价机制，以确保基金估值的公平性。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1、各类基金份额的基金份额净值是按照每个估值日，该类基金份额的基金资产净值除以估值日该类基金份额的余额数量计算，精确到0.0001元，小数点后第5</w:t>
      </w:r>
      <w:r>
        <w:rPr>
          <w:rFonts w:ascii="宋体" w:hAnsi="宋体"/>
          <w:sz w:val="24"/>
        </w:rPr>
        <w:lastRenderedPageBreak/>
        <w:t>位四舍五入。基金管理人可以设立大额赎回情形下的净值精度应急调整机制，具体可参见相关公告。国家另有规定的，从其规定。T日的各类基金份额净值在所投资基金披露净值或万份收益当日（法定节假日顺延至第一个交易日）计算，并在T+3日内披露本基金T日各类基金份额的基金份额净值和基金份额累计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基金管理人于每个工作日分别计算各类基金份额的基金资产净值及基金份额净值，并按规定公告。如遇特殊情况，经履行适当程序，可以适当延迟计算或公告。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w:t>
      </w:r>
      <w:r>
        <w:rPr>
          <w:rFonts w:ascii="宋体" w:hAnsi="宋体"/>
          <w:sz w:val="24"/>
        </w:rPr>
        <w:lastRenderedPageBreak/>
        <w:t>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w:t>
      </w:r>
      <w:r>
        <w:rPr>
          <w:rFonts w:ascii="宋体" w:hAnsi="宋体"/>
          <w:sz w:val="24"/>
        </w:rPr>
        <w:lastRenderedPageBreak/>
        <w:t>告，并报中国证监会备案。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w:t>
      </w:r>
      <w:r>
        <w:rPr>
          <w:rFonts w:ascii="宋体" w:hAnsi="宋体"/>
          <w:sz w:val="24"/>
        </w:rPr>
        <w:lastRenderedPageBreak/>
        <w:t>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非基金管理人与基金托管人原因，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6" w:name="_Toc238542782"/>
      <w:r>
        <w:rPr>
          <w:rFonts w:ascii="Times New Roman" w:hAnsi="Times New Roman"/>
          <w:sz w:val="30"/>
        </w:rPr>
        <w:lastRenderedPageBreak/>
        <w:t>十三、基金收益与分配</w:t>
      </w:r>
      <w:bookmarkEnd w:id="16"/>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A类基金份额默认的收益分配方式是现金分红，Y类基金份额默认的收益分配方式为红利再投资；基金份额持有人可对其持有的各类基金份额分别选择不同的收益分配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4、本基金各基金份额类别对应的可供分配利润可能有所不同；本基金同一基金份额类别的每一基金份额享有同等分配权；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7" w:name="_Toc238542783"/>
      <w:r>
        <w:rPr>
          <w:rFonts w:ascii="Times New Roman" w:hAnsi="Times New Roman"/>
          <w:sz w:val="30"/>
        </w:rPr>
        <w:lastRenderedPageBreak/>
        <w:t>十四、基金的费用与税收</w:t>
      </w:r>
      <w:bookmarkEnd w:id="17"/>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9、本基金投资其他基金产生的其他基金的销售费用（如申购费、赎回费、销售服务费等），但法律法规禁止从基金财产中列支的除外；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10、因投资港股通标的股票而产生的各项合理费用；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各类基金份额按照不同的年费率计提管理费，各类基金份额的管理费按前一日该类基金份额基金资产净值扣除该类基金财产中持有的基金管理人自身管理的基金部分所对应资产后剩余部分的年管理费率计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本基金A类基金份额的年管理费率为0.6%；本基金Y类基金份额的年管理费率为0.3%。</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管理费的计算方法如下：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H为各类基金份额每日应计提的基金管理费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E为各类基金份额前一日的该类基金资产净值扣除该类基金财产中持有的基金管理人自身管理的基金部分所对应资产后剩余部分，若为负数，则E取0。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费每日计提，逐日累计至每月月末，按月支付。由基金管理人与基金托管人核对一致后，由基金托管人按照与基金管理人协商一致的方式自动于次月首日起5个工作日内从基金财产中一次性支付给基金管理人，若遇法定节假日、休息日或不可抗力致使无法按时支付的，支付日期顺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各类基金份额按照不同的年费率计提托管费，各类基金份额的托管费按前一日该类基金份额基金资产净值扣除该类基金财产中持有的基金托管人自身托管的基金部分所对应资产后剩余部分的年托管费率计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本基金A类基金份额的年托管费率为0.15%；本基金Y类基金份额的年托管费率为0.075%。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托管费的计算方法如下：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H为各类基金份额每日应计提的基金托管费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E为各类基金份额前一日的该类基金资产净值扣除该类基金财产中持有的基金托管人自身托管的基金部分所对应资产后剩余部分，若为负数，则E取0。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自动于次月首日起5个工作日内从基金财产中一次性支付给基金托管人，若遇法定节假日、休息日或不可抗力致使无法按时支付的，支付日期顺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（3）本基金Y类基金份额可对基金管理费和基金托管费实施一定的费率优惠，具体优惠请参看相关公告。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（4）上述“（一）基金费用的种类”中第3－11项费用，根据有关法规及相应协议规定，按费用实际支出金额列入当期费用，由基金托管人从基金财产中支付。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本基金申购费的费率水平、计算公式和收取方式详见“基金份额的申购与赎回”一章。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8" w:name="_Toc238542784"/>
      <w:r>
        <w:rPr>
          <w:rFonts w:ascii="Times New Roman" w:hAnsi="Times New Roman"/>
          <w:sz w:val="30"/>
        </w:rPr>
        <w:lastRenderedPageBreak/>
        <w:t>十五、基金的会计与审计</w:t>
      </w:r>
      <w:bookmarkEnd w:id="18"/>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19" w:name="_Toc238542785"/>
      <w:r>
        <w:rPr>
          <w:rFonts w:ascii="Times New Roman" w:hAnsi="Times New Roman"/>
          <w:sz w:val="30"/>
        </w:rPr>
        <w:lastRenderedPageBreak/>
        <w:t>十六、基金的信息披露</w:t>
      </w:r>
      <w:bookmarkEnd w:id="19"/>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《基金合同》生效公告中将说明基金募集情况及基金管理人股东、基金管理人、基金管理人高级管理人员或基金经理等人员持有的基金份额、承诺持有的期限等情况。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《基金合同》生效后，在开始办理基金份额申购或者赎回前，基金管理人应当至少每周在规定网站分别披露一次A类基金份额和Y类基金份额所对应的基金份额净值和基金份额累计净值。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3个工作日内，通过规定网站、基金销售机构网站或者营业网点，分别披露开放日A类基金份额和Y类基金份额所对应的基金份额净值和基金份额累计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基金管理人应当在不晚于半年度和年度最后一日后的3个工作日内，在规定网站披露半年度和年度最后一日A类基金份额和Y类基金份额所对应的基金份额净值和基金份额累计净值。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基金管理人应在年度报告、中期报告、季度报告中分别披露基金管理人股东、基金管理人、基金管理人高级管理人员或基金经理等人员持有基金的份额、期限及</w:t>
      </w:r>
      <w:r>
        <w:rPr>
          <w:rFonts w:ascii="宋体" w:hAnsi="宋体"/>
          <w:sz w:val="24"/>
        </w:rPr>
        <w:lastRenderedPageBreak/>
        <w:t>期间的变动情况。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w:t>
      </w:r>
      <w:r>
        <w:rPr>
          <w:rFonts w:ascii="宋体" w:hAnsi="宋体"/>
          <w:sz w:val="24"/>
        </w:rPr>
        <w:lastRenderedPageBreak/>
        <w:t>重大行政处罚、刑事处罚，基金托管人或其专门基金托管部门负责人因基金托管业务相关行为受到重大行政处罚、刑事处罚；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（25）《基金合同》生效三年后继续存续的，基金存续期内，连续30、40、45个工作日出现基金份额持有人数量不满200人或者基金资产净值低于5000万元情形；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基金管理人、基金托管人应当建立健全信息披露管理制度，指定专门部门及高级管理人员负责管理信息披露事务。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0" w:name="_Toc238542786"/>
      <w:r>
        <w:rPr>
          <w:rFonts w:ascii="Times New Roman" w:hAnsi="Times New Roman"/>
          <w:sz w:val="30"/>
        </w:rPr>
        <w:lastRenderedPageBreak/>
        <w:t>十七、侧袋机制</w:t>
      </w:r>
      <w:bookmarkEnd w:id="20"/>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023D27" w:rsidRDefault="009969CB">
      <w:pPr>
        <w:pStyle w:val="1"/>
        <w:snapToGrid w:val="0"/>
        <w:spacing w:beforeLines="0" w:before="240" w:after="240"/>
        <w:rPr>
          <w:rFonts w:ascii="宋体" w:hAnsi="宋体"/>
          <w:szCs w:val="30"/>
        </w:rPr>
      </w:pPr>
      <w:bookmarkStart w:id="21" w:name="_Toc238542787"/>
      <w:r>
        <w:rPr>
          <w:rFonts w:ascii="Times New Roman" w:hAnsi="Times New Roman"/>
          <w:sz w:val="30"/>
        </w:rPr>
        <w:lastRenderedPageBreak/>
        <w:t>十八、风险揭示</w:t>
      </w:r>
      <w:bookmarkEnd w:id="21"/>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三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基金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三年后年度对日（含该日）开始办理赎回，具体业务办理时间在赎回开始公告中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基金份额时，基金份额持有人在赎回时需特别关注申请赎回的基金份额数量，若申请赎回的基金份额超过了该基金份额持有人持续持有超过三年的基金份额数量，则基金份额持有人的赎回申请将全部被予以拒绝。基金份额持有人需承担赎回申请失败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（1）全额赎回：当基金管理人认为有能力支付投资人的全部赎回申请时，按正常赎回程序执行。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本基金在面临大规模赎回的情况下有可能因为无法变现造成流动性风险。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1、本基金为养老目标基金，致力于满足投资者的养老资金理财需求，但养老目标基金并不代表收益保障或其他任何形式的收益承诺。本基金非保本产品，存在</w:t>
      </w:r>
      <w:r>
        <w:rPr>
          <w:rFonts w:ascii="宋体" w:hAnsi="宋体"/>
          <w:sz w:val="24"/>
        </w:rPr>
        <w:lastRenderedPageBreak/>
        <w:t>投资者承担亏损的可能性。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定位为平衡型目标风险策略基金，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因此本基金所持有的基金的业绩表现、持有基金的基金管理人水平等因素将影响到本基金的基金业绩表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7、本基金为基金中基金，本基金可投资于商品基金，因此将间接承担商品基金可能面临的商品价格波动风险、投资商品期货合约的风险、盯市风险等商品投资风险。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9、本基金可投资创业板股票，创业板个股上市后的前五个交易日不设价格涨跌幅限制，第六个交易日开始涨跌幅限制比例为20%。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《基金合同》生效三年后继续存续的，基金存续期内，连续50个工作日出现基</w:t>
      </w:r>
      <w:r>
        <w:rPr>
          <w:rFonts w:ascii="宋体" w:hAnsi="宋体"/>
          <w:sz w:val="24"/>
        </w:rPr>
        <w:lastRenderedPageBreak/>
        <w:t>金份额持有人数量不满200人或基金资产净值低于5000万元情形时，基金合同终止，不需召开基金份额持有人大会。投资者可能面临基金合同提前终止的风险。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w:t>
      </w:r>
      <w:r>
        <w:rPr>
          <w:rFonts w:ascii="宋体" w:hAnsi="宋体"/>
          <w:sz w:val="24"/>
        </w:rPr>
        <w:lastRenderedPageBreak/>
        <w:t>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w:t>
      </w:r>
      <w:r>
        <w:rPr>
          <w:rFonts w:ascii="宋体" w:hAnsi="宋体"/>
          <w:sz w:val="24"/>
        </w:rPr>
        <w:lastRenderedPageBreak/>
        <w:t>及交易规则等差异带来的特有风险，包括但不限于市场风险、流动性风险、退市风险、系统性风险、政策风险等。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w:t>
      </w:r>
      <w:r>
        <w:rPr>
          <w:rFonts w:ascii="宋体" w:hAnsi="宋体"/>
          <w:sz w:val="24"/>
        </w:rPr>
        <w:lastRenderedPageBreak/>
        <w:t>险；存托凭证退市的风险；已在境外上市的基础证券发行人，在持续信息披露监管方面与境内可能存在差异的风险；境内外法律制度、监管环境差异可能导致的其他风险。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2" w:name="_Toc238542788"/>
      <w:r>
        <w:rPr>
          <w:rFonts w:ascii="Times New Roman" w:hAnsi="Times New Roman"/>
          <w:sz w:val="30"/>
        </w:rPr>
        <w:lastRenderedPageBreak/>
        <w:t>十九、基金合同的变更、终止与基金财产的清算</w:t>
      </w:r>
      <w:bookmarkEnd w:id="22"/>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3" w:name="_Toc238542789"/>
      <w:r>
        <w:rPr>
          <w:rFonts w:ascii="Times New Roman" w:hAnsi="Times New Roman"/>
          <w:sz w:val="30"/>
        </w:rPr>
        <w:lastRenderedPageBreak/>
        <w:t>二十、基金合同内容摘要</w:t>
      </w:r>
      <w:bookmarkEnd w:id="23"/>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11）发起资金提供方持有认购的基金份额的期限自《基金合同》生效之日起不少于3年；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12）法律法规及中国证监会规定的和《基金合同》约定的其他义务。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3）在符合法律法规及本基金合同规定、并且对基金份额持有人利益无实质不利影响的前提下，对基金份额分类办法及规则进行调整或者停止现有基金份额类别的销售；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w:t>
      </w:r>
      <w:r>
        <w:rPr>
          <w:rFonts w:ascii="宋体" w:hAnsi="宋体"/>
          <w:sz w:val="24"/>
        </w:rPr>
        <w:lastRenderedPageBreak/>
        <w:t>自行召集，并自出具书面决定之日起60日内召开并告知基金管理人，基金管理人应当配合；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w:t>
      </w:r>
      <w:r>
        <w:rPr>
          <w:rFonts w:ascii="宋体" w:hAnsi="宋体"/>
          <w:sz w:val="24"/>
        </w:rPr>
        <w:lastRenderedPageBreak/>
        <w:t>中说明本次基金份额持有人大会所采取的具体通讯方式、委托的公证机关及其联系方式和联系人、表决意见寄交的截止时间和收取方式。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w:t>
      </w:r>
      <w:r>
        <w:rPr>
          <w:rFonts w:ascii="宋体" w:hAnsi="宋体"/>
          <w:sz w:val="24"/>
        </w:rPr>
        <w:lastRenderedPageBreak/>
        <w:t>相关提示性公告；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w:t>
      </w:r>
      <w:r>
        <w:rPr>
          <w:rFonts w:ascii="宋体" w:hAnsi="宋体"/>
          <w:sz w:val="24"/>
        </w:rPr>
        <w:lastRenderedPageBreak/>
        <w:t>在基金份额持有人大会召开前及时公告。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基金份额持有人大会的决议自表决通过之日起生效。法律法规另有规定的，从其规定。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w:t>
      </w:r>
      <w:r>
        <w:rPr>
          <w:rFonts w:ascii="宋体" w:hAnsi="宋体"/>
          <w:sz w:val="24"/>
        </w:rPr>
        <w:lastRenderedPageBreak/>
        <w:t>应当有代表三分之一以上（含三分之一）相关基金份额的持有人参与或授权他人参与基金份额持有人大会投票；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w:t>
      </w:r>
      <w:r>
        <w:rPr>
          <w:rFonts w:ascii="宋体" w:hAnsi="宋体"/>
          <w:sz w:val="24"/>
        </w:rPr>
        <w:lastRenderedPageBreak/>
        <w:t>更改或补充，则本基金可以参照届时有效的法律法规或中国证监会规定执行；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依据基金财产清算的分配方案，将基金财产清算后的全部剩余资产扣除基金财产清算费用、交纳所欠税款并清偿基金债务后，按基金份额持有人持有的基金份额比例进行分配。</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用由败诉方承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4" w:name="_Toc238542790"/>
      <w:r>
        <w:rPr>
          <w:rFonts w:ascii="Times New Roman" w:hAnsi="Times New Roman"/>
          <w:sz w:val="30"/>
        </w:rPr>
        <w:lastRenderedPageBreak/>
        <w:t>二十一、托管协议的内容摘要</w:t>
      </w:r>
      <w:bookmarkEnd w:id="24"/>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本基金投资于权益类资产包括股票（含存托凭证）、股票型基金（包括股票指数基金）、混合型基金的战略配置目标比例为50%，投资比例为基金资产的35%-60%。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计入上述权益类资产的混合型基金需符合下列两个条件之一：</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①基金合同中约定股票投资占基金资产的比例不低于60%的混合型基金；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②最近四个季度披露的股票投资占基金资产的比例均不低于60%的混合型基</w:t>
      </w:r>
      <w:r>
        <w:rPr>
          <w:rFonts w:ascii="宋体" w:hAnsi="宋体"/>
          <w:sz w:val="24"/>
        </w:rPr>
        <w:lastRenderedPageBreak/>
        <w:t>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投资于权益类资产包括股票（含存托凭证）、股票型基金（包括股票指数基金）、混合型基金的战略配置目标比例为50%，投资比例为基金资产的35%-60%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不含指数基金、ETF和商品基金等品种）的运作期限不少于2年、最近两年平均季末基金净资产应当不低于2亿元；被投资基金为指数基金、ETF和商品基金等品种的，运作期限应当不少于1年，最近定期报告披露的季末基金净资产应当不低于1亿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9）本基金持有一家公司发行的证券（同一家公司在内地和香港同时上市的A+H股合并计算，不含本基金所投资的基金份额），其市值不超过基金资产净值的10%；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20）本基金资产总值不超过基金资产净值的140%；</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w:t>
      </w:r>
      <w:r>
        <w:rPr>
          <w:rFonts w:ascii="宋体" w:hAnsi="宋体"/>
          <w:sz w:val="24"/>
        </w:rPr>
        <w:lastRenderedPageBreak/>
        <w:t>后，则本基金投资不再受相关限制。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w:t>
      </w:r>
      <w:r>
        <w:rPr>
          <w:rFonts w:ascii="宋体" w:hAnsi="宋体"/>
          <w:sz w:val="24"/>
        </w:rPr>
        <w:lastRenderedPageBreak/>
        <w:t>《运作办法》等有关法律法规，以及国家有关账户管理、利率管理、支付结算等的各项规定。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w:t>
      </w:r>
      <w:r>
        <w:rPr>
          <w:rFonts w:ascii="宋体" w:hAnsi="宋体"/>
          <w:sz w:val="24"/>
        </w:rPr>
        <w:lastRenderedPageBreak/>
        <w:t>指定的分支机构开立银行账户。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存款凭证在邮寄过程中遗失的，由基金管理人向存款银行提出补办申请，基金管理人应督促存款银行尽快补办存款凭证，并按以上1）的方式快递或上门交付至基金托管人，原存款凭证自动作废。</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w:t>
      </w:r>
      <w:r>
        <w:rPr>
          <w:rFonts w:ascii="宋体" w:hAnsi="宋体"/>
          <w:sz w:val="24"/>
        </w:rPr>
        <w:lastRenderedPageBreak/>
        <w:t>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w:t>
      </w:r>
      <w:r>
        <w:rPr>
          <w:rFonts w:ascii="宋体" w:hAnsi="宋体"/>
          <w:sz w:val="24"/>
        </w:rPr>
        <w:lastRenderedPageBreak/>
        <w:t>后两个工作日内，以书面或其他双方认可的方式确认收到上述资料。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按照法律法规规定的期限，在中国证监会规定媒介披露所投资非公开发行股票的名称、数量、总成本、账面价值，以及总成本和账面价值占基金资产净值的比例、锁定期等信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7、本基金拟通过第三方基金销售机构投资开放式基金，基金管理人负责选择销售机构，并确保在销售机构预留的备案回款账户为本基金托管账户。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8、基金托管人根据有关法律法规的规定及《基金合同》的约定，对各类基金</w:t>
      </w:r>
      <w:r>
        <w:rPr>
          <w:rFonts w:ascii="宋体" w:hAnsi="宋体"/>
          <w:sz w:val="24"/>
        </w:rPr>
        <w:lastRenderedPageBreak/>
        <w:t>份额的基金资产净值计算及基金份额净值计算、基金费用开支及收入确定、基金收益分配、相关信息披露、基金宣传推介材料中登载基金业绩表现数据等进行监督和核查。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12、基金托管人发现基金管理人有重大违规行为，应及时报告中国证监会，同时通知基金管理人限期纠正。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13、侧袋机制的实施和投资运作安排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（三）基金管理人对基金托管人的业务核查</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（3）基金托管人按照规定开设基金财产的资金账户、证券账户等投资所需的相关账户。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包括但不限于证券交易资金账户内的资金、证券类基金资产等），由于该等机构或该机构会员单位等本协议当事人外第三方的欺诈、疏忽、过失或破产等原因给基金资产造成的损失等不承担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发起资金提供方认购金额、发起资金提供方及其承诺的持有期限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安悦平衡养老目标三年持有期混合型发起式基金中基金（FOF）”，预留印鉴为基金托管人印章。</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（3）基金资金账户的开立和管理应符合法律法规及银行业监督管理机构的有关规定。</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为基金财产在证券经纪机构开立证券交易资金账户，用于基金财产证券交易结算资金的存管、记载交易结算资金的变动明细以及场内证券交易清算，并与基金托管人开立的托管账户建立第三方存管关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不得出借或转让证券账户、证券交易资金账户，亦不得使用证券账户或证券交易资金账户进行本基金业务以外的活动。本基金通过证券经纪机构进行的交易由证券经纪机构作为结算参与人代理本基金进行结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（5）基金管理人承诺证券交易资金账户为主资金账户，不开立任何辅助资金账户；不为证券交易资金账户另行开立银行托管账户以外的其他银行账户。</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（1）基金托管人和基金管理人应当在开户过程中相互配合，并提供所需资料。基金管理人保证所提供的账户开户材料的真实性和有效性，且在相关资料变更后及时将变更的资料提供给基金托管人。</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w:t>
      </w:r>
      <w:r>
        <w:rPr>
          <w:rFonts w:ascii="宋体" w:hAnsi="宋体"/>
          <w:sz w:val="24"/>
        </w:rPr>
        <w:lastRenderedPageBreak/>
        <w:t>定，由基金管理人协助基金托管人按照有关法律法规和本协议的约定协商后开立。新账户按有关规定使用并管理。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估值日，该类基金份额的基金资产净值除以估值日该类基金份额的余额数量计算，精确到0.0001元，小数点后第五位四舍五入。基金管理人可以设立大额赎回情形下的净值精度应急调整机制，具体可参见相关公告。国家另有规定的，从其规定。T日的各类基金份额净值在所投资基金</w:t>
      </w:r>
      <w:r>
        <w:rPr>
          <w:rFonts w:ascii="宋体" w:hAnsi="宋体"/>
          <w:sz w:val="24"/>
        </w:rPr>
        <w:lastRenderedPageBreak/>
        <w:t>披露净值或万份收益当日（法定节假日顺延至第一个交易日）计算，并在T+3日内披露本基金T日各类基金份额的基金份额净值和基金份额累计净值。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基金管理人每个工作日对基金资产进行估值后，将各类基金资产净值、基金份额净值发送基金托管人，经基金托管人复核无误后，由基金管理人依据基金合同和相关法律法规的规定对外公布。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（3）财务报表的编制与复核时间安排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基金托管人不得将所保管的基金份额持有人名册用于基金托管业务以外的其他用途，并应遵守保密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w:t>
      </w:r>
      <w:r>
        <w:rPr>
          <w:rFonts w:ascii="宋体" w:hAnsi="宋体"/>
          <w:sz w:val="24"/>
        </w:rPr>
        <w:lastRenderedPageBreak/>
        <w:t>合法权益。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本协议受中华人民共和国法律（不含港澳台地区法律）管辖并从其解释。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5" w:name="_Toc238542791"/>
      <w:r>
        <w:rPr>
          <w:rFonts w:ascii="Times New Roman" w:hAnsi="Times New Roman"/>
          <w:sz w:val="30"/>
        </w:rPr>
        <w:lastRenderedPageBreak/>
        <w:t>二十二、对基金份额持有人的服务</w:t>
      </w:r>
      <w:bookmarkEnd w:id="25"/>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w:t>
      </w:r>
      <w:r w:rsidRPr="00BB248E">
        <w:rPr>
          <w:rFonts w:ascii="宋体" w:hAnsi="宋体" w:hint="eastAsia"/>
          <w:b/>
          <w:kern w:val="0"/>
          <w:sz w:val="24"/>
        </w:rPr>
        <w:t>一）持有人交易资料的寄送服务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1、每次交易结束后，投资人可在T+4个工作日后通过销售机构的网点查询和打印确认单；</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基金份额的申购、定期定额投资等业务。通过网上直销交易平台办理本基金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在条件成熟的时候，本基金管理人将根据基金网上直销业务的发展状况，适时调整可用于网上直销交易平台的银行卡种类，敬请投资者留意相关公告。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资者通过客户服务电话查询基金账户下的账户和交易信息。投资者请在其知晓基金账号后，及时拨打本基金管理人客户服务电话修改基金查询密码。</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投资者可以拨打本基金管理人客户服务电话投诉直销机构的人员和服务。</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投资者可以选择现金红利或将当期分配所得的红利再投资于本基金，若投资者不选择，本基金A类基金份额默认的收益分配方式是现金分红，Y类基金份额默认的收益分配方式为红利再投资；基金份额持有人可对其持有的各类基金份额分别选择不同的收益分配方式。再投资红利按红利再投日（即除息日）除息后的基金份额净值自动转为相应类别的基金份额，并免收申购费用。</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6" w:name="_Toc238542792"/>
      <w:r>
        <w:rPr>
          <w:rFonts w:ascii="Times New Roman" w:hAnsi="Times New Roman"/>
          <w:sz w:val="30"/>
        </w:rPr>
        <w:lastRenderedPageBreak/>
        <w:t>二十三、其他应披露事项</w:t>
      </w:r>
      <w:bookmarkEnd w:id="26"/>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）基金合同更新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）托管协议更新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）增加</w:t>
            </w:r>
            <w:r>
              <w:rPr>
                <w:rFonts w:ascii="Times New Roman" w:hAnsi="Times New Roman"/>
                <w:color w:val="000000"/>
                <w:kern w:val="0"/>
                <w:sz w:val="25"/>
                <w:szCs w:val="24"/>
              </w:rPr>
              <w:t>Y</w:t>
            </w:r>
            <w:r>
              <w:rPr>
                <w:rFonts w:ascii="Times New Roman" w:hAnsi="Times New Roman"/>
                <w:color w:val="000000"/>
                <w:kern w:val="0"/>
                <w:sz w:val="25"/>
                <w:szCs w:val="24"/>
              </w:rPr>
              <w:t>类基金份额并修改基金合同和托管协议的公告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类基金份额开放日常申购、定期定额投资业务的公告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2025-04-02</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2025-04-02</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交银施罗德基金管理有限公司关于增加中信建投证券股份有限公司为旗下基金的销售机构的公告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2025-04-18</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交银施罗德基金管理有限公司关于增加交通银行股份有限公司为旗下基金的销售机构的公告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023D2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23D27" w:rsidRDefault="009969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7" w:name="_Toc238542793"/>
      <w:r>
        <w:rPr>
          <w:rFonts w:ascii="Times New Roman" w:hAnsi="Times New Roman"/>
          <w:sz w:val="30"/>
        </w:rPr>
        <w:lastRenderedPageBreak/>
        <w:t>二十四、招募说明书的存放及查阅方式</w:t>
      </w:r>
      <w:bookmarkEnd w:id="27"/>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9969C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23D27" w:rsidRDefault="009969CB">
      <w:pPr>
        <w:pStyle w:val="1"/>
        <w:snapToGrid w:val="0"/>
        <w:spacing w:beforeLines="0" w:before="240" w:after="240"/>
        <w:rPr>
          <w:rFonts w:ascii="宋体" w:hAnsi="宋体"/>
          <w:szCs w:val="30"/>
        </w:rPr>
      </w:pPr>
      <w:bookmarkStart w:id="28" w:name="_Toc238542794"/>
      <w:r>
        <w:rPr>
          <w:rFonts w:ascii="Times New Roman" w:hAnsi="Times New Roman"/>
          <w:sz w:val="30"/>
        </w:rPr>
        <w:lastRenderedPageBreak/>
        <w:t>二十五、备查文件</w:t>
      </w:r>
      <w:bookmarkEnd w:id="28"/>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（一）中国证监会准予交银施罗德安悦平衡养老目标三年持有期混合型发起式基金中基金（FOF）募集注册的文件</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（二）《交银施罗德安悦平衡养老目标三年持有期混合型发起式基金中基金（FOF）基金合同》</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（三）《交银施罗德安悦平衡养老目标三年持有期混合型发起式基金中基金（FOF）托管协议》</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023D27" w:rsidRDefault="009969C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（六）关于申请募集注册交银施罗德安悦平衡养老目标三年持有期混合型发起式基金中基金（FOF）的法律意见书</w:t>
      </w:r>
    </w:p>
    <w:sectPr w:rsidR="00023D2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53C" w:rsidRDefault="009969CB">
      <w:r>
        <w:separator/>
      </w:r>
    </w:p>
  </w:endnote>
  <w:endnote w:type="continuationSeparator" w:id="0">
    <w:p w:rsidR="0081653C" w:rsidRDefault="00996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023D2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7C617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023D27" w:rsidRDefault="009969C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C6175">
                  <w:rPr>
                    <w:rFonts w:ascii="Times New Roman" w:hAnsi="Times New Roman"/>
                    <w:noProof/>
                    <w:kern w:val="0"/>
                    <w:sz w:val="18"/>
                    <w:szCs w:val="18"/>
                  </w:rPr>
                  <w:t>5</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023D2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7C617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023D27" w:rsidRDefault="009969C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C6175">
                  <w:rPr>
                    <w:rFonts w:ascii="Times New Roman" w:hAnsi="Times New Roman"/>
                    <w:noProof/>
                    <w:kern w:val="0"/>
                    <w:sz w:val="18"/>
                    <w:szCs w:val="18"/>
                  </w:rPr>
                  <w:t>151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53C" w:rsidRDefault="009969CB">
      <w:r>
        <w:separator/>
      </w:r>
    </w:p>
  </w:footnote>
  <w:footnote w:type="continuationSeparator" w:id="0">
    <w:p w:rsidR="0081653C" w:rsidRDefault="00996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023D2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9969CB">
    <w:pPr>
      <w:pStyle w:val="a3"/>
      <w:jc w:val="right"/>
      <w:rPr>
        <w:rFonts w:ascii="宋体" w:hAnsi="宋体"/>
      </w:rPr>
    </w:pPr>
    <w:r>
      <w:rPr>
        <w:rFonts w:ascii="宋体" w:hAnsi="宋体" w:hint="eastAsia"/>
      </w:rPr>
      <w:t>交银施罗德安悦平衡养老目标三年持有期混合型发起式基金中基金（FOF）招募说明书更新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023D27">
    <w:pPr>
      <w:pStyle w:val="10"/>
      <w:jc w:val="right"/>
    </w:pPr>
  </w:p>
  <w:p w:rsidR="00023D27" w:rsidRDefault="00023D27">
    <w:pPr>
      <w:pStyle w:val="10"/>
      <w:jc w:val="right"/>
    </w:pPr>
  </w:p>
  <w:p w:rsidR="00023D27" w:rsidRDefault="00023D27">
    <w:pPr>
      <w:pStyle w:val="a3"/>
      <w:jc w:val="right"/>
    </w:pPr>
  </w:p>
  <w:p w:rsidR="00023D27" w:rsidRDefault="009969CB">
    <w:pPr>
      <w:pStyle w:val="a3"/>
      <w:jc w:val="right"/>
      <w:rPr>
        <w:rFonts w:ascii="宋体" w:hAnsi="宋体"/>
      </w:rPr>
    </w:pPr>
    <w:r>
      <w:rPr>
        <w:rFonts w:ascii="宋体" w:hAnsi="宋体" w:hint="eastAsia"/>
      </w:rPr>
      <w:t>交银施罗德安悦平衡养老目标三年持有期混合型发起式基金中基金（FOF）招募说明书更新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27" w:rsidRDefault="00023D27">
    <w:pPr>
      <w:pStyle w:val="a3"/>
      <w:jc w:val="right"/>
    </w:pPr>
  </w:p>
  <w:p w:rsidR="00023D27" w:rsidRDefault="00023D27">
    <w:pPr>
      <w:pStyle w:val="a3"/>
      <w:jc w:val="right"/>
    </w:pPr>
  </w:p>
  <w:p w:rsidR="00023D27" w:rsidRDefault="00023D27">
    <w:pPr>
      <w:pStyle w:val="a3"/>
      <w:jc w:val="right"/>
    </w:pPr>
  </w:p>
  <w:p w:rsidR="00023D27" w:rsidRDefault="009969CB">
    <w:pPr>
      <w:pStyle w:val="a3"/>
      <w:jc w:val="right"/>
      <w:rPr>
        <w:rFonts w:ascii="宋体" w:hAnsi="宋体"/>
      </w:rPr>
    </w:pPr>
    <w:r>
      <w:rPr>
        <w:rFonts w:ascii="宋体" w:hAnsi="宋体" w:hint="eastAsia"/>
      </w:rPr>
      <w:t>交银施罗德安悦平衡养老目标三年持有期混合型发起式基金中基金（FOF）招募说明书更新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3D27"/>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75"/>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53C"/>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969CB"/>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FE0D579A-1984-492D-AC38-ACACBCAB0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152</Pages>
  <Words>16817</Words>
  <Characters>95861</Characters>
  <Application>Microsoft Office Word</Application>
  <DocSecurity>0</DocSecurity>
  <Lines>798</Lines>
  <Paragraphs>224</Paragraphs>
  <ScaleCrop>false</ScaleCrop>
  <Company>Microsoft</Company>
  <LinksUpToDate>false</LinksUpToDate>
  <CharactersWithSpaces>112454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2026-08-25T01:32:00Z</dcterms:created>
  <dcterms:modified xsi:type="dcterms:W3CDTF">2026-08-25T01:32:00Z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