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交银施罗德养老目标日期2035三年持有期混合型基金中基金（FOF）</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基金托管人：中信银行股份有限公司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二〇二六年八月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496884613"/>
      <w:bookmarkStart w:id="2" w:name="_Toc238542799"/>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养老目标日期2035三年持有期混合型基金中基金（FOF）（以下简称“本基金”）经2019年11月26日中国证券监督管理委员会（以下简称“中国证监会”）证监许可【2019】2546号文准予募集注册。本基金基金合同于2020年4月29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信用风险；基金中基金的特有风险；投资资产支持证券的特定风险；投资流通受限证券的特定风险；连续50个工作日出现基金份额持有人数量不满200人或基金资产净值低于5000万元情形时基金管理人提前终止基金合同的风险；投资科创板股票的特定风险；投资本基金的其他风险等等。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本基金为养老目标基金，致力于满足投资者的养老资金理财需求，但养老目标基金并不代表收益保障或其他任何形式的收益承诺。本基金非保本产品，存在投资者承担亏损的可能性。</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到达目标日期（2035年12月31日）后2036年第一个工作日，本基金转型为“交银施罗德债基优选债券型基金中基金（FOF）”，不再设置最短持有期，基金管理人将根据转型后基金合同的约定在开放日办理基金份额的申购和赎回。</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因此，对于基金份额持有人而言，存在投资本基金后三年内无法赎回的风险。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三年的基金份额数量，则基金份额持有人的赎回申请将被予以拒绝。基金份额持有人需承担赎回申请失败的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基金管理人可以对招募说明书中披露的下滑曲线进行调整，实际投资与预设的下滑曲线可能存在差异。目标日期前，本基金的预期风险与预期收益水平随着目标日期的临近而逐步降低。</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资产可投资于内地与香港股票市场交易互联互通机制允许买卖的规定范围内的香港联合交易所有限公司（以下简称“香港联合交易所”）上市的股票（以下简称“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次更新招募说明书主要对基金经理变更相关事项进行了相应更新，更新截止日为2026年08月22日，除非另有说明，本招募说明书其他所载内容截止日为2025年12月01日，有关财务数据和净值表现截止日为2025年09月30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"_Toc238542799"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_Toc238542799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"_Toc238542800"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_Toc238542800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"_Toc238542801"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_Toc238542801 \h </w:instrText>
      </w:r>
      <w:r>
        <w:rPr>
          <w:rFonts w:ascii="宋体" w:hAnsi="宋体"/>
          <w:sz w:val="24"/>
        </w:rPr>
        <w:fldChar w:fldCharType="separate"/>
      </w:r>
      <w:r>
        <w:rPr>
          <w:rFonts w:ascii="宋体" w:hAnsi="宋体"/>
          <w:sz w:val="24"/>
        </w:rPr>
        <w:t>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"_Toc238542802"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_Toc238542802 \h </w:instrText>
      </w:r>
      <w:r>
        <w:rPr>
          <w:rFonts w:ascii="宋体" w:hAnsi="宋体"/>
          <w:sz w:val="24"/>
        </w:rPr>
        <w:fldChar w:fldCharType="separate"/>
      </w:r>
      <w:r>
        <w:rPr>
          <w:rFonts w:ascii="宋体" w:hAnsi="宋体"/>
          <w:sz w:val="24"/>
        </w:rPr>
        <w:t>12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"_Toc238542803"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_Toc238542803 \h </w:instrText>
      </w:r>
      <w:r>
        <w:rPr>
          <w:rFonts w:ascii="宋体" w:hAnsi="宋体"/>
          <w:sz w:val="24"/>
        </w:rPr>
        <w:fldChar w:fldCharType="separate"/>
      </w:r>
      <w:r>
        <w:rPr>
          <w:rFonts w:ascii="宋体" w:hAnsi="宋体"/>
          <w:sz w:val="24"/>
        </w:rPr>
        <w:t>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"_Toc238542804"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_Toc238542804 \h </w:instrText>
      </w:r>
      <w:r>
        <w:rPr>
          <w:rFonts w:ascii="宋体" w:hAnsi="宋体"/>
          <w:sz w:val="24"/>
        </w:rPr>
        <w:fldChar w:fldCharType="separate"/>
      </w:r>
      <w:r>
        <w:rPr>
          <w:rFonts w:ascii="宋体" w:hAnsi="宋体"/>
          <w:sz w:val="24"/>
        </w:rPr>
        <w:t>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"_Toc238542805"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_Toc238542805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"_Toc238542806"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_Toc238542806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"_Toc238542807"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_Toc238542807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"_Toc238542808"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_Toc238542808 \h </w:instrText>
      </w:r>
      <w:r>
        <w:rPr>
          <w:rFonts w:ascii="宋体" w:hAnsi="宋体"/>
          <w:sz w:val="24"/>
        </w:rPr>
        <w:fldChar w:fldCharType="separate"/>
      </w:r>
      <w:r>
        <w:rPr>
          <w:rFonts w:ascii="宋体" w:hAnsi="宋体"/>
          <w:sz w:val="24"/>
        </w:rPr>
        <w:t>63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"_Toc238542809" </w:instrText>
      </w:r>
      <w:r>
        <w:fldChar w:fldCharType="separate"/>
      </w:r>
      <w:r>
        <w:rPr>
          <w:rStyle w:val="18"/>
          <w:rFonts w:hint="eastAsia" w:ascii="宋体" w:hAnsi="宋体"/>
          <w:sz w:val="24"/>
        </w:rPr>
        <w:t>十、基金的业绩</w:t>
      </w:r>
      <w:r>
        <w:rPr>
          <w:rFonts w:ascii="宋体" w:hAnsi="宋体"/>
          <w:sz w:val="24"/>
        </w:rPr>
        <w:tab/>
      </w:r>
      <w:r>
        <w:rPr>
          <w:rFonts w:ascii="宋体" w:hAnsi="宋体"/>
          <w:sz w:val="24"/>
        </w:rPr>
        <w:fldChar w:fldCharType="begin"/>
      </w:r>
      <w:r>
        <w:rPr>
          <w:rFonts w:ascii="宋体" w:hAnsi="宋体"/>
          <w:sz w:val="24"/>
        </w:rPr>
        <w:instrText xml:space="preserve"> PAGEREF _Toc238542809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"_Toc238542810" </w:instrText>
      </w:r>
      <w:r>
        <w:fldChar w:fldCharType="separate"/>
      </w:r>
      <w:r>
        <w:rPr>
          <w:rStyle w:val="18"/>
          <w:rFonts w:hint="eastAsia" w:ascii="宋体" w:hAnsi="宋体"/>
          <w:sz w:val="24"/>
        </w:rPr>
        <w:t>十一、到达目标日期后基金的转型</w:t>
      </w:r>
      <w:r>
        <w:rPr>
          <w:rFonts w:ascii="宋体" w:hAnsi="宋体"/>
          <w:sz w:val="24"/>
        </w:rPr>
        <w:tab/>
      </w:r>
      <w:r>
        <w:rPr>
          <w:rFonts w:ascii="宋体" w:hAnsi="宋体"/>
          <w:sz w:val="24"/>
        </w:rPr>
        <w:fldChar w:fldCharType="begin"/>
      </w:r>
      <w:r>
        <w:rPr>
          <w:rFonts w:ascii="宋体" w:hAnsi="宋体"/>
          <w:sz w:val="24"/>
        </w:rPr>
        <w:instrText xml:space="preserve"> PAGEREF _Toc238542810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"_Toc238542811"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_Toc238542811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"_Toc238542812"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_Toc238542812 \h </w:instrText>
      </w:r>
      <w:r>
        <w:rPr>
          <w:rFonts w:ascii="宋体" w:hAnsi="宋体"/>
          <w:sz w:val="24"/>
        </w:rPr>
        <w:fldChar w:fldCharType="separate"/>
      </w:r>
      <w:r>
        <w:rPr>
          <w:rFonts w:ascii="宋体" w:hAnsi="宋体"/>
          <w:sz w:val="24"/>
        </w:rPr>
        <w:t>86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"_Toc238542813"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_Toc238542813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"_Toc238542814"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_Toc238542814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"_Toc238542815"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_Toc238542815 \h </w:instrText>
      </w:r>
      <w:r>
        <w:rPr>
          <w:rFonts w:ascii="宋体" w:hAnsi="宋体"/>
          <w:sz w:val="24"/>
        </w:rPr>
        <w:fldChar w:fldCharType="separate"/>
      </w:r>
      <w:r>
        <w:rPr>
          <w:rFonts w:ascii="宋体" w:hAnsi="宋体"/>
          <w:sz w:val="24"/>
        </w:rPr>
        <w:t>99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"_Toc238542816"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_Toc238542816 \h </w:instrText>
      </w:r>
      <w:r>
        <w:rPr>
          <w:rFonts w:ascii="宋体" w:hAnsi="宋体"/>
          <w:sz w:val="24"/>
        </w:rPr>
        <w:fldChar w:fldCharType="separate"/>
      </w:r>
      <w:r>
        <w:rPr>
          <w:rFonts w:ascii="宋体" w:hAnsi="宋体"/>
          <w:sz w:val="24"/>
        </w:rPr>
        <w:t>100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"_Toc238542817"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_Toc238542817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"_Toc238542818"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_Toc238542818 \h </w:instrText>
      </w:r>
      <w:r>
        <w:rPr>
          <w:rFonts w:ascii="宋体" w:hAnsi="宋体"/>
          <w:sz w:val="24"/>
        </w:rPr>
        <w:fldChar w:fldCharType="separate"/>
      </w:r>
      <w:r>
        <w:rPr>
          <w:rFonts w:ascii="宋体" w:hAnsi="宋体"/>
          <w:sz w:val="24"/>
        </w:rPr>
        <w:t>118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"_Toc238542819"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_Toc238542819 \h </w:instrText>
      </w:r>
      <w:r>
        <w:rPr>
          <w:rFonts w:ascii="宋体" w:hAnsi="宋体"/>
          <w:sz w:val="24"/>
        </w:rPr>
        <w:fldChar w:fldCharType="separate"/>
      </w:r>
      <w:r>
        <w:rPr>
          <w:rFonts w:ascii="宋体" w:hAnsi="宋体"/>
          <w:sz w:val="24"/>
        </w:rPr>
        <w:t>120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"_Toc238542820"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_Toc238542820 \h </w:instrText>
      </w:r>
      <w:r>
        <w:rPr>
          <w:rFonts w:ascii="宋体" w:hAnsi="宋体"/>
          <w:sz w:val="24"/>
        </w:rPr>
        <w:fldChar w:fldCharType="separate"/>
      </w:r>
      <w:r>
        <w:rPr>
          <w:rFonts w:ascii="宋体" w:hAnsi="宋体"/>
          <w:sz w:val="24"/>
        </w:rPr>
        <w:t>136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"_Toc238542821"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_Toc238542821 \h </w:instrText>
      </w:r>
      <w:r>
        <w:rPr>
          <w:rFonts w:ascii="宋体" w:hAnsi="宋体"/>
          <w:sz w:val="24"/>
        </w:rPr>
        <w:fldChar w:fldCharType="separate"/>
      </w:r>
      <w:r>
        <w:rPr>
          <w:rFonts w:ascii="宋体" w:hAnsi="宋体"/>
          <w:sz w:val="24"/>
        </w:rPr>
        <w:t>153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"_Toc238542822"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_Toc238542822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"_Toc238542823"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_Toc238542823 \h </w:instrText>
      </w:r>
      <w:r>
        <w:rPr>
          <w:rFonts w:ascii="宋体" w:hAnsi="宋体"/>
          <w:sz w:val="24"/>
        </w:rPr>
        <w:fldChar w:fldCharType="separate"/>
      </w:r>
      <w:r>
        <w:rPr>
          <w:rFonts w:ascii="宋体" w:hAnsi="宋体"/>
          <w:sz w:val="24"/>
        </w:rPr>
        <w:t>157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"_Toc238542824"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_Toc238542824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8542800"/>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养老目标日期2035三年持有期混合型基金中基金（FOF）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养老目标证券投资基金指引（试行）》和其他相关法律法规的规定以及《交银施罗德养老目标日期2035三年持有期混合型基金中基金（FOF）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8542801"/>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1、基金或本基金：指交银施罗德养老目标日期2035三年持有期混合型基金中基金（FOF）</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4、基金合同：指《交银施罗德养老目标日期2035三年持有期混合型基金中基金（FOF）基金合同》及对基金合同的任何有效修订和补充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5、托管协议：指基金管理人与基金托管人就本基金签订之《交银施罗德养老目标日期2035三年持有期混合型基金中基金（FOF）托管协议》及对该托管协议的任何有效修订和补充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6、招募说明书或本招募说明书：指《交银施罗德养老目标日期2035三年持有期混合型基金中基金（FOF）招募说明书》及其更新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7、基金产品资料概要：指《交银施罗德养老目标日期2035三年持有期混合型基金中基金（FOF）基金产品资料概要》及其更新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8、基金份额发售公告：指《交银施罗德养老目标日期2035三年持有期混合型基金中基金（FOF）基金份额发售公告》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15、港股通：指内地投资者委托内地证券公司，经由内地证券交易所设立的证券交易服务公司，向香港联合交易所进行申报，买卖规定范围内的香港联合交易所上市的股票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基金份额持有人持有的每份基金份额不再受最短持有期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年度对日：指某一特定日期在后续日历年度中的对应日期，若该日历年度中不存在对应日期的，则该年度对日为该特定日期在后续日历年度中的对应月度的最后一日。如该年度对日为非工作日的，则顺延至下一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52、基金资产总值：指基金拥有的各类有价证券、证券投资基金份额、银行存款本息、基金应收申购款及其他资产的价值总和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56、A类基金份额：指非针对个人养老金投资基金业务设立的基金份额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57、Y类基金份额：指针对个人养老金投资基金业务设立的基金份额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8542802"/>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兵先生:基金经理。上海财经大学经济学博士。10年证券投资行业从业经验。2016年加入交银施罗德基金管理有限公司，曾任量化投资部研究员、多元资产管理部研究员、投资经理，现任多元资产管理部基金经理以及基金投顾业务投资经理。曾任交银施罗德招享一年持有期混合型基金中基金（FOF）(2021年08月24日至2025年05月08日)、交银施罗德智选星光混合型基金中基金（FOF-LOF）(2021年11月10日至2026年08月10日)、交银施罗德慧选睿信一年持有期混合型基金中基金（FOF）(2022年07月27日至2025年05月08日)、交银施罗德安享稳健养老目标一年持有期混合型基金中基金（FOF）(2023年01月07日至2025年07月12日)、交银施罗德智选进取三个月持有期混合型发起式基金中基金（FOF）(2023年12月27日至2026年08月10日)的基金经理。现任交银施罗德兴享一年持有期混合型基金中基金（FOF）(2021年12月01日至今)、交银施罗德优享一年持有期混合型基金中基金（FOF）(2022年01月27日至今)、交银施罗德养老目标日期2035三年持有期混合型基金中基金（FOF）(2023年01月07日至今)、交银施罗德安悦平衡养老目标三年持有期混合型发起式基金中基金（FOF）(2024年02月05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陈玲斐女士:基金经理。复旦大学文学学士、上海交通大学工商管理硕士，12年证券从业年限。历任中国银行股份有限公司上海市分行产品经理、交通银行股份有限公司总行资产管理中心交易员/投资经理、交银理财有限责任公司固定收益部、多资产投资部投资经理。2026年加入交银施罗德基金管理有限公司，现任多元资产管理助理总监、基金经理。现任交银施罗德优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兴享一年持有期混合型基金中基金（FOF）(2026年08月22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杨喆女士(2020年04月29日至2021年05月21日)；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蔡铮先生(2021年04月30日至2025年01月22日)。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8542803"/>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名称：中信银行股份有限公司（简称“中信银行”）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办公地址：北京市朝阳区光华路10号院1号楼6-30层、32-42层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法定代表人：方合英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联系人：中信银行资产托管部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联系电话：4006800000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网址：www.citicbank.com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截至2025年第三季度末，中信银行托管429只公开募集证券投资基金，以及基金公司、证券公司资产管理产品、信托产品、企业年金、股权基金、QDII等其他托管资产，托管总规模达到17.88万亿元人民币。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8542804"/>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个人投资者可以通过基金管理人网上直销交易平台办理开户、本基金A类基金份额的申购、赎回、定期定额投资等业务，具体交易细则请参阅基金管理人网站。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（10）名称：中国工商银行股份有限公司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办公地址：北京市西城区复兴门内大街55号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法定代表人：廖林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网址：www.icbc.com.cn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华鑫证券有限责任公司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4001099918，95323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www.cfsc.com.cn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本基金Y类基金份额的销售机构详见基金管理人网站公示或相关公告。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8542805"/>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本基金由基金管理人依照《基金法》、《运作办法》、《销售办法》、基金合同及其他有关规定，并经中国证监会2019年11月26日证监许可【2019】2546号文准予募集注册。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本基金为契约型开放式混合型基金中基金（FOF），基金存续期为不定期。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本基金自2020年3月23日至2020年4月24日进行发售，本基金设立募集期共募集633,153,686.13份基金份额，有效认购户数为9,107户。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8542806"/>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根据有关规定，本基金满足基金合同生效条件，基金合同已于2020年4月29日正式生效。自基金合同生效之日起，本基金管理人正式开始管理本基金。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8542807"/>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个人投资者可以通过基金管理人网上直销交易平台办理开户、本基金A类基金份额的申购、赎回、定期定额投资等业务，具体交易细则请参阅基金管理人网站。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本基金A类基金份额已于2020年6月15日起开放申购业务。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本基金Y类基金份额已于2022年11月28日起开放申购业务。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本基金A类基金份额已于2023年5月4日起开放赎回业务。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基金管理人自Y类基金份额开放申购业务之日起至三年后的年度对日（含该日）开始办理Y类基金份额的赎回，具体业务办理时间在赎回开始公告中规定。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在确定赎回开始时间后，基金管理人应在赎回开放日前依照《信息披露办法》的有关规定在指定媒介上公告赎回的开始时间。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基金管理人可对Y类基金份额实施不同的申购金额限制或豁免申购限制，敬请投资者留意本基金管理人的有关公告。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10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+3日（包括该日）内对该交易的有效性进行确认。T日提交的有效申请，投资人应在T+4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（1）投资人T日申购基金成功后，正常情况下，登记机构在T＋3日为投资人增加权益并办理登记手续。投资人应及时查询有关申请的确认情况。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（2）投资人T日赎回基金成功后，正常情况下，登记机构在T＋3日为投资人扣除权益并办理相应的登记手续。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Y类基金份额。投资人申购A类基金份额和Y类基金份额在申购时支付申购费用。本基金的申购费用由该类基金份额的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本基金A类基金份额和Y类基金份额的申购费率如下：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因红利自动再投资而产生的该类基金份额，不收取相应的申购费用。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基金管理人可对Y类基金份额实施费率优惠或豁免申购费用，敬请投资者留意本基金管理人的有关公告。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本基金对通过基金管理人直销柜台申购本基金A类基金份额的非个人养老金客户实施特定申购费率。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非个人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非个人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通过基金管理人直销柜台申购本基金A类基金份额的非个人养老金客户特定申购费率如下表：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三年，本基金不收取赎回费用。其中，对于不受最短持有期限制的红利再投资所得基金份额，对持续持有期少于7日的投资者收取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转型为“交银施罗德债基优选债券型基金中基金（FOF）”后，基金份额持有人继续持有转型后基金份额的，其持有期从原份额取得之日起连续计算。转型后的交银施罗德债基优选债券型基金中基金（FOF）的申购费率的设置保持不变，赎回费率调整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A类基金份额或Y类基金份额收取赎回费用，该费用随基金份额的持有时间递减。本基金A类基金份额和Y类基金份额的赎回费用由该类基金份额赎回人承担，对于持续持有期间少于7日的投资人收取的赎回费全额计入基金财产，对于持续持有期间大于等于7日的投资人收取的赎回费总额的25%应归基金财产，其余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7天以内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7天（含）—30天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30天以上（含）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本基金Y类基金份额的赎回费率如下：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Y类基金份额的赎回费率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Y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或Y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申购份额=（申购总金额-申购费用）/T日A类或Y类基金份额净值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例三：某投资者投资40,000元申购本基金的A类基金份额，假设申购当日A类基金份额净值为1.0400元，申购费率为1.0%，则其可得到的申购份额为：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净申购金额=40,000/（1+1.0%）=39,603.96元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申购费用=40,000-39,603.96=396.04元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申购份额=（40,000-396.04）/1.0400=38,080.73份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即：该投资者投资40,000元申购本基金的A类基金份额，假设申购当日A类基金份额净值为1.0400元，则其可得到38,080.73份基金份额。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例四：某投资者赎回已持有三年的10,000份A类基金份额或Y类基金份额，持有期限为三年，对应的赎回费率为0，假设赎回当日该类基金份额净值是1.0160元，则其可得到的赎回金额为：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赎回金额=10,000×1.0160-0＝10,160.00元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即：该投资者赎回已持有三年的本基金10,000份A类基金份额或Y类基金份额，持有期限为三年，对应的赎回费率为0，假设赎回当日该类基金份额净值是1.0160元，则其可得到的赎回金额为10,160.00元。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Y类基金份额净值＝Y类基金份额的基金资产净值总额/发行在外的Y类基金份额总数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所投资基金披露净值或万份收益当日（法定节假日顺延至第一个交易日）计算，并在T+3日内披露本基金T日各类基金份额的基金份额净值和基金份额累计净值。遇特殊情况，经履行适当程序，可以适当延迟计算或公告。本基金A类基金份额和Y类基金份额的基金份额净值的计算，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4、由于本基金持有的相当比例的基金暂停估值，导致基金管理人无法计算当日本基金资产净值。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4、由于本基金持有的相当比例的基金暂停估值，导致基金管理人无法计算当日本基金资产净值。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法律法规对Y类基金份额的继承等事项另有规定的，按法律法规的规定执行。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6月12日刊登公告自2020年6月15日起开通A类基金份额定期定额投资计划业务，本基金2022年11月25日刊登公告自2022年11月28日起开通Y类基金份额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8542808"/>
      <w:r>
        <w:rPr>
          <w:rFonts w:ascii="Times New Roman" w:hAnsi="Times New Roman"/>
          <w:sz w:val="30"/>
        </w:rPr>
        <w:t>九、基金的投资</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本基金为基金中基金，依照下滑曲线进行大类资产配置，力争实现养老资产的长期稳健增值，满足养老资金理财需求。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本基金投资策略主要分为以下七个部分：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采用目标日期策略来进行投资品种的大类资产配置。随着所设定目标日期2035年的临近，逐步降低权益类资产的配置比例，增加非权益类资产的配置比例。从追求资本增值逐步转变为追求当期收益，通过全方位的定量和定性分析方法精选出优质基金组成投资组合，以期达到效用最大化，实现基金资产的长期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大类资产配置按照下滑曲线进行调整，下滑曲线是描述基金中权益资产配置比例随着时间而变化的曲线。下滑曲线在趋势上是不断下降的，反映随着投资者年纪的增长，投资的风险偏好逐渐降低。即随着目标日期的接近，基金的资产配置方案越来越保守，权益类资产的投资比例逐步降低，固定收益类和货币类资产配置比例逐步提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本基金预设的下滑曲线如下图所示：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基金管理人可结合经济状况与市场环境对下滑曲线进行适当调整。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权益类资产包括股票、股票型基金、混合型基金（混合型基金需符合基金合同中明确约定股票投资占基金资产的比例为50%以上或者最近4个季度披露的股票投资占基金资产的比例均在50%以上）。其中权益类资产占比将按照下滑曲线逐年调整，并预留一定主动调整空间，在综合考虑各期限的资产配置需求和影响因素后，本基金的权益类资产配置比例如下：</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年份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下滑曲线中枢</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权益类资产占比</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基金合同生效之日至2020.12.31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35%-60%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2021.1.1-2023.12.31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2024.1.1-2026.12.31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25%-50%</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2027.1.1-2029.12.31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20%-45%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2030.1.1-2032.12.31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17%-42%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2033.1.1-2035.12.31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14%-39%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因市场波动、基金规模变动等基金管理人之外的因素致使本基金投资比例不符合上述投资比例的，基金管理人应当在10个交易日内进行调整。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本基金管理人绩效评估系统对备选基金的评估分析，通过定量和定性相结合的方法，精选具有不同风险收益特征及投资业绩比较优势的基金确定本基金配置组合。本基金的绩效评估系统分析主要包括业绩指标分析、业绩归因分析以及基金管理人综合评估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收益指标：包括绝对收益、相对收益等指标；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风险指标：包括波动率、最大回撤等指标；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风险调整后收益指标：包括夏普比率、信息比率等指标。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被投资基金运作合规，风格清晰，中长期收益良好，业绩波动性较低，根据定性评估分析结果，最终确定本基金的投资组合及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案头分析和深入的实地调研，以定性与定量相结合的方法对公司价值进行综合评估。通过对重点上市公司进行内在价值的评估和成长性跟踪研究，在明确的价值评估基础上精选优秀质地的投资标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将遵循本基金股票投资策略，优先将基本面健康、业绩向上弹性较大、具有估值优势的港股纳入本基金的股票投资组合。本基金根据对个股价值的评估和市场机会的判断构建股票组合，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7、风险控制策略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目标日期基金，随着所设定目标日期2035年的临近，逐步降低权益类资产的配置比例，增加非权益类资产的配置比例。权益类资产占比将按照下滑曲线逐年调整，并预留一定主动调整空间，通过调整权益类资产、非权益类资产的配置比例，在下滑曲线约定的权益类资产投资比例内，将整个投资组合维持在相对稳定的市场风险暴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子基金选择方面，采用基金绩效评估系统进行全面分析，同时着重对子基金的风险控制能力进行评估，包括风险指标和风险调整后收益指标等，及时调整子基金在投资组合中的比例，来控制子基金在投资组合中的风险暴露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（3）本基金持有单只基金的市值，不得高于本基金资产净值的20%，且不得持有其他基金中基金；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（5）本基金不得持有具有复杂、衍生品性质的基金份额，包括分级基金和中国证监会认定的其他基金份额；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其他基金时，被投资基金的运作期限不少于2年、最近两年平均季末基金净资产应当不低于2亿元；被投资基金为指数基金、ETF和商品基金等品种的，运作期限应当不少于1年，最近定期报告披露的季末基金净资产应当不低于1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（9）基金管理人运用本基金财产投资于股票、债券等金融工具的，投资品种和比例应当符合本基金的投资目标和投资策略；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（10）本基金持有一家公司发行的证券（同一家公司在内地和香港同时上市的A+H股合并计算，不含本基金所投资的基金份额），其市值不超过基金资产净值的10%；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（11）本基金管理人管理的全部基金持有一家公司发行的证券（同一家公司在内地和香港同时上市的A+H股合并计算，不含本基金所投资的基金份额），不超过该证券的10%；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（23）本基金投资于商品基金（含商品期货基金和黄金ETF）的资产占基金资产的比例不高于10%；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（24）本基金投资于货币市场基金的比例不得超过基金资产的15%；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（25）本基金投资策略中权益类资产配置比例区间按照投资策略所述的比例限制执行；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16）项、第（20）项及第（21）项以外的其他情形，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沪深300指数收益率×X+中债综合全价指数收益率×（1-X）</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其中X的取值如下表列示：</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年份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X的取值</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基金合同生效之日至2020.12.31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2021.1.1-2023.12.31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2024.1.1-2026.12.31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2027.1.1-2029.12.31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2030.1.1-2032.12.31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2033.1.1-2035.12.31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本基金托管人中信银行股份有限公司根据本基金合同规定，于2025年10月27日复核了本报告中的财务指标、净值表现和投资组合报告等内容，保证复核内容不存在虚假记载、误导性陈述或者重大遗漏。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本投资组合报告期为2025年07月01日起至09月30日，所载财务数据未经审计师审计。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204,884,105.80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81.94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29,588,955.40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2,239,495.21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0.90</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1,359,846.93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250,053,427.91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11,981,024.57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5,542,521.78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2,918,395.53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1,202,373.37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国债2513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801,582.25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23国债17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605,704.27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18,274.93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881,594.89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40.15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454,702.46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5,234.50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1,359,846.93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8542809"/>
      <w:r>
        <w:rPr>
          <w:rFonts w:ascii="Times New Roman" w:hAnsi="Times New Roman"/>
          <w:sz w:val="30"/>
        </w:rPr>
        <w:t>十、基金的业绩</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基金业绩截止日为2025年09月30日，所载财务数据未经审计师审计。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交银施罗德养老目标日期2035三年持有期混合A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2020年度（自基金合同生效起至2020年12月31日）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交银施罗德养老目标日期2035三年持有期混合Y</w:t>
      </w:r>
    </w:p>
    <w:tbl>
      <w:tblPr>
        <w:tblStyle w:val="14"/>
        <w:tblW w:w="5005" w:type="pct"/>
        <w:tblInd w:w="0" w:type="dxa"/>
        <w:tblLayout w:type="autofit"/>
        <w:tblCellMar>
          <w:top w:w="0" w:type="dxa"/>
          <w:left w:w="0" w:type="dxa"/>
          <w:bottom w:w="0" w:type="dxa"/>
          <w:right w:w="0" w:type="dxa"/>
        </w:tblCellMar>
      </w:tblPr>
      <w:tblGrid>
        <w:gridCol w:w="1300"/>
        <w:gridCol w:w="1301"/>
        <w:gridCol w:w="1301"/>
        <w:gridCol w:w="1303"/>
        <w:gridCol w:w="1303"/>
        <w:gridCol w:w="1303"/>
        <w:gridCol w:w="868"/>
      </w:tblGrid>
      <w:tr>
        <w:tblPrEx>
          <w:tblCellMar>
            <w:top w:w="0" w:type="dxa"/>
            <w:left w:w="0" w:type="dxa"/>
            <w:bottom w:w="0" w:type="dxa"/>
            <w:right w:w="0" w:type="dxa"/>
          </w:tblCellMar>
        </w:tblPrEx>
        <w:trPr>
          <w:cantSplit/>
          <w:trHeight w:val="375" w:hRule="atLeast"/>
        </w:trPr>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5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16.79%</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11.06%</w:t>
            </w:r>
          </w:p>
        </w:tc>
        <w:tc>
          <w:tcPr>
            <w:tcW w:w="50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2.98%</w:t>
            </w:r>
          </w:p>
        </w:tc>
        <w:tc>
          <w:tcPr>
            <w:tcW w:w="50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tblPrEx>
          <w:tblCellMar>
            <w:top w:w="0" w:type="dxa"/>
            <w:left w:w="0" w:type="dxa"/>
            <w:bottom w:w="0" w:type="dxa"/>
            <w:right w:w="0" w:type="dxa"/>
          </w:tblCellMar>
        </w:tblPrEx>
        <w:trPr>
          <w:cantSplit/>
          <w:trHeight w:val="375" w:hRule="atLeast"/>
        </w:trPr>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bookmarkStart w:id="28" w:name="_GoBack"/>
            <w:bookmarkEnd w:id="28"/>
            <w:r>
              <w:rPr>
                <w:rFonts w:ascii="Times New Roman" w:hAnsi="Times New Roman"/>
                <w:color w:val="000000"/>
                <w:kern w:val="0"/>
                <w:sz w:val="25"/>
                <w:szCs w:val="24"/>
              </w:rPr>
              <w:t>2024年度</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-5.38%</w:t>
            </w:r>
          </w:p>
        </w:tc>
        <w:tc>
          <w:tcPr>
            <w:tcW w:w="50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tblPrEx>
          <w:tblCellMar>
            <w:top w:w="0" w:type="dxa"/>
            <w:left w:w="0" w:type="dxa"/>
            <w:bottom w:w="0" w:type="dxa"/>
            <w:right w:w="0" w:type="dxa"/>
          </w:tblCellMar>
        </w:tblPrEx>
        <w:trPr>
          <w:cantSplit/>
          <w:trHeight w:val="375" w:hRule="atLeast"/>
        </w:trPr>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-2.46%</w:t>
            </w:r>
          </w:p>
        </w:tc>
        <w:tc>
          <w:tcPr>
            <w:tcW w:w="50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2022年度（自基金合同生效日起至2022年12月31日）</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49"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50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注：1、本基金的业绩比较基准为沪深300指数收益率×X+中债综合全价指数收益率×（1-X），每日进行再平衡过程。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其中X的取值如下表列示：</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年份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X的取值</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基金合同生效之日至2020.12.31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2021.1.1-2023.12.31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2024.1.1-2026.12.31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2027.1.1-2029.12.31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2030.1.1-2032.12.31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2033.1.1-2035.12.31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2、交银养老2035三年Y上述“自基金合同生效起至今”实际为“自基金份额类别首次确认起至今”，下同。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交银施罗德养老目标日期2035三年持有期混合型基金中基金（FOF）</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（2020年4月29日至2025年09月30日）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交银施罗德养老目标日期2035三年持有期混合A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交银施罗德养老目标日期2035三年持有期混合Y</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2、本基金自2022年11月11日增加Y类基金份额，自2022年11月16日起新增有效份额，并于2022年11月28日起面向公众发售。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8542810"/>
      <w:r>
        <w:rPr>
          <w:rFonts w:ascii="Times New Roman" w:hAnsi="Times New Roman"/>
          <w:sz w:val="30"/>
        </w:rPr>
        <w:t>十一、到达目标日期后基金的转型</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（一）到达目标日期后基金的存续形式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到达目标日期（2035年12月31日）后2036年第一个工作日，本基金基金名称从“交银施罗德养老目标日期2035三年持有期混合型基金中基金（FOF）”变更为“交银施罗德债基优选债券型基金中基金（FOF）”，同时本基金的投资目标、投资范围、投资策略、投资限制、业绩比较基准、基金的费用等也将按基金合同的约定相应修改，可不经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到达目标日期后本基金的基金份额默认转为变更后的“交银施罗德债基优选债券型基金中基金（FOF）”的基金份额，无需支付基金转换费用。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（二）到达目标日期后基金的申购赎回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到达目标日期后，本基金不再设置最短持有期，基金管理人将根据转型后基金合同的约定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（三）转型后基金投资相关安排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本基金为基金中基金，在控制风险并保持基金资产良好的流动性的前提下，力争为投资者提供长期稳健的投资回报。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公开募集债券型证券投资基金（包括债券指数基金）的基金份额的资产不低于本基金资产的80%。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本基金投资策略主要分为以下七个部分：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收益指标：包括绝对收益、相对收益等指标；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风险指标：包括波动率、最大回撤等指标；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风险调整后收益指标：包括夏普比率、信息比率等指标。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案头分析和深入的实地调研，以定性与定量相结合的方法对公司价值进行综合评估。通过对重点上市公司进行内在价值的评估和成长性跟踪研究，在明确的价值评估基础上精选优秀质地的投资标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（6）风险控制策略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本基金定位为债券型基金中基金，投资于公开募集债券型证券投资基金（包括债券指数基金）的基金份额的资产不低于本基金资产的80%。从子基金选择、整体流动性风险等方面来控制风险。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子基金选择方面，采用基金绩效评估系统进行全面分析，同时着重对子基金的风险控制能力进行评估，包括风险指标和风险调整后收益指标等，控制子基金在投资组合中的风险暴露度。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1）本基金投资于公开募集债券型证券投资基金（包括债券指数基金）的基金份额的资产不低于本基金资产的80%；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3）本基金持有单只基金的市值，不得高于本基金资产净值的20%，且不得持有其他基金中基金；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5）本基金不得持有具有复杂、衍生品性质的基金份额，包括分级基金和中国证监会认定的其他基金份额；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6）本基金投资其他基金时，被投资基金的运作期限应当不少于1年，最近定期报告披露的基金净资产应当不低于1亿元；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9）本基金持有一家公司发行的证券（不含本基金所投资的基金份额），其市值不超过基金资产净值的10%；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10）本基金管理人管理的全部基金持有一家公司发行的证券（不含本基金所投资的基金份额），不超过该证券的10%；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22）本基金投资于商品基金（含商品期货基金和黄金ETF）的资产占基金资产的比例不高于10%；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23）本基金投资于货币市场基金的比例不得超过基金资产的15%；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15）项、第19）项及第20）项以外的其他情形，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转型之日起6个月内使基金的投资组合比例符合基金合同的有关约定。在上述期间内，本基金的投资范围、投资策略应当符合基金合同的约定。基金托管人对基金的投资的监督与检查自本基金转型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90%×中债综合全价指数收益率+10%×沪深300指数收益率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债券型基金中基金，由于本基金主要投资于公开募集证券投资基金的基金份额，持有基金的预期风险和预期收益间接成为本基金的预期风险和预期收益。本基金的预期风险与预期收益高于货币市场基金和货币型基金中基金，低于股票型基金、股票型基金中基金、混合型基金和混合型基金中基金。</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8542811"/>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基金资产总值是指基金拥有的各类有价证券、证券投资基金份额、银行存款本息、基金应收申购款及其他资产的价值总和。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8542812"/>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基金所拥有的证券投资基金份额、股票、债券和其他投资等持续以公允价值计量的金融资产及负债。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1、证券投资基金的估值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（1）本基金投资于非上市的非货币市场基金，按所投资基金估值日的份额净值进行估值；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（3）本基金投资的ETF基金，按所投资ETF基金估值日的收盘价进行估值；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（4）本基金投资的上市开放式基金（LOF），按所投资基金估值日的份额净值估值；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（5）本基金投资的上市定期开放式基金、封闭式基金，按所投资基金估值日的收盘价估值；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（3）交易所上市交易的可转换债券以每日收盘价作为估值全价；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银行间市场上市交易的固定收益品种，选取第三方估值机构提供的相应品种当日的估值净价进行估值。银行间市场发行未上市的固定收益品种，采用估值技术确定公允价值；在估值技术难以可靠计量公允价值的情况下，按成本估值。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5、估值计算中涉及港币对人民币汇率的，应当以基金估值日中国人民银行或其授权机构公布的人民币汇率中间价为准。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估值日，该类基金份额的基金资产净值除以估值日该类基金份额的余额数量计算，精确到0.0001元，小数点后第五位四舍五入。基金管理人可以设立大额赎回情形下的净值精度应急调整机制。国家另有规定的，从其规定。T日的基金份额净值在所投资基金披露净值或万份收益当日（法定节假日顺延至第一个交易日）计算，并在T+3日内披露本基金T日各类基金份额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基金管理人于每个工作日分别计算各类基金份额的基金资产净值及基金份额净值，并按规定公告。如遇特殊情况，经中国证监会同意，可以适当延迟计算或公告。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3、由于本基金持有的相当比例的基金暂停估值，导致基金管理人无法计算当日基金资产净值；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8542813"/>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A类基金份额默认的收益分配方式是现金分红，Y类基金份额默认的收益分配方式为红利再投资；投资者红利再投资所得的该类基金份额不受最短持有期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4、本基金各基金份额类别对应的可供分配利润可能有所不同；本基金同一基金份额类别的每一基金份额享有同等分配权；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8542814"/>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6、基金的证券/基金交易费用；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资产净值扣除该类基金财产中持有的基金管理人自身管理的基金部分所对应资产后剩余部分的年管理费率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本基金A类基金份额的年管理费率为0.8%；本基金Y类基金份额的年管理费率为0.4%。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H为各类基金份额每日应计提的基金管理费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E为各类基金份额前一日的该类基金资产净值扣除该类基金财产中持有的基金管理人自身管理的基金部分所对应资产后剩余部分，若为负数，则E取0。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资产净值扣除该类基金财产中持有的基金托管人自身托管的基金部分所对应资产后剩余部分的年托管费率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本基金A类基金份额的年托管费率为0.2%；本基金Y类基金份额的年托管费率为0.1%。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H为各类基金份额每日应计提的基金托管费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E为各类基金份额前一日的该类基金资产净值扣除该类基金财产中持有的基金托管人自身托管的基金部分所对应资产后剩余部分，若为负数，则E取0。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3、转型为交银施罗德债基优选债券型基金中基金（FOF）后的基金费用计提方法、计提标准和支付方式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资产净值扣除该类基金财产中持有的基金管理人自身管理的基金部分所对应资产后剩余部分的年管理费率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本基金A类基金份额的年管理费率为0.5%；本基金Y类基金份额的年管理费率为0.25%。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H为各类基金份额每日应计提的基金管理费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E为各类基金份额前一日的该类基金资产净值扣除该类基金财产中持有的基金管理人自身管理的基金部分所对应资产净值后剩余部分，若为负数，则E取0。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资产净值扣除该类基金财产中持有的基金托管人自身托管的基金部分所对应资产后剩余部分的年托管费率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本基金A类基金份额的年托管费率为0.15%；本基金Y类基金份额的年托管费率为0.075%。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H为各类基金份额每日应计提的基金托管费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E为各类基金份额前一日的该类基金资产净值扣除该类基金财产中持有的基金托管人自身托管的基金部分所对应资产后剩余部分，若为负数，则E取0。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4、本基金Y类基金份额可对基金管理费和基金托管费实施一定的费率优惠，具体优惠请参看相关公告。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5、上述“（一）基金费用的种类”中第3－10项费用，根据有关法规及相应协议规定，按费用实际支出金额列入当期费用，由基金托管人从基金财产中支付。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8542815"/>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8542816"/>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合同》终止的，基金管理人不再更新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合同终止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《基金合同》生效后，在开始办理基金份额申购或者赎回前，基金管理人应当至少每周在指定网站分别披露一次A类基金份额和Y类基金份额所对应的基金份额净值和基金份额累计净值。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后的3个工作日内，通过指定网站、基金销售机构网站或者营业网点分别披露开放日A类基金份额和Y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基金管理人应当在不晚于半年度和年度最后一日的3个工作日，在指定网站披露半年度和年度最后一日A类基金份额和Y类基金份额所对应的基金份额净值和基金份额累计净值。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（24）《基金合同》生效三年后，本基金连续30、40、45个工作日出现基金份额持有人数量不满200人或者基金资产净值低于5000万元情形，基金管理人应当发布提示性公告；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流通受限证券，基金管理人应在本基金投资非公开发行股票后两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13、投资港股通标的股票的信息披露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基金管理人应当在季度报告、中期报告、年度报告等定期报告和招募说明书（更新）等文件中披露本基金参与港股通交易的相关情况。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8542817"/>
      <w:r>
        <w:rPr>
          <w:rFonts w:ascii="Times New Roman" w:hAnsi="Times New Roman"/>
          <w:sz w:val="30"/>
        </w:rPr>
        <w:t>十八、风险揭示</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份额持有人持有的每份基金份额最短持有期限为三年，对于满足持有期限的投资人，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至三年后的年度对日（含该日）开始办理赎回，具体业务办理时间在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三年的基金份额数量，则基金份额持有人的赎回申请将被予以拒绝。基金份额持有人需承担赎回申请失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1、本基金为养老目标基金，致力于满足投资者的养老资金理财需求，但养老目标基金并不代表收益保障或其他任何形式的收益承诺。本基金非保本产品，存在投资者承担亏损的可能性。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因此本基金所持有的基金的业绩表现、持有基金的基金管理人水平等因素将影响到本基金的基金业绩表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2036年第一个工作日，本基金转型为“交银施罗德债基优选债券型基金中基金（FOF）”，不再设置最短持有期，基金管理人将根据转型后基金合同的约定在开放日办理基金份额的申购和赎回。因此，对于基金份额持有人而言，存在投资本基金后三年内无法赎回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8、本基金为基金中基金，本基金可投资于商品基金，因此将间接承担商品基金可能面临的商品价格波动风险、投资商品期货合约的风险、盯市风险等商品投资风险。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（八）基金合同提前终止风险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连续五十个工作日出现基金份额持有人数量不满200人或基金资产净值低于5000万元情形时，基金管理人提前终止《基金合同》，不需召开基金份额持有人大会。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 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8542818"/>
      <w:r>
        <w:rPr>
          <w:rFonts w:ascii="Times New Roman" w:hAnsi="Times New Roman"/>
          <w:sz w:val="30"/>
        </w:rPr>
        <w:t>十九、基金合同的变更、终止与基金财产的清算</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8542819"/>
      <w:r>
        <w:rPr>
          <w:rFonts w:ascii="Times New Roman" w:hAnsi="Times New Roman"/>
          <w:sz w:val="30"/>
        </w:rPr>
        <w:t>二十、基金合同内容摘要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（17）以基金管理人的名义，参与本基金持有的基金所召开的基金份额持有人大会；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（4）根据相关市场规则，为基金开设资金账户、证券账户、基金账户等投资所需账户，为基金办理证券、基金交易资金清算；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（6）按规定开设基金财产的资金账户、证券账户和基金账户等投资所需账户，按照《基金合同》的约定，根据基金管理人的投资指令，及时办理清算、交割事宜；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（12）从基金管理人或其委托的登记机构处接收并保存基金份额持有人名册；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3）在符合法律法规及本基金合同规定、并且对基金份额持有人利益无实质不利影响的前提下，调整基金份额类别设置、对基金份额分类办法及规则进行调整或者停止现有基金份额类别的销售；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8542820"/>
      <w:r>
        <w:rPr>
          <w:rFonts w:ascii="Times New Roman" w:hAnsi="Times New Roman"/>
          <w:sz w:val="30"/>
        </w:rPr>
        <w:t>二十一、托管协议的内容摘要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到达目标日期（2035年12月31日）后2036年第一个工作日，本基金转型为“交银施罗德债基优选债券型基金中基金（FOF）”，将投资于以下金融工具：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公开募集债券型证券投资基金（包括债券指数基金）的基金份额的资产不低于本基金资产的80%。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3）本基金持有单只基金的市值，不得高于本基金资产净值的20%，且不得持有其他基金中基金；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5）本基金不得持有具有复杂、衍生品性质的基金份额，包括分级基金和中国证监会认定的其他基金份额；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其他基金时，被投资基金的运作期限不少于2年、最近两年平均季末基金净资产应当不低于2亿元；被投资基金为指数基金、ETF和商品基金等品种的，运作期限应当不少于1年，最近定期报告披露的季末基金净资产应当不低于1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9）基金管理人运用本基金财产投资于股票、债券等金融工具的，投资品种和比例应当符合本基金的投资目标和投资策略；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10）本基金持有一家公司发行的证券（同一家公司在内地和香港同时上市的A+H股合并计算，不含本基金所投资的基金份额），其市值不超过基金资产净值的10%；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11）本基金管理人管理的全部基金持有一家公司发行的证券（同一家公司在内地和香港同时上市的A+H股合并计算，不含本基金所投资的基金份额），不超过该证券的10%；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23）本基金投资于商品基金（含商品期货基金和黄金ETF）的资产占基金资产的比例不高于10%；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24）本基金投资于货币市场基金的比例不得超过基金资产的15%；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25）本基金投资策略中权益类资产配置比例区间按照投资策略所述的比例限制执行；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16）项、第20）项及第21）项以外的其他情形，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到达目标日期（2035年12月31日）后2036年第一个工作日，本基金转型为“交银施罗德债基优选债券型基金中基金（FOF）”，基金的投资组合应遵循以下限制：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1）本基金投资于公开募集债券型证券投资基金（包括债券指数基金）的基金份额的资产不低于本基金资产的80%；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3）本基金持有单只基金的市值，不得高于本基金资产净值的20%，且不得持有其他基金中基金；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4）本基金管理人管理的全部基金中基金（除ETF联接基金外）持有单只基金不得超过被投资基金净资产的20%，被投资基金净资产规模以最近定期报告披露的规模为准；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5）本基金不得持有具有复杂、衍生品性质的基金份额，包括分级基金和中国证监会认定的其他基金份额；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6）本基金投资其他基金时，被投资基金的运作期限应当不少于1年，最近定期报告披露的基金净资产应当不低于1亿元；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9）本基金持有一家公司发行的证券（不含本基金所投资的基金份额），其市值不超过基金资产净值的10%；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10）本基金管理人管理的全部基金持有一家公司发行的证券（不含本基金所投资的基金份额），不超过该证券的10%；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22）本基金投资于商品基金（含商品期货基金和黄金ETF）的资产占基金资产的比例不高于10%；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23）本基金投资于货币市场基金的比例不得超过基金资产的15%；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证券市场波动、证券发行人合并、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15）项、第19）项及第20）项以外的其他情形，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转型之日起6个月内使基金的投资组合比例符合基金合同的有关约定。在上述期间内，基金的投资范围、投资策略应当符合基金合同的约定。基金托管人对基金的投资的监督与检查自基金转型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根据法律法规的规定及基金合同的约定，本基金禁止从事下列行为：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（6）基金托管人对基金投资流通受限证券的监督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有关法律法规规定。流通受限证券指由《上市公司证券发行管理办法》规范的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如基金管理人和基金托管人无法达成一致，应及时上报中国证监会请求解决。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（7）基金托管人对基金投资中期票据的监督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2）如未来有关监管部门发布的法律法规对证券投资基金投资中期票据另有规定的，从其约定。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证券账户、基金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（3）基金托管人按照规定开设基金财产的资金账户、证券账户和基金账户等投资所需账户。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3、基金的银行账户的开立和管理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（3）基金银行账户的开立和管理应符合有关法律法规以及银行业监督管理机构的有关规定。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7、基金财产投资的有关实物证券、银行定期存款存单等有价凭证的保管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各类基金份额的基金份额净值是按照估值日，该类基金份额的基金资产净值除以估值日该类基金份额的余额数量计算，精确到0.0001元，小数点后第五位四舍五入。基金管理人可以设立大额赎回情形下的净值精度应急调整机制。国家另有规定的，从其规定。T日的基金份额净值在所投资基金披露净值或万份收益当日（法定节假日顺延至第一个交易日）计算，并在T+3日内披露本基金T日各类基金份额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估值日对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各类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8542821"/>
      <w:r>
        <w:rPr>
          <w:rFonts w:ascii="Times New Roman" w:hAnsi="Times New Roman"/>
          <w:sz w:val="30"/>
        </w:rPr>
        <w:t>二十二、对基金份额持有人的服务</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1、基金合同生效后的每次交易结束后，投资人可在T+4个工作日后通过销售机构的网点查询和打印确认单；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的申购、赎回、定期定额投资等业务。通过网上直销交易平台办理本基金申购和定期定额投资业务的个人投资者将享受前端申购费率的优惠，其他费率标准不变。具体优惠费率请参见公司网站列示的网上直销申购、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A类基金份额可选择现金红利或选择红利再投将现金红利自动转为相应类别的基金份额进行再投资，若投资人不选择，本基金A类基金份额默认的收益分配方式是现金分红。本基金Y类基金份额的收益分配方式为红利再投资。再投资红利按红利再投日（即除息日）除息后的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本基金已开通定期定额投资业务，具体实施方法请参见相关公告。服务联系方式：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8542822"/>
      <w:r>
        <w:rPr>
          <w:rFonts w:ascii="Times New Roman" w:hAnsi="Times New Roman"/>
          <w:sz w:val="30"/>
        </w:rPr>
        <w:t>二十三、其他应披露事项</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交银施罗德养老目标日期2035三年持有期混合型基金中基金（FOF）（Y类份额）基金产品资料概要更新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交银施罗德基金管理有限公司关于交银施罗德养老目标日期2035三年持有期混合型基金中基金（FOF）基金经理变更公告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交银施罗德养老目标日期2035三年持有期混合型基金中基金（FOF）（Y类份额）基金产品资料概要更新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交银施罗德养老目标日期2035三年持有期混合型基金中基金（FOF）2024年年度报告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交银施罗德养老目标日期2035三年持有期混合型基金中基金（FOF）2025年第3季度报告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交银施罗德基金管理有限公司关于交银施罗德养老目标日期2035三年持有期混合型基金中基金(FOF)Y类基金份额开放日常赎回业务的公告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2025-11-26</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8542823"/>
      <w:r>
        <w:rPr>
          <w:rFonts w:ascii="Times New Roman" w:hAnsi="Times New Roman"/>
          <w:sz w:val="30"/>
        </w:rPr>
        <w:t>二十四、招募说明书的存放及查阅方式</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8542824"/>
      <w:r>
        <w:rPr>
          <w:rFonts w:ascii="Times New Roman" w:hAnsi="Times New Roman"/>
          <w:sz w:val="30"/>
        </w:rPr>
        <w:t>二十五、备查文件</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（一）中国证监会准予交银施罗德养老目标日期2035三年持有期混合型基金中基金（FOF）募集注册的文件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（二）《交银施罗德养老目标日期2035三年持有期混合型基金中基金（FOF）基金合同》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（三）《交银施罗德养老目标日期2035三年持有期混合型基金中基金（FOF）托管协议》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（六）关于申请募集注册交银施罗德养老目标日期2035三年持有期混合型基金中基金（FOF）的法律意见书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5</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158</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交银施罗德养老目标日期2035三年持有期混合型基金中基金（FOF）招募说明书更新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交银施罗德养老目标日期2035三年持有期混合型基金中基金（FOF）招募说明书更新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交银施罗德养老目标日期2035三年持有期混合型基金中基金（FOF）招募说明书更新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288F"/>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31BC"/>
    <w:rsid w:val="00834003"/>
    <w:rsid w:val="0083455F"/>
    <w:rsid w:val="00834EA0"/>
    <w:rsid w:val="00843042"/>
    <w:rsid w:val="00843C37"/>
    <w:rsid w:val="00844886"/>
    <w:rsid w:val="00844C2D"/>
    <w:rsid w:val="00846D68"/>
    <w:rsid w:val="008518E5"/>
    <w:rsid w:val="00852B15"/>
    <w:rsid w:val="00856135"/>
    <w:rsid w:val="00857A96"/>
    <w:rsid w:val="00861942"/>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15601"/>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330A046F"/>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159</Pages>
  <Words>17057</Words>
  <Characters>97230</Characters>
  <Lines>810</Lines>
  <Paragraphs>228</Paragraphs>
  <TotalTime>1</TotalTime>
  <ScaleCrop>false</ScaleCrop>
  <LinksUpToDate>false</LinksUpToDate>
  <CharactersWithSpaces>114059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2026-08-25T01:33:00Z</dcterms:created>
  <dc:creator>系统用户</dc:creator>
  <cp:lastModifiedBy>haotingting</cp:lastModifiedBy>
  <cp:lastPrinted>2013-02-18T03:10:00Z</cp:lastPrinted>
  <dcterms:modified xsi:type="dcterms:W3CDTF">2026-08-25T02:03:09Z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3E6371C6DD5148A2B6207D9A71C52AFE</vt:lpwstr>
  </property>
</Properties>
</file>