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交银施罗德兴享一年持有期混合型基金中基金（FOF）（A类份额）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交银兴享一年持有期混合（FOF）A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013778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兴业银行股份有限公司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2021-12-01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含存托凭证）、股票型基金（包括股票指数基金）和混合型基金（指基金合同中约定股票投资占基金资产的比例为60%以上或者最近四个季度披露的股票投资占基金资产的比例均在60%以上的混合型基金）的资产合计占基金资产的比例为0%-45%；投资于港股通标的股票的比例占股票资产的0%-50%；本基金持有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75%×中债综合全价指数收益率+25%×沪深300指数收益率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详见《交银施罗德兴享一年持有期混合型基金中基金（FOF）招募说明书》第九部分“基金的投资”。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2、本基金合同于2021年12月1日生效，合同生效当年净值增长率按实际存续期计算。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M＜30万元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30万元≤M＜100万元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0.80%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0.99%</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-45%。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年度对日的前一日；对于每笔申购的基金份额而言，最短持有期限自该笔申购份额确认日（含该日）至一年后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《交银施罗德兴享一年持有期混合型基金中基金（FOF）招募说明书》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3BE"/>
    <w:rsid w:val="009728DC"/>
    <w:rsid w:val="009C0C41"/>
    <w:rsid w:val="009F4EAE"/>
    <w:rsid w:val="00AB59CB"/>
    <w:rsid w:val="00AF7A1E"/>
    <w:rsid w:val="00C0525C"/>
    <w:rsid w:val="00CD7637"/>
    <w:rsid w:val="00D04A15"/>
    <w:rsid w:val="00D373CC"/>
    <w:rsid w:val="00DB319C"/>
    <w:rsid w:val="00E51B6D"/>
    <w:rsid w:val="00F75715"/>
    <w:rsid w:val="00F811C4"/>
    <w:rsid w:val="00FC2918"/>
    <w:rsid w:val="6E4235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913</Words>
  <Characters>5205</Characters>
  <Lines>43</Lines>
  <Paragraphs>12</Paragraphs>
  <TotalTime>0</TotalTime>
  <ScaleCrop>false</ScaleCrop>
  <LinksUpToDate>false</LinksUpToDate>
  <CharactersWithSpaces>6106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2026-08-25T01:32:00Z</dcterms:created>
  <dc:creator>Cc</dc:creator>
  <cp:lastModifiedBy>haotingting</cp:lastModifiedBy>
  <dcterms:modified xsi:type="dcterms:W3CDTF">2026-08-25T01:50:55Z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F73301A525464E7E8C80EC3F3DAE5468</vt:lpwstr>
  </property>
</Properties>
</file>