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交银施罗德安悦平衡养老目标三年持有期混合型发起式基金中基金（FOF）（A类份额）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2026-08-22</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2026-08-26</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交银安悦平衡养老三年持有期混合发起（FOF）A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010910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2024-02-05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每个开放日开放申购；每份基金份额最短持有期限为三年，在最短持有期限内不可赎回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刘兵</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2024-02-05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2016-06-21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陈玲斐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2014-05-16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pPr>
              <w:ind w:firstLine="420"/>
              <w:jc w:val="left"/>
              <w:rPr>
                <w:rFonts w:ascii="仿宋_GB2312" w:eastAsia="仿宋_GB2312"/>
                <w:szCs w:val="21"/>
              </w:rPr>
            </w:pPr>
            <w:r>
              <w:rPr>
                <w:rFonts w:ascii="仿宋_GB2312" w:eastAsia="仿宋_GB2312"/>
                <w:szCs w:val="21"/>
              </w:rPr>
              <w:t>《基金合同》生效三年后继续存续的，基金存续期内，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本基金为基金中基金，在保持基金资产良好的流动性的前提下，力争实现基金资产的长期增值，满足养老资金理财需求。</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QDII基金）、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债券、公开发行的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混合型基金和商品基金（含商品期货基金和黄金ETF）等品种的比例合计不超过基金资产的60%（其中投资于港股通标的股票的比例占股票资产的0%-50%）；投资于QDII基金和香港互认基金的比例合计不超过基金资产的20%；投资于货币市场基金的比例不超过基金资产的15%；投资于商品基金（含商品期货基金和黄金ETF）的比例不超过基金资产的10%；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本基金投资于权益类资产包括股票（含存托凭证）、股票型基金（包括股票指数基金）、混合型基金的战略配置目标比例为50%，投资比例为基金资产的35%-60%。</w:t>
            </w:r>
          </w:p>
          <w:p>
            <w:pPr>
              <w:ind w:firstLine="420"/>
              <w:jc w:val="left"/>
              <w:rPr>
                <w:rFonts w:ascii="仿宋_GB2312" w:eastAsia="仿宋_GB2312"/>
                <w:szCs w:val="21"/>
              </w:rPr>
            </w:pPr>
            <w:r>
              <w:rPr>
                <w:rFonts w:hint="eastAsia" w:ascii="仿宋_GB2312" w:eastAsia="仿宋_GB2312"/>
                <w:szCs w:val="21"/>
              </w:rPr>
              <w:t>计入上述权益类资产的混合型基金需符合下列两个条件之一：</w:t>
            </w:r>
          </w:p>
          <w:p>
            <w:pPr>
              <w:ind w:firstLine="420"/>
              <w:jc w:val="left"/>
              <w:rPr>
                <w:rFonts w:ascii="仿宋_GB2312" w:eastAsia="仿宋_GB2312"/>
                <w:szCs w:val="21"/>
              </w:rPr>
            </w:pPr>
            <w:r>
              <w:rPr>
                <w:rFonts w:hint="eastAsia" w:ascii="仿宋_GB2312" w:eastAsia="仿宋_GB2312"/>
                <w:szCs w:val="21"/>
              </w:rPr>
              <w:t>1、基金合同中约定股票投资占基金资产的比例不低于60%的混合型基金；</w:t>
            </w:r>
          </w:p>
          <w:p>
            <w:pPr>
              <w:ind w:firstLine="420"/>
              <w:jc w:val="left"/>
              <w:rPr>
                <w:rFonts w:ascii="仿宋_GB2312" w:eastAsia="仿宋_GB2312"/>
                <w:szCs w:val="21"/>
              </w:rPr>
            </w:pPr>
            <w:r>
              <w:rPr>
                <w:rFonts w:hint="eastAsia" w:ascii="仿宋_GB2312" w:eastAsia="仿宋_GB2312"/>
                <w:szCs w:val="21"/>
              </w:rPr>
              <w:t>2、最近四个季度披露的股票投资占基金资产的比例均不低于60%的混合型基金。</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本基金投资策略主要分为以下七个部分：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1、大类资产配置；2、基金投资策略；3、股票投资策略；4、港股通标的股票投资策略；5、债券投资策略；6、资产支持证券投资策略；7、风险控制策略。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48%×中证偏股型基金指数收益率+2%×恒生指数收益率+50%×中债综合全价指数收益率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本基金为混合型基金中基金，其预期风险与预期收益理论上高于债券型基金、债券型基金中基金、货币市场基金和货币型基金中基金，低于股票型基金和股票型基金中基金。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详见《交银施罗德安悦平衡养老目标三年持有期混合型发起式基金中基金（FOF）招募说明书》第九部分“基金的投资”。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2、本基金合同于于2024年2月5日生效，合同生效当年净值增长率按实际存续期计算。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500万元≤M＜1000万元</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三年，最短持有期限届满后，本基金不收取赎回费。其中，对于不受最短持有期限制的红利再投资所得基金份额，对持续持有期少于7日的投资者收取1.5%的赎回费，并全额计入基金财产。2、本基金管理人对非个人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80000.00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 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1.00%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本基金尚未披露基金年报，暂不披露该内容。</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（1）本基金为养老目标基金，致力于满足投资者的养老资金理财需求，但养老目标基金并不代表收益保障或其他任何形式的收益承诺。本基金非保本产品，存在投资者承担亏损的可能性。</w:t>
      </w:r>
    </w:p>
    <w:p>
      <w:pPr>
        <w:ind w:firstLine="420"/>
        <w:jc w:val="left"/>
        <w:rPr>
          <w:rFonts w:ascii="仿宋_GB2312" w:eastAsia="仿宋_GB2312"/>
          <w:szCs w:val="21"/>
        </w:rPr>
      </w:pPr>
      <w:r>
        <w:rPr>
          <w:rFonts w:hint="eastAsia" w:ascii="仿宋_GB2312" w:eastAsia="仿宋_GB2312"/>
          <w:szCs w:val="21"/>
        </w:rPr>
        <w:t>（2）本基金定位为平衡型目标风险策略基金，本基金投资于经中国证监会依法核准或注册的公开募集证券投资基金的基金份额的资产不低于本基金资产的80%；投资于股票（含存托凭证）、股票型基金（包括股票指数基金）、混合型基金和商品基金（含商品期货基金和黄金ETF）等品种的比例合计不超过基金资产的60%（其中投资于港股通标的股票的比例占股票资产的0%-50%）。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4）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5）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6）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（7）本基金为基金中基金，本基金可投资于商品基金，因此将间接承担商品基金可能面临的商品价格波动风险、投资商品期货合约的风险、盯市风险等商品投资风险。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8）基金份额持有人持有的每份基金份额最短持有期限为三年，在最短持有期限内该份基金份额不可赎回，自最短持有期限届满的下一工作日起（含该日）可赎回。对于每笔认购的基金份额而言，最短持有期限自基金合同生效之日起（含该日）至三年后年度对日的前一日；对于每笔申购的基金份额而言，最短持有期限自该笔申购份额确认日（含该日）至三年后年度对日的前一日。因此，对于基金份额持有人而言，存在投资本基金后三年内无法赎回的风险。</w:t>
      </w:r>
    </w:p>
    <w:p>
      <w:pPr>
        <w:ind w:firstLine="420"/>
        <w:jc w:val="left"/>
        <w:rPr>
          <w:rFonts w:ascii="仿宋_GB2312" w:eastAsia="仿宋_GB2312"/>
          <w:szCs w:val="21"/>
        </w:rPr>
      </w:pPr>
      <w:r>
        <w:rPr>
          <w:rFonts w:hint="eastAsia" w:ascii="仿宋_GB2312" w:eastAsia="仿宋_GB2312"/>
          <w:szCs w:val="21"/>
        </w:rPr>
        <w:t>（9）本基金可投资创业板股票，创业板个股上市后的前五个交易日不设价格涨跌幅限制，第六个交易日开始涨跌幅限制比例为20%。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pPr>
        <w:ind w:firstLine="420"/>
        <w:jc w:val="left"/>
        <w:rPr>
          <w:rFonts w:ascii="仿宋_GB2312" w:eastAsia="仿宋_GB2312"/>
          <w:szCs w:val="21"/>
        </w:rPr>
      </w:pPr>
      <w:r>
        <w:rPr>
          <w:rFonts w:hint="eastAsia" w:ascii="仿宋_GB2312" w:eastAsia="仿宋_GB2312"/>
          <w:szCs w:val="21"/>
        </w:rPr>
        <w:t>《基金合同》生效三年后继续存续的，基金存续期内，连续50个工作日出现基金份额持有人数量不满200人或基金资产净值低于5000万元情形时，基金合同终止，不需召开基金份额持有人大会。投资者可能面临基金合同提前终止的风险。</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13、其他风险</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●《交银施罗德安悦平衡养老目标三年持有期混合型发起式基金中基金（FOF）基金合同》、</w:t>
      </w:r>
    </w:p>
    <w:p>
      <w:pPr>
        <w:ind w:firstLine="420"/>
        <w:jc w:val="left"/>
        <w:rPr>
          <w:rFonts w:ascii="仿宋_GB2312" w:eastAsia="仿宋_GB2312"/>
          <w:szCs w:val="21"/>
        </w:rPr>
      </w:pPr>
      <w:r>
        <w:rPr>
          <w:rFonts w:hint="eastAsia" w:ascii="仿宋_GB2312" w:eastAsia="仿宋_GB2312"/>
          <w:szCs w:val="21"/>
        </w:rPr>
        <w:t>《交银施罗德安悦平衡养老目标三年持有期混合型发起式基金中基金（FOF）托管协议》、</w:t>
      </w:r>
    </w:p>
    <w:p>
      <w:pPr>
        <w:ind w:firstLine="420"/>
        <w:jc w:val="left"/>
        <w:rPr>
          <w:rFonts w:ascii="仿宋_GB2312" w:eastAsia="仿宋_GB2312"/>
          <w:szCs w:val="21"/>
        </w:rPr>
      </w:pPr>
      <w:r>
        <w:rPr>
          <w:rFonts w:hint="eastAsia" w:ascii="仿宋_GB2312" w:eastAsia="仿宋_GB2312"/>
          <w:szCs w:val="21"/>
        </w:rPr>
        <w:t>《交银施罗德安悦平衡养老目标三年持有期混合型发起式基金中基金（FOF）招募说明书》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3F579A"/>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21029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991</Words>
  <Characters>5651</Characters>
  <Lines>47</Lines>
  <Paragraphs>13</Paragraphs>
  <TotalTime>0</TotalTime>
  <ScaleCrop>false</ScaleCrop>
  <LinksUpToDate>false</LinksUpToDate>
  <CharactersWithSpaces>6629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2026-08-25T01:32:00Z</dcterms:created>
  <dc:creator>Cc</dc:creator>
  <cp:lastModifiedBy>haotingting</cp:lastModifiedBy>
  <dcterms:modified xsi:type="dcterms:W3CDTF">2026-08-25T01:41:21Z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B9A79524EE3E4758A7746B4C07E83139</vt:lpwstr>
  </property>
</Properties>
</file>