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31C8B3" w14:textId="77777777" w:rsidR="00CC0A2E" w:rsidRDefault="009C21D1">
      <w:pPr>
        <w:jc w:val="center"/>
        <w:outlineLvl w:val="0"/>
        <w:rPr>
          <w:rFonts w:ascii="黑体" w:eastAsia="黑体" w:hAnsi="黑体"/>
          <w:b/>
          <w:sz w:val="36"/>
        </w:rPr>
      </w:pPr>
      <w:bookmarkStart w:id="0" w:name="_Hlk50020403"/>
      <w:bookmarkStart w:id="1" w:name="_GoBack"/>
      <w:bookmarkEnd w:id="1"/>
      <w:r>
        <w:rPr>
          <w:rFonts w:ascii="黑体" w:eastAsia="黑体" w:hAnsi="黑体" w:hint="eastAsia"/>
          <w:b/>
          <w:sz w:val="36"/>
        </w:rPr>
        <w:t>交银施罗德科创创业量化选股股票型证券投资基金</w:t>
      </w:r>
      <w:bookmarkEnd w:id="0"/>
    </w:p>
    <w:p w14:paraId="09EC7DF8" w14:textId="77777777" w:rsidR="00CC0A2E" w:rsidRDefault="009C21D1">
      <w:pPr>
        <w:jc w:val="center"/>
        <w:outlineLvl w:val="0"/>
        <w:rPr>
          <w:rFonts w:ascii="黑体" w:eastAsia="黑体" w:hAnsi="黑体"/>
          <w:b/>
          <w:sz w:val="36"/>
        </w:rPr>
      </w:pPr>
      <w:r>
        <w:rPr>
          <w:rFonts w:ascii="黑体" w:eastAsia="黑体" w:hAnsi="黑体" w:hint="eastAsia"/>
          <w:b/>
          <w:sz w:val="36"/>
        </w:rPr>
        <w:t>（</w:t>
      </w:r>
      <w:r>
        <w:rPr>
          <w:rFonts w:ascii="黑体" w:eastAsia="黑体" w:hAnsi="黑体"/>
          <w:b/>
          <w:sz w:val="36"/>
        </w:rPr>
        <w:t>C</w:t>
      </w:r>
      <w:r>
        <w:rPr>
          <w:rFonts w:ascii="黑体" w:eastAsia="黑体" w:hAnsi="黑体" w:hint="eastAsia"/>
          <w:b/>
          <w:sz w:val="36"/>
        </w:rPr>
        <w:t>类份额）</w:t>
      </w:r>
    </w:p>
    <w:p w14:paraId="50A93FC0" w14:textId="77777777" w:rsidR="00CC0A2E" w:rsidRDefault="009C21D1">
      <w:pPr>
        <w:jc w:val="center"/>
        <w:outlineLvl w:val="0"/>
        <w:rPr>
          <w:rFonts w:ascii="黑体" w:eastAsia="黑体" w:hAnsi="黑体"/>
          <w:b/>
          <w:sz w:val="36"/>
        </w:rPr>
      </w:pPr>
      <w:r>
        <w:rPr>
          <w:rFonts w:ascii="黑体" w:eastAsia="黑体" w:hAnsi="黑体" w:hint="eastAsia"/>
          <w:b/>
          <w:sz w:val="36"/>
        </w:rPr>
        <w:t>基金产品资料概要</w:t>
      </w:r>
    </w:p>
    <w:p w14:paraId="07FF8C7C" w14:textId="60413339" w:rsidR="00CC0A2E" w:rsidRDefault="009C21D1">
      <w:pPr>
        <w:jc w:val="right"/>
        <w:rPr>
          <w:rFonts w:ascii="仿宋_GB2312" w:eastAsia="仿宋_GB2312" w:hAnsi="宋体" w:cs="宋体"/>
          <w:kern w:val="0"/>
          <w:sz w:val="24"/>
          <w:szCs w:val="24"/>
        </w:rPr>
      </w:pPr>
      <w:r>
        <w:rPr>
          <w:rFonts w:ascii="方正仿宋简体" w:eastAsia="方正仿宋简体" w:hAnsi="方正仿宋简体" w:cs="方正仿宋简体" w:hint="eastAsia"/>
          <w:iCs/>
          <w:sz w:val="24"/>
          <w:szCs w:val="24"/>
        </w:rPr>
        <w:t>编制日期：</w:t>
      </w:r>
      <w:r>
        <w:rPr>
          <w:rFonts w:ascii="Times New Roman" w:eastAsia="仿宋_GB2312" w:hAnsi="Times New Roman" w:cs="宋体" w:hint="eastAsia"/>
          <w:kern w:val="0"/>
          <w:sz w:val="24"/>
          <w:szCs w:val="24"/>
        </w:rPr>
        <w:t>202</w:t>
      </w:r>
      <w:r w:rsidR="005C0352">
        <w:rPr>
          <w:rFonts w:ascii="Times New Roman" w:eastAsia="仿宋_GB2312" w:hAnsi="Times New Roman" w:cs="宋体"/>
          <w:kern w:val="0"/>
          <w:sz w:val="24"/>
          <w:szCs w:val="24"/>
        </w:rPr>
        <w:t>6</w:t>
      </w:r>
      <w:r>
        <w:rPr>
          <w:rFonts w:ascii="Times New Roman" w:eastAsia="仿宋_GB2312" w:hAnsi="Times New Roman" w:cs="宋体" w:hint="eastAsia"/>
          <w:kern w:val="0"/>
          <w:sz w:val="24"/>
          <w:szCs w:val="24"/>
        </w:rPr>
        <w:t>-</w:t>
      </w:r>
      <w:r w:rsidR="005C0352">
        <w:rPr>
          <w:rFonts w:ascii="Times New Roman" w:eastAsia="仿宋_GB2312" w:hAnsi="Times New Roman" w:cs="宋体"/>
          <w:kern w:val="0"/>
          <w:sz w:val="24"/>
          <w:szCs w:val="24"/>
        </w:rPr>
        <w:t>08</w:t>
      </w:r>
      <w:r>
        <w:rPr>
          <w:rFonts w:ascii="Times New Roman" w:eastAsia="仿宋_GB2312" w:hAnsi="Times New Roman" w:cs="宋体" w:hint="eastAsia"/>
          <w:kern w:val="0"/>
          <w:sz w:val="24"/>
          <w:szCs w:val="24"/>
        </w:rPr>
        <w:t>-</w:t>
      </w:r>
      <w:r w:rsidR="005C0352">
        <w:rPr>
          <w:rFonts w:ascii="Times New Roman" w:eastAsia="仿宋_GB2312" w:hAnsi="Times New Roman" w:cs="宋体"/>
          <w:kern w:val="0"/>
          <w:sz w:val="24"/>
          <w:szCs w:val="24"/>
        </w:rPr>
        <w:t>17</w:t>
      </w:r>
    </w:p>
    <w:p w14:paraId="71BD1B74" w14:textId="3BB9B7F4" w:rsidR="00CC0A2E" w:rsidRDefault="009C21D1">
      <w:pPr>
        <w:jc w:val="center"/>
        <w:outlineLvl w:val="0"/>
        <w:rPr>
          <w:rFonts w:ascii="方正仿宋简体" w:eastAsia="仿宋_GB2312" w:hAnsi="方正仿宋简体" w:cs="方正仿宋简体"/>
          <w:iCs/>
          <w:sz w:val="24"/>
          <w:szCs w:val="24"/>
        </w:rPr>
      </w:pPr>
      <w:r>
        <w:rPr>
          <w:rFonts w:ascii="方正仿宋简体" w:eastAsia="方正仿宋简体" w:hAnsi="方正仿宋简体" w:cs="方正仿宋简体"/>
          <w:iCs/>
          <w:sz w:val="24"/>
          <w:szCs w:val="24"/>
        </w:rPr>
        <w:t>送出日期：</w:t>
      </w:r>
      <w:r>
        <w:rPr>
          <w:rFonts w:ascii="Times New Roman" w:eastAsia="仿宋_GB2312" w:hAnsi="Times New Roman" w:cs="宋体"/>
          <w:kern w:val="0"/>
          <w:sz w:val="24"/>
          <w:szCs w:val="24"/>
        </w:rPr>
        <w:t>20</w:t>
      </w:r>
      <w:r>
        <w:rPr>
          <w:rFonts w:ascii="Times New Roman" w:eastAsia="仿宋_GB2312" w:hAnsi="Times New Roman" w:cs="宋体" w:hint="eastAsia"/>
          <w:kern w:val="0"/>
          <w:sz w:val="24"/>
          <w:szCs w:val="24"/>
        </w:rPr>
        <w:t>2</w:t>
      </w:r>
      <w:r w:rsidR="005C0352">
        <w:rPr>
          <w:rFonts w:ascii="Times New Roman" w:eastAsia="仿宋_GB2312" w:hAnsi="Times New Roman" w:cs="宋体"/>
          <w:kern w:val="0"/>
          <w:sz w:val="24"/>
          <w:szCs w:val="24"/>
        </w:rPr>
        <w:t>6</w:t>
      </w:r>
      <w:r>
        <w:rPr>
          <w:rFonts w:ascii="Times New Roman" w:eastAsia="仿宋_GB2312" w:hAnsi="Times New Roman" w:cs="宋体"/>
          <w:kern w:val="0"/>
          <w:sz w:val="24"/>
          <w:szCs w:val="24"/>
        </w:rPr>
        <w:t>-</w:t>
      </w:r>
      <w:r w:rsidR="005C0352">
        <w:rPr>
          <w:rFonts w:ascii="Times New Roman" w:eastAsia="仿宋_GB2312" w:hAnsi="Times New Roman" w:cs="宋体"/>
          <w:kern w:val="0"/>
          <w:sz w:val="24"/>
          <w:szCs w:val="24"/>
        </w:rPr>
        <w:t>08</w:t>
      </w:r>
      <w:r>
        <w:rPr>
          <w:rFonts w:ascii="Times New Roman" w:eastAsia="仿宋_GB2312" w:hAnsi="Times New Roman" w:cs="宋体"/>
          <w:kern w:val="0"/>
          <w:sz w:val="24"/>
          <w:szCs w:val="24"/>
        </w:rPr>
        <w:t>-</w:t>
      </w:r>
      <w:r w:rsidR="005C0352">
        <w:rPr>
          <w:rFonts w:ascii="Times New Roman" w:eastAsia="仿宋_GB2312" w:hAnsi="Times New Roman" w:cs="宋体"/>
          <w:kern w:val="0"/>
          <w:sz w:val="24"/>
          <w:szCs w:val="24"/>
        </w:rPr>
        <w:t>18</w:t>
      </w:r>
    </w:p>
    <w:p w14:paraId="7ED329FF" w14:textId="77777777" w:rsidR="00CC0A2E" w:rsidRDefault="009C21D1">
      <w:pPr>
        <w:autoSpaceDE w:val="0"/>
        <w:autoSpaceDN w:val="0"/>
        <w:adjustRightInd w:val="0"/>
        <w:jc w:val="center"/>
        <w:outlineLvl w:val="0"/>
        <w:rPr>
          <w:rFonts w:ascii="黑体" w:eastAsia="黑体" w:hAnsi="黑体" w:cs="FZHTJW--GB1-0"/>
          <w:kern w:val="0"/>
          <w:sz w:val="30"/>
          <w:szCs w:val="30"/>
        </w:rPr>
      </w:pPr>
      <w:r>
        <w:rPr>
          <w:rFonts w:ascii="黑体" w:eastAsia="黑体" w:hAnsi="黑体" w:cs="宋体" w:hint="eastAsia"/>
          <w:kern w:val="0"/>
          <w:sz w:val="30"/>
          <w:szCs w:val="30"/>
        </w:rPr>
        <w:t>本概要提供本基金的重要信息，是招募说明书的一部分。</w:t>
      </w:r>
    </w:p>
    <w:p w14:paraId="05FF1B65" w14:textId="77777777" w:rsidR="00CC0A2E" w:rsidRDefault="009C21D1">
      <w:pPr>
        <w:jc w:val="center"/>
        <w:outlineLvl w:val="0"/>
        <w:rPr>
          <w:rFonts w:ascii="黑体" w:eastAsia="黑体" w:hAnsi="黑体" w:cs="宋体"/>
          <w:kern w:val="0"/>
          <w:sz w:val="30"/>
          <w:szCs w:val="30"/>
        </w:rPr>
      </w:pPr>
      <w:r>
        <w:rPr>
          <w:rFonts w:ascii="黑体" w:eastAsia="黑体" w:hAnsi="黑体" w:cs="宋体" w:hint="eastAsia"/>
          <w:kern w:val="0"/>
          <w:sz w:val="30"/>
          <w:szCs w:val="30"/>
        </w:rPr>
        <w:t>作出投资决定前，请阅读完整的招募说明书等销售文件。</w:t>
      </w:r>
    </w:p>
    <w:p w14:paraId="26CA99A1" w14:textId="77777777" w:rsidR="00CC0A2E" w:rsidRDefault="009C21D1">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t>一、产品概况</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48"/>
        <w:gridCol w:w="1994"/>
        <w:gridCol w:w="2843"/>
        <w:gridCol w:w="1887"/>
      </w:tblGrid>
      <w:tr w:rsidR="00CC0A2E" w14:paraId="38F83239" w14:textId="77777777">
        <w:trPr>
          <w:jc w:val="center"/>
        </w:trPr>
        <w:tc>
          <w:tcPr>
            <w:tcW w:w="2348" w:type="dxa"/>
            <w:vAlign w:val="center"/>
          </w:tcPr>
          <w:p w14:paraId="45748836" w14:textId="77777777" w:rsidR="00CC0A2E" w:rsidRDefault="009C21D1">
            <w:pPr>
              <w:widowControl/>
              <w:jc w:val="left"/>
              <w:rPr>
                <w:rFonts w:ascii="仿宋_GB2312" w:eastAsia="仿宋_GB2312"/>
                <w:sz w:val="24"/>
                <w:szCs w:val="24"/>
              </w:rPr>
            </w:pPr>
            <w:r>
              <w:rPr>
                <w:rFonts w:ascii="仿宋_GB2312" w:eastAsia="仿宋_GB2312" w:hint="eastAsia"/>
                <w:sz w:val="24"/>
                <w:szCs w:val="24"/>
              </w:rPr>
              <w:t>基金简称</w:t>
            </w:r>
          </w:p>
        </w:tc>
        <w:tc>
          <w:tcPr>
            <w:tcW w:w="1994" w:type="dxa"/>
            <w:vAlign w:val="center"/>
          </w:tcPr>
          <w:p w14:paraId="229A477A" w14:textId="77777777" w:rsidR="00CC0A2E" w:rsidRDefault="009C21D1">
            <w:pPr>
              <w:rPr>
                <w:rFonts w:ascii="仿宋_GB2312" w:eastAsia="仿宋_GB2312"/>
                <w:sz w:val="24"/>
                <w:szCs w:val="24"/>
              </w:rPr>
            </w:pPr>
            <w:r>
              <w:rPr>
                <w:rFonts w:ascii="仿宋_GB2312" w:eastAsia="仿宋_GB2312" w:hint="eastAsia"/>
                <w:sz w:val="24"/>
                <w:szCs w:val="24"/>
              </w:rPr>
              <w:t>交银科创创业量化选股股票</w:t>
            </w:r>
            <w:r>
              <w:rPr>
                <w:rFonts w:ascii="仿宋_GB2312" w:eastAsia="仿宋_GB2312"/>
                <w:sz w:val="24"/>
                <w:szCs w:val="24"/>
              </w:rPr>
              <w:t>C</w:t>
            </w:r>
          </w:p>
        </w:tc>
        <w:tc>
          <w:tcPr>
            <w:tcW w:w="2843" w:type="dxa"/>
            <w:vAlign w:val="center"/>
          </w:tcPr>
          <w:p w14:paraId="13B4CE38" w14:textId="77777777" w:rsidR="00CC0A2E" w:rsidRDefault="009C21D1">
            <w:pPr>
              <w:rPr>
                <w:rFonts w:ascii="仿宋_GB2312" w:eastAsia="仿宋_GB2312" w:hAnsi="宋体" w:cs="宋体"/>
                <w:sz w:val="24"/>
                <w:szCs w:val="24"/>
              </w:rPr>
            </w:pPr>
            <w:r>
              <w:rPr>
                <w:rFonts w:ascii="仿宋_GB2312" w:eastAsia="仿宋_GB2312" w:hint="eastAsia"/>
                <w:sz w:val="24"/>
                <w:szCs w:val="24"/>
              </w:rPr>
              <w:t>基金代码</w:t>
            </w:r>
          </w:p>
        </w:tc>
        <w:tc>
          <w:tcPr>
            <w:tcW w:w="1887" w:type="dxa"/>
            <w:vAlign w:val="center"/>
          </w:tcPr>
          <w:p w14:paraId="1A57E4FB" w14:textId="5ED2D6A4" w:rsidR="00CC0A2E" w:rsidRDefault="00A37AB1" w:rsidP="00A37AB1">
            <w:pPr>
              <w:rPr>
                <w:rFonts w:ascii="仿宋_GB2312" w:eastAsia="仿宋_GB2312"/>
                <w:sz w:val="24"/>
                <w:szCs w:val="24"/>
              </w:rPr>
            </w:pPr>
            <w:r w:rsidRPr="00A37AB1">
              <w:rPr>
                <w:rFonts w:ascii="仿宋_GB2312" w:eastAsia="仿宋_GB2312"/>
                <w:sz w:val="24"/>
                <w:szCs w:val="24"/>
              </w:rPr>
              <w:t>02867</w:t>
            </w:r>
            <w:r>
              <w:rPr>
                <w:rFonts w:ascii="仿宋_GB2312" w:eastAsia="仿宋_GB2312"/>
                <w:sz w:val="24"/>
                <w:szCs w:val="24"/>
              </w:rPr>
              <w:t>7</w:t>
            </w:r>
          </w:p>
        </w:tc>
      </w:tr>
      <w:tr w:rsidR="00CC0A2E" w14:paraId="5A2D4F87" w14:textId="77777777">
        <w:trPr>
          <w:jc w:val="center"/>
        </w:trPr>
        <w:tc>
          <w:tcPr>
            <w:tcW w:w="2348" w:type="dxa"/>
            <w:vAlign w:val="center"/>
          </w:tcPr>
          <w:p w14:paraId="24AB81A9" w14:textId="77777777" w:rsidR="00CC0A2E" w:rsidRDefault="009C21D1">
            <w:pPr>
              <w:rPr>
                <w:rFonts w:ascii="仿宋_GB2312" w:eastAsia="仿宋_GB2312"/>
                <w:sz w:val="24"/>
                <w:szCs w:val="24"/>
              </w:rPr>
            </w:pPr>
            <w:r>
              <w:rPr>
                <w:rFonts w:ascii="仿宋_GB2312" w:eastAsia="仿宋_GB2312" w:hint="eastAsia"/>
                <w:sz w:val="24"/>
                <w:szCs w:val="24"/>
              </w:rPr>
              <w:t>基金管理人</w:t>
            </w:r>
          </w:p>
        </w:tc>
        <w:tc>
          <w:tcPr>
            <w:tcW w:w="1994" w:type="dxa"/>
            <w:vAlign w:val="center"/>
          </w:tcPr>
          <w:p w14:paraId="6299F8C6" w14:textId="77777777" w:rsidR="00CC0A2E" w:rsidRDefault="009C21D1">
            <w:pPr>
              <w:rPr>
                <w:rFonts w:ascii="仿宋_GB2312" w:eastAsia="仿宋_GB2312"/>
                <w:sz w:val="24"/>
                <w:szCs w:val="24"/>
              </w:rPr>
            </w:pPr>
            <w:r>
              <w:rPr>
                <w:rFonts w:ascii="仿宋_GB2312" w:eastAsia="仿宋_GB2312" w:hint="eastAsia"/>
                <w:sz w:val="24"/>
                <w:szCs w:val="24"/>
              </w:rPr>
              <w:t>交银施罗德基金管理有限公司</w:t>
            </w:r>
          </w:p>
        </w:tc>
        <w:tc>
          <w:tcPr>
            <w:tcW w:w="2843" w:type="dxa"/>
            <w:vAlign w:val="center"/>
          </w:tcPr>
          <w:p w14:paraId="47E9AF9A" w14:textId="77777777" w:rsidR="00CC0A2E" w:rsidRDefault="009C21D1">
            <w:pPr>
              <w:rPr>
                <w:rFonts w:ascii="仿宋_GB2312" w:eastAsia="仿宋_GB2312" w:hAnsi="宋体" w:cs="宋体"/>
                <w:sz w:val="24"/>
                <w:szCs w:val="24"/>
              </w:rPr>
            </w:pPr>
            <w:r>
              <w:rPr>
                <w:rFonts w:ascii="仿宋_GB2312" w:eastAsia="仿宋_GB2312" w:hint="eastAsia"/>
                <w:sz w:val="24"/>
                <w:szCs w:val="24"/>
              </w:rPr>
              <w:t>基金托管人</w:t>
            </w:r>
          </w:p>
        </w:tc>
        <w:tc>
          <w:tcPr>
            <w:tcW w:w="1887" w:type="dxa"/>
            <w:vAlign w:val="center"/>
          </w:tcPr>
          <w:p w14:paraId="6B028175" w14:textId="77777777" w:rsidR="00CC0A2E" w:rsidRDefault="009C21D1">
            <w:pPr>
              <w:rPr>
                <w:rFonts w:ascii="仿宋_GB2312" w:eastAsia="仿宋_GB2312"/>
                <w:sz w:val="24"/>
                <w:szCs w:val="24"/>
              </w:rPr>
            </w:pPr>
            <w:r>
              <w:rPr>
                <w:rFonts w:ascii="仿宋_GB2312" w:eastAsia="仿宋_GB2312" w:hint="eastAsia"/>
                <w:sz w:val="24"/>
                <w:szCs w:val="24"/>
              </w:rPr>
              <w:t>上海浦东发展银行股份有限公司</w:t>
            </w:r>
          </w:p>
        </w:tc>
      </w:tr>
      <w:tr w:rsidR="00CC0A2E" w14:paraId="7EBE4E01" w14:textId="77777777">
        <w:trPr>
          <w:gridAfter w:val="2"/>
          <w:wAfter w:w="4730" w:type="dxa"/>
          <w:jc w:val="center"/>
        </w:trPr>
        <w:tc>
          <w:tcPr>
            <w:tcW w:w="2348" w:type="dxa"/>
            <w:vAlign w:val="center"/>
          </w:tcPr>
          <w:p w14:paraId="1750C8C9" w14:textId="77777777" w:rsidR="00CC0A2E" w:rsidRDefault="009C21D1">
            <w:pPr>
              <w:rPr>
                <w:rFonts w:ascii="仿宋_GB2312" w:eastAsia="仿宋_GB2312"/>
                <w:sz w:val="24"/>
                <w:szCs w:val="24"/>
              </w:rPr>
            </w:pPr>
            <w:r>
              <w:rPr>
                <w:rFonts w:ascii="仿宋_GB2312" w:eastAsia="仿宋_GB2312" w:hint="eastAsia"/>
                <w:sz w:val="24"/>
                <w:szCs w:val="24"/>
              </w:rPr>
              <w:t>基金合同生效日</w:t>
            </w:r>
          </w:p>
        </w:tc>
        <w:tc>
          <w:tcPr>
            <w:tcW w:w="1994" w:type="dxa"/>
            <w:vAlign w:val="center"/>
          </w:tcPr>
          <w:p w14:paraId="1133793A" w14:textId="77777777" w:rsidR="00CC0A2E" w:rsidRDefault="009C21D1">
            <w:pPr>
              <w:rPr>
                <w:rFonts w:ascii="仿宋_GB2312" w:eastAsia="仿宋_GB2312"/>
                <w:sz w:val="24"/>
                <w:szCs w:val="24"/>
              </w:rPr>
            </w:pPr>
            <w:r>
              <w:rPr>
                <w:rFonts w:ascii="仿宋_GB2312" w:eastAsia="仿宋_GB2312" w:hint="eastAsia"/>
                <w:sz w:val="24"/>
                <w:szCs w:val="24"/>
              </w:rPr>
              <w:t>-</w:t>
            </w:r>
          </w:p>
        </w:tc>
      </w:tr>
      <w:tr w:rsidR="00CC0A2E" w14:paraId="58FB6C05" w14:textId="77777777">
        <w:trPr>
          <w:jc w:val="center"/>
        </w:trPr>
        <w:tc>
          <w:tcPr>
            <w:tcW w:w="2348" w:type="dxa"/>
            <w:vAlign w:val="center"/>
          </w:tcPr>
          <w:p w14:paraId="65C37572" w14:textId="77777777" w:rsidR="00CC0A2E" w:rsidRDefault="009C21D1">
            <w:pPr>
              <w:rPr>
                <w:rFonts w:ascii="仿宋_GB2312" w:eastAsia="仿宋_GB2312"/>
                <w:sz w:val="24"/>
                <w:szCs w:val="24"/>
              </w:rPr>
            </w:pPr>
            <w:r>
              <w:rPr>
                <w:rFonts w:ascii="仿宋_GB2312" w:eastAsia="仿宋_GB2312" w:hint="eastAsia"/>
                <w:sz w:val="24"/>
                <w:szCs w:val="24"/>
              </w:rPr>
              <w:t>基金类型</w:t>
            </w:r>
          </w:p>
        </w:tc>
        <w:tc>
          <w:tcPr>
            <w:tcW w:w="1994" w:type="dxa"/>
            <w:vAlign w:val="center"/>
          </w:tcPr>
          <w:p w14:paraId="167D84A3" w14:textId="77777777" w:rsidR="00CC0A2E" w:rsidRDefault="009C21D1">
            <w:pPr>
              <w:rPr>
                <w:rFonts w:ascii="仿宋_GB2312" w:eastAsia="仿宋_GB2312"/>
                <w:sz w:val="24"/>
                <w:szCs w:val="24"/>
              </w:rPr>
            </w:pPr>
            <w:r>
              <w:rPr>
                <w:rFonts w:ascii="仿宋_GB2312" w:eastAsia="仿宋_GB2312" w:hint="eastAsia"/>
                <w:sz w:val="24"/>
                <w:szCs w:val="24"/>
              </w:rPr>
              <w:t>股票型</w:t>
            </w:r>
          </w:p>
        </w:tc>
        <w:tc>
          <w:tcPr>
            <w:tcW w:w="2843" w:type="dxa"/>
            <w:vAlign w:val="center"/>
          </w:tcPr>
          <w:p w14:paraId="68561C1B" w14:textId="77777777" w:rsidR="00CC0A2E" w:rsidRDefault="009C21D1">
            <w:pPr>
              <w:rPr>
                <w:rFonts w:ascii="仿宋_GB2312" w:eastAsia="仿宋_GB2312" w:hAnsi="宋体" w:cs="宋体"/>
                <w:sz w:val="24"/>
                <w:szCs w:val="24"/>
              </w:rPr>
            </w:pPr>
            <w:r>
              <w:rPr>
                <w:rFonts w:ascii="仿宋_GB2312" w:eastAsia="仿宋_GB2312" w:hint="eastAsia"/>
                <w:sz w:val="24"/>
                <w:szCs w:val="24"/>
              </w:rPr>
              <w:t>交易币种</w:t>
            </w:r>
          </w:p>
        </w:tc>
        <w:tc>
          <w:tcPr>
            <w:tcW w:w="1887" w:type="dxa"/>
            <w:vAlign w:val="center"/>
          </w:tcPr>
          <w:p w14:paraId="4A812F2B" w14:textId="77777777" w:rsidR="00CC0A2E" w:rsidRDefault="009C21D1">
            <w:pPr>
              <w:rPr>
                <w:rFonts w:ascii="仿宋_GB2312" w:eastAsia="仿宋_GB2312"/>
                <w:sz w:val="24"/>
                <w:szCs w:val="24"/>
              </w:rPr>
            </w:pPr>
            <w:r>
              <w:rPr>
                <w:rFonts w:ascii="仿宋_GB2312" w:eastAsia="仿宋_GB2312" w:hint="eastAsia"/>
                <w:sz w:val="24"/>
                <w:szCs w:val="24"/>
              </w:rPr>
              <w:t>人民币</w:t>
            </w:r>
          </w:p>
        </w:tc>
      </w:tr>
      <w:tr w:rsidR="00CC0A2E" w14:paraId="31F25E50" w14:textId="77777777">
        <w:trPr>
          <w:jc w:val="center"/>
        </w:trPr>
        <w:tc>
          <w:tcPr>
            <w:tcW w:w="2348" w:type="dxa"/>
            <w:vAlign w:val="center"/>
          </w:tcPr>
          <w:p w14:paraId="406BEF22" w14:textId="77777777" w:rsidR="00CC0A2E" w:rsidRDefault="009C21D1">
            <w:pPr>
              <w:rPr>
                <w:rFonts w:ascii="仿宋_GB2312" w:eastAsia="仿宋_GB2312"/>
                <w:sz w:val="24"/>
                <w:szCs w:val="24"/>
              </w:rPr>
            </w:pPr>
            <w:r>
              <w:rPr>
                <w:rFonts w:ascii="仿宋_GB2312" w:eastAsia="仿宋_GB2312" w:hint="eastAsia"/>
                <w:sz w:val="24"/>
                <w:szCs w:val="24"/>
              </w:rPr>
              <w:t>运作方式</w:t>
            </w:r>
          </w:p>
        </w:tc>
        <w:tc>
          <w:tcPr>
            <w:tcW w:w="1994" w:type="dxa"/>
            <w:vAlign w:val="center"/>
          </w:tcPr>
          <w:p w14:paraId="07C1B3BC" w14:textId="77777777" w:rsidR="00CC0A2E" w:rsidRDefault="009C21D1">
            <w:pPr>
              <w:rPr>
                <w:rFonts w:ascii="仿宋_GB2312" w:eastAsia="仿宋_GB2312"/>
                <w:sz w:val="24"/>
                <w:szCs w:val="24"/>
              </w:rPr>
            </w:pPr>
            <w:r>
              <w:rPr>
                <w:rFonts w:ascii="仿宋_GB2312" w:eastAsia="仿宋_GB2312" w:hint="eastAsia"/>
                <w:sz w:val="24"/>
                <w:szCs w:val="24"/>
              </w:rPr>
              <w:t>普通开放式</w:t>
            </w:r>
          </w:p>
        </w:tc>
        <w:tc>
          <w:tcPr>
            <w:tcW w:w="2843" w:type="dxa"/>
            <w:vAlign w:val="center"/>
          </w:tcPr>
          <w:p w14:paraId="2D18F89B" w14:textId="77777777" w:rsidR="00CC0A2E" w:rsidRDefault="009C21D1">
            <w:pPr>
              <w:rPr>
                <w:rFonts w:ascii="仿宋_GB2312" w:eastAsia="仿宋_GB2312" w:hAnsi="宋体" w:cs="宋体"/>
                <w:sz w:val="24"/>
                <w:szCs w:val="24"/>
              </w:rPr>
            </w:pPr>
            <w:r>
              <w:rPr>
                <w:rFonts w:ascii="仿宋_GB2312" w:eastAsia="仿宋_GB2312" w:hint="eastAsia"/>
                <w:sz w:val="24"/>
                <w:szCs w:val="24"/>
              </w:rPr>
              <w:t>开放频率</w:t>
            </w:r>
          </w:p>
        </w:tc>
        <w:tc>
          <w:tcPr>
            <w:tcW w:w="1887" w:type="dxa"/>
            <w:vAlign w:val="center"/>
          </w:tcPr>
          <w:p w14:paraId="32062CD3" w14:textId="77777777" w:rsidR="00CC0A2E" w:rsidRDefault="009C21D1">
            <w:pPr>
              <w:rPr>
                <w:rFonts w:ascii="仿宋_GB2312" w:eastAsia="仿宋_GB2312"/>
                <w:sz w:val="24"/>
                <w:szCs w:val="24"/>
              </w:rPr>
            </w:pPr>
            <w:r>
              <w:rPr>
                <w:rFonts w:ascii="仿宋_GB2312" w:eastAsia="仿宋_GB2312" w:hint="eastAsia"/>
                <w:sz w:val="24"/>
                <w:szCs w:val="24"/>
              </w:rPr>
              <w:t>每个开放日</w:t>
            </w:r>
          </w:p>
        </w:tc>
      </w:tr>
      <w:tr w:rsidR="00CC0A2E" w14:paraId="1DC4F959" w14:textId="77777777">
        <w:trPr>
          <w:jc w:val="center"/>
        </w:trPr>
        <w:tc>
          <w:tcPr>
            <w:tcW w:w="2348" w:type="dxa"/>
            <w:vMerge w:val="restart"/>
          </w:tcPr>
          <w:p w14:paraId="3A18FDBA" w14:textId="77777777" w:rsidR="00CC0A2E" w:rsidRDefault="009C21D1">
            <w:pPr>
              <w:jc w:val="left"/>
              <w:rPr>
                <w:rFonts w:ascii="仿宋_GB2312" w:eastAsia="仿宋_GB2312"/>
                <w:sz w:val="24"/>
                <w:szCs w:val="24"/>
              </w:rPr>
            </w:pPr>
            <w:r>
              <w:rPr>
                <w:rFonts w:ascii="仿宋_GB2312" w:eastAsia="仿宋_GB2312" w:hint="eastAsia"/>
                <w:sz w:val="24"/>
                <w:szCs w:val="24"/>
              </w:rPr>
              <w:t>基金经理</w:t>
            </w:r>
          </w:p>
        </w:tc>
        <w:tc>
          <w:tcPr>
            <w:tcW w:w="1994" w:type="dxa"/>
            <w:vMerge w:val="restart"/>
          </w:tcPr>
          <w:p w14:paraId="6BCA9A2A" w14:textId="77777777" w:rsidR="00CC0A2E" w:rsidRDefault="009C21D1">
            <w:pPr>
              <w:rPr>
                <w:rFonts w:asciiTheme="majorEastAsia" w:eastAsia="仿宋_GB2312" w:hAnsiTheme="majorEastAsia"/>
                <w:sz w:val="24"/>
                <w:szCs w:val="24"/>
              </w:rPr>
            </w:pPr>
            <w:r>
              <w:rPr>
                <w:rFonts w:ascii="仿宋_GB2312" w:eastAsia="仿宋_GB2312" w:hint="eastAsia"/>
                <w:sz w:val="24"/>
                <w:szCs w:val="24"/>
              </w:rPr>
              <w:t>蔡铮</w:t>
            </w:r>
          </w:p>
        </w:tc>
        <w:tc>
          <w:tcPr>
            <w:tcW w:w="2843" w:type="dxa"/>
          </w:tcPr>
          <w:p w14:paraId="5689360B" w14:textId="77777777" w:rsidR="00CC0A2E" w:rsidRDefault="009C21D1">
            <w:pPr>
              <w:jc w:val="left"/>
              <w:rPr>
                <w:rFonts w:ascii="仿宋_GB2312" w:eastAsia="仿宋_GB2312"/>
                <w:sz w:val="24"/>
                <w:szCs w:val="24"/>
              </w:rPr>
            </w:pPr>
            <w:r>
              <w:rPr>
                <w:rFonts w:ascii="仿宋_GB2312" w:eastAsia="仿宋_GB2312" w:hAnsi="宋体" w:cs="宋体" w:hint="eastAsia"/>
                <w:kern w:val="0"/>
                <w:sz w:val="24"/>
                <w:szCs w:val="24"/>
              </w:rPr>
              <w:t>开始担任本基金基金经理的日期</w:t>
            </w:r>
          </w:p>
        </w:tc>
        <w:tc>
          <w:tcPr>
            <w:tcW w:w="1887" w:type="dxa"/>
          </w:tcPr>
          <w:p w14:paraId="68EB1657" w14:textId="77777777" w:rsidR="00CC0A2E" w:rsidRDefault="009C21D1">
            <w:pPr>
              <w:jc w:val="left"/>
              <w:rPr>
                <w:rFonts w:ascii="仿宋_GB2312" w:eastAsia="仿宋_GB2312"/>
                <w:sz w:val="24"/>
                <w:szCs w:val="24"/>
              </w:rPr>
            </w:pPr>
            <w:r>
              <w:rPr>
                <w:rFonts w:ascii="仿宋_GB2312" w:eastAsia="仿宋_GB2312" w:hint="eastAsia"/>
                <w:sz w:val="24"/>
                <w:szCs w:val="24"/>
              </w:rPr>
              <w:t>-</w:t>
            </w:r>
          </w:p>
        </w:tc>
      </w:tr>
      <w:tr w:rsidR="00CC0A2E" w14:paraId="6719C2B3" w14:textId="77777777">
        <w:trPr>
          <w:jc w:val="center"/>
        </w:trPr>
        <w:tc>
          <w:tcPr>
            <w:tcW w:w="2348" w:type="dxa"/>
            <w:vMerge/>
          </w:tcPr>
          <w:p w14:paraId="289E9AD5" w14:textId="77777777" w:rsidR="00CC0A2E" w:rsidRDefault="00CC0A2E">
            <w:pPr>
              <w:jc w:val="left"/>
              <w:rPr>
                <w:rFonts w:ascii="仿宋_GB2312" w:eastAsia="仿宋_GB2312"/>
                <w:sz w:val="24"/>
                <w:szCs w:val="24"/>
              </w:rPr>
            </w:pPr>
          </w:p>
        </w:tc>
        <w:tc>
          <w:tcPr>
            <w:tcW w:w="1994" w:type="dxa"/>
            <w:vMerge/>
          </w:tcPr>
          <w:p w14:paraId="67A6AC80" w14:textId="77777777" w:rsidR="00CC0A2E" w:rsidRDefault="00CC0A2E">
            <w:pPr>
              <w:jc w:val="left"/>
              <w:rPr>
                <w:rFonts w:ascii="仿宋_GB2312" w:eastAsia="仿宋_GB2312"/>
                <w:sz w:val="24"/>
                <w:szCs w:val="24"/>
              </w:rPr>
            </w:pPr>
          </w:p>
        </w:tc>
        <w:tc>
          <w:tcPr>
            <w:tcW w:w="2843" w:type="dxa"/>
          </w:tcPr>
          <w:p w14:paraId="0034A383" w14:textId="77777777" w:rsidR="00CC0A2E" w:rsidRDefault="009C21D1">
            <w:pPr>
              <w:jc w:val="left"/>
              <w:rPr>
                <w:rFonts w:ascii="仿宋_GB2312" w:eastAsia="仿宋_GB2312"/>
                <w:sz w:val="24"/>
                <w:szCs w:val="24"/>
              </w:rPr>
            </w:pPr>
            <w:r>
              <w:rPr>
                <w:rFonts w:ascii="仿宋_GB2312" w:eastAsia="仿宋_GB2312" w:hAnsi="宋体" w:cs="宋体" w:hint="eastAsia"/>
                <w:kern w:val="0"/>
                <w:sz w:val="24"/>
                <w:szCs w:val="24"/>
              </w:rPr>
              <w:t>证券从业日期</w:t>
            </w:r>
          </w:p>
        </w:tc>
        <w:tc>
          <w:tcPr>
            <w:tcW w:w="1887" w:type="dxa"/>
          </w:tcPr>
          <w:p w14:paraId="7E719979" w14:textId="77777777" w:rsidR="00CC0A2E" w:rsidRDefault="009C21D1">
            <w:pPr>
              <w:jc w:val="left"/>
              <w:rPr>
                <w:rFonts w:ascii="仿宋_GB2312" w:eastAsia="仿宋_GB2312"/>
                <w:sz w:val="24"/>
                <w:szCs w:val="24"/>
              </w:rPr>
            </w:pPr>
            <w:r>
              <w:rPr>
                <w:rFonts w:ascii="仿宋_GB2312" w:eastAsia="仿宋_GB2312"/>
                <w:szCs w:val="21"/>
              </w:rPr>
              <w:t>2009-12-14</w:t>
            </w:r>
          </w:p>
        </w:tc>
      </w:tr>
      <w:tr w:rsidR="00CC0A2E" w14:paraId="2BB9D02E" w14:textId="77777777">
        <w:trPr>
          <w:jc w:val="center"/>
        </w:trPr>
        <w:tc>
          <w:tcPr>
            <w:tcW w:w="2348" w:type="dxa"/>
            <w:vMerge w:val="restart"/>
          </w:tcPr>
          <w:p w14:paraId="578EEBA5" w14:textId="77777777" w:rsidR="00CC0A2E" w:rsidRDefault="009C21D1">
            <w:pPr>
              <w:jc w:val="left"/>
              <w:rPr>
                <w:rFonts w:ascii="仿宋_GB2312" w:eastAsia="仿宋_GB2312"/>
                <w:sz w:val="24"/>
                <w:szCs w:val="24"/>
              </w:rPr>
            </w:pPr>
            <w:r>
              <w:rPr>
                <w:rFonts w:ascii="仿宋_GB2312" w:eastAsia="仿宋_GB2312" w:hint="eastAsia"/>
                <w:sz w:val="24"/>
                <w:szCs w:val="24"/>
              </w:rPr>
              <w:t>基金经理</w:t>
            </w:r>
          </w:p>
        </w:tc>
        <w:tc>
          <w:tcPr>
            <w:tcW w:w="1994" w:type="dxa"/>
            <w:vMerge w:val="restart"/>
          </w:tcPr>
          <w:p w14:paraId="20F2EF56" w14:textId="77777777" w:rsidR="00CC0A2E" w:rsidRDefault="009C21D1">
            <w:pPr>
              <w:jc w:val="left"/>
              <w:rPr>
                <w:rFonts w:ascii="仿宋_GB2312" w:eastAsia="仿宋_GB2312"/>
                <w:sz w:val="24"/>
                <w:szCs w:val="24"/>
              </w:rPr>
            </w:pPr>
            <w:r>
              <w:rPr>
                <w:rFonts w:ascii="仿宋_GB2312" w:eastAsia="仿宋_GB2312" w:hint="eastAsia"/>
                <w:sz w:val="24"/>
                <w:szCs w:val="24"/>
              </w:rPr>
              <w:t>杨彦煜</w:t>
            </w:r>
          </w:p>
        </w:tc>
        <w:tc>
          <w:tcPr>
            <w:tcW w:w="2843" w:type="dxa"/>
          </w:tcPr>
          <w:p w14:paraId="22D47A47" w14:textId="77777777" w:rsidR="00CC0A2E" w:rsidRDefault="009C21D1">
            <w:pPr>
              <w:jc w:val="left"/>
              <w:rPr>
                <w:rFonts w:ascii="仿宋_GB2312" w:eastAsia="仿宋_GB2312" w:hAnsi="宋体" w:cs="宋体"/>
                <w:kern w:val="0"/>
                <w:sz w:val="24"/>
                <w:szCs w:val="24"/>
              </w:rPr>
            </w:pPr>
            <w:r>
              <w:rPr>
                <w:rFonts w:ascii="仿宋_GB2312" w:eastAsia="仿宋_GB2312" w:hAnsi="宋体" w:cs="宋体" w:hint="eastAsia"/>
                <w:kern w:val="0"/>
                <w:sz w:val="24"/>
                <w:szCs w:val="24"/>
              </w:rPr>
              <w:t>开始担任本基金基金经理的日期</w:t>
            </w:r>
          </w:p>
        </w:tc>
        <w:tc>
          <w:tcPr>
            <w:tcW w:w="1887" w:type="dxa"/>
          </w:tcPr>
          <w:p w14:paraId="4C63CCEF" w14:textId="77777777" w:rsidR="00CC0A2E" w:rsidRDefault="009C21D1">
            <w:pPr>
              <w:jc w:val="left"/>
              <w:rPr>
                <w:rFonts w:ascii="仿宋_GB2312" w:eastAsia="仿宋_GB2312"/>
                <w:szCs w:val="21"/>
              </w:rPr>
            </w:pPr>
            <w:r>
              <w:rPr>
                <w:rFonts w:ascii="仿宋_GB2312" w:eastAsia="仿宋_GB2312" w:hint="eastAsia"/>
                <w:sz w:val="24"/>
                <w:szCs w:val="24"/>
              </w:rPr>
              <w:t>-</w:t>
            </w:r>
          </w:p>
        </w:tc>
      </w:tr>
      <w:tr w:rsidR="00CC0A2E" w14:paraId="6284E981" w14:textId="77777777">
        <w:trPr>
          <w:jc w:val="center"/>
        </w:trPr>
        <w:tc>
          <w:tcPr>
            <w:tcW w:w="2348" w:type="dxa"/>
            <w:vMerge/>
          </w:tcPr>
          <w:p w14:paraId="12744902" w14:textId="77777777" w:rsidR="00CC0A2E" w:rsidRDefault="00CC0A2E">
            <w:pPr>
              <w:jc w:val="left"/>
              <w:rPr>
                <w:rFonts w:ascii="仿宋_GB2312" w:eastAsia="仿宋_GB2312"/>
                <w:sz w:val="24"/>
                <w:szCs w:val="24"/>
              </w:rPr>
            </w:pPr>
          </w:p>
        </w:tc>
        <w:tc>
          <w:tcPr>
            <w:tcW w:w="1994" w:type="dxa"/>
            <w:vMerge/>
          </w:tcPr>
          <w:p w14:paraId="12219278" w14:textId="77777777" w:rsidR="00CC0A2E" w:rsidRDefault="00CC0A2E">
            <w:pPr>
              <w:jc w:val="left"/>
              <w:rPr>
                <w:rFonts w:ascii="仿宋_GB2312" w:eastAsia="仿宋_GB2312"/>
                <w:sz w:val="24"/>
                <w:szCs w:val="24"/>
              </w:rPr>
            </w:pPr>
          </w:p>
        </w:tc>
        <w:tc>
          <w:tcPr>
            <w:tcW w:w="2843" w:type="dxa"/>
          </w:tcPr>
          <w:p w14:paraId="2CFCB6AC" w14:textId="77777777" w:rsidR="00CC0A2E" w:rsidRDefault="009C21D1">
            <w:pPr>
              <w:jc w:val="left"/>
              <w:rPr>
                <w:rFonts w:ascii="仿宋_GB2312" w:eastAsia="仿宋_GB2312" w:hAnsi="宋体" w:cs="宋体"/>
                <w:kern w:val="0"/>
                <w:sz w:val="24"/>
                <w:szCs w:val="24"/>
              </w:rPr>
            </w:pPr>
            <w:r>
              <w:rPr>
                <w:rFonts w:ascii="仿宋_GB2312" w:eastAsia="仿宋_GB2312" w:hAnsi="宋体" w:cs="宋体" w:hint="eastAsia"/>
                <w:kern w:val="0"/>
                <w:sz w:val="24"/>
                <w:szCs w:val="24"/>
              </w:rPr>
              <w:t>证券从业日期</w:t>
            </w:r>
          </w:p>
        </w:tc>
        <w:tc>
          <w:tcPr>
            <w:tcW w:w="1887" w:type="dxa"/>
          </w:tcPr>
          <w:p w14:paraId="75F8BD59" w14:textId="77777777" w:rsidR="00CC0A2E" w:rsidRDefault="009C21D1">
            <w:pPr>
              <w:jc w:val="left"/>
              <w:rPr>
                <w:rFonts w:ascii="仿宋_GB2312" w:eastAsia="仿宋_GB2312"/>
                <w:szCs w:val="21"/>
              </w:rPr>
            </w:pPr>
            <w:r>
              <w:rPr>
                <w:rFonts w:ascii="仿宋_GB2312" w:eastAsia="仿宋_GB2312"/>
                <w:szCs w:val="21"/>
              </w:rPr>
              <w:t>2016-07-11</w:t>
            </w:r>
          </w:p>
        </w:tc>
      </w:tr>
      <w:tr w:rsidR="00CC0A2E" w14:paraId="728EEB86" w14:textId="77777777">
        <w:trPr>
          <w:jc w:val="center"/>
        </w:trPr>
        <w:tc>
          <w:tcPr>
            <w:tcW w:w="2348" w:type="dxa"/>
          </w:tcPr>
          <w:p w14:paraId="624F2C1C" w14:textId="77777777" w:rsidR="00CC0A2E" w:rsidRDefault="009C21D1">
            <w:pPr>
              <w:jc w:val="left"/>
              <w:rPr>
                <w:rFonts w:ascii="仿宋_GB2312" w:eastAsia="仿宋_GB2312"/>
                <w:sz w:val="24"/>
                <w:szCs w:val="24"/>
              </w:rPr>
            </w:pPr>
            <w:r>
              <w:rPr>
                <w:rFonts w:ascii="仿宋_GB2312" w:eastAsia="仿宋_GB2312" w:hAnsi="宋体" w:cs="宋体" w:hint="eastAsia"/>
                <w:kern w:val="0"/>
                <w:sz w:val="24"/>
                <w:szCs w:val="24"/>
              </w:rPr>
              <w:t>其他</w:t>
            </w:r>
          </w:p>
        </w:tc>
        <w:tc>
          <w:tcPr>
            <w:tcW w:w="6724" w:type="dxa"/>
            <w:gridSpan w:val="3"/>
          </w:tcPr>
          <w:p w14:paraId="125C1B45" w14:textId="593EE09A" w:rsidR="00CC0A2E" w:rsidRDefault="009C21D1">
            <w:pPr>
              <w:ind w:firstLine="420"/>
              <w:rPr>
                <w:rFonts w:ascii="仿宋_GB2312" w:eastAsia="仿宋_GB2312"/>
                <w:sz w:val="24"/>
                <w:szCs w:val="24"/>
              </w:rPr>
            </w:pPr>
            <w:r w:rsidRPr="009C21D1">
              <w:rPr>
                <w:rFonts w:ascii="仿宋_GB2312" w:eastAsia="仿宋_GB2312" w:hint="eastAsia"/>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14:paraId="26513FEC" w14:textId="77777777" w:rsidR="00CC0A2E" w:rsidRDefault="009C21D1">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t>二、基金投资与净值表现</w:t>
      </w:r>
    </w:p>
    <w:p w14:paraId="160E03CC" w14:textId="77777777" w:rsidR="00CC0A2E" w:rsidRDefault="009C21D1">
      <w:pPr>
        <w:jc w:val="left"/>
        <w:rPr>
          <w:rFonts w:ascii="仿宋_GB2312" w:eastAsia="仿宋_GB2312"/>
          <w:b/>
          <w:sz w:val="24"/>
          <w:szCs w:val="24"/>
        </w:rPr>
      </w:pPr>
      <w:r>
        <w:rPr>
          <w:rFonts w:ascii="仿宋_GB2312" w:eastAsia="仿宋_GB2312" w:hint="eastAsia"/>
          <w:b/>
          <w:sz w:val="24"/>
          <w:szCs w:val="24"/>
        </w:rPr>
        <w:t>（一）投资目标与投资策略</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547"/>
        <w:gridCol w:w="6525"/>
      </w:tblGrid>
      <w:tr w:rsidR="00CC0A2E" w14:paraId="29C05AD5" w14:textId="77777777">
        <w:trPr>
          <w:jc w:val="center"/>
        </w:trPr>
        <w:tc>
          <w:tcPr>
            <w:tcW w:w="2547" w:type="dxa"/>
            <w:vAlign w:val="center"/>
          </w:tcPr>
          <w:p w14:paraId="32B47264" w14:textId="77777777" w:rsidR="00CC0A2E" w:rsidRDefault="009C21D1">
            <w:pPr>
              <w:widowControl/>
              <w:jc w:val="left"/>
              <w:rPr>
                <w:rFonts w:ascii="仿宋_GB2312" w:eastAsia="仿宋_GB2312"/>
                <w:sz w:val="24"/>
                <w:szCs w:val="24"/>
              </w:rPr>
            </w:pPr>
            <w:r>
              <w:rPr>
                <w:rFonts w:ascii="仿宋_GB2312" w:eastAsia="仿宋_GB2312" w:hint="eastAsia"/>
                <w:sz w:val="24"/>
                <w:szCs w:val="24"/>
              </w:rPr>
              <w:t>投资目标</w:t>
            </w:r>
          </w:p>
        </w:tc>
        <w:tc>
          <w:tcPr>
            <w:tcW w:w="6525" w:type="dxa"/>
            <w:vAlign w:val="center"/>
          </w:tcPr>
          <w:p w14:paraId="4F953288"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本基金重点关注科创板、创业板上市公司的投资机会，通过量化方法优选个股构建投资组合。在合理控制风险的前提下，充分发挥专业研究与管理能力，力争为投资者提供长期稳健的投资回报。</w:t>
            </w:r>
          </w:p>
        </w:tc>
      </w:tr>
      <w:tr w:rsidR="00CC0A2E" w14:paraId="24CA265C" w14:textId="77777777">
        <w:trPr>
          <w:jc w:val="center"/>
        </w:trPr>
        <w:tc>
          <w:tcPr>
            <w:tcW w:w="2547" w:type="dxa"/>
            <w:vAlign w:val="center"/>
          </w:tcPr>
          <w:p w14:paraId="53696589" w14:textId="77777777" w:rsidR="00CC0A2E" w:rsidRDefault="009C21D1">
            <w:pPr>
              <w:rPr>
                <w:rFonts w:ascii="仿宋_GB2312" w:eastAsia="仿宋_GB2312"/>
                <w:sz w:val="24"/>
                <w:szCs w:val="24"/>
              </w:rPr>
            </w:pPr>
            <w:r>
              <w:rPr>
                <w:rFonts w:ascii="仿宋_GB2312" w:eastAsia="仿宋_GB2312" w:hint="eastAsia"/>
                <w:sz w:val="24"/>
                <w:szCs w:val="24"/>
              </w:rPr>
              <w:t>投资范围</w:t>
            </w:r>
          </w:p>
        </w:tc>
        <w:tc>
          <w:tcPr>
            <w:tcW w:w="6525" w:type="dxa"/>
            <w:vAlign w:val="center"/>
          </w:tcPr>
          <w:p w14:paraId="0D690F8A" w14:textId="77777777" w:rsidR="00CC0A2E" w:rsidRDefault="009C21D1">
            <w:pPr>
              <w:ind w:firstLine="420"/>
              <w:rPr>
                <w:rFonts w:ascii="仿宋_GB2312" w:eastAsia="仿宋_GB2312"/>
                <w:sz w:val="24"/>
                <w:szCs w:val="24"/>
              </w:rPr>
            </w:pPr>
            <w:r>
              <w:rPr>
                <w:rFonts w:ascii="仿宋_GB2312" w:eastAsia="仿宋_GB2312" w:hint="eastAsia"/>
                <w:sz w:val="24"/>
                <w:szCs w:val="24"/>
              </w:rPr>
              <w:t>本基金的投资范围为具有良好流动性的金融工具，包括国内依法发行上市的股票（含主板、创业板、科创板及其他经中国证监会核准或注册上市的股票、存托凭证）、港股通标的股</w:t>
            </w:r>
            <w:r>
              <w:rPr>
                <w:rFonts w:ascii="仿宋_GB2312" w:eastAsia="仿宋_GB2312" w:hint="eastAsia"/>
                <w:sz w:val="24"/>
                <w:szCs w:val="24"/>
              </w:rPr>
              <w:lastRenderedPageBreak/>
              <w:t>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14:paraId="1285E1A6" w14:textId="77777777" w:rsidR="00CC0A2E" w:rsidRDefault="009C21D1">
            <w:pPr>
              <w:ind w:firstLine="420"/>
              <w:rPr>
                <w:rFonts w:ascii="仿宋_GB2312" w:eastAsia="仿宋_GB2312"/>
                <w:sz w:val="24"/>
                <w:szCs w:val="24"/>
              </w:rPr>
            </w:pPr>
            <w:r>
              <w:rPr>
                <w:rFonts w:ascii="仿宋_GB2312" w:eastAsia="仿宋_GB2312" w:hint="eastAsia"/>
                <w:sz w:val="24"/>
                <w:szCs w:val="24"/>
              </w:rPr>
              <w:t>如法律法规或监管机构以后允许基金投资其他品种，基金管理人在履行适当程序后，可以将其纳入投资范围。</w:t>
            </w:r>
          </w:p>
          <w:p w14:paraId="352E5FD8" w14:textId="77777777" w:rsidR="00CC0A2E" w:rsidRDefault="009C21D1">
            <w:pPr>
              <w:ind w:firstLine="420"/>
              <w:rPr>
                <w:rFonts w:ascii="仿宋_GB2312" w:eastAsia="仿宋_GB2312"/>
                <w:sz w:val="24"/>
                <w:szCs w:val="24"/>
              </w:rPr>
            </w:pPr>
            <w:r>
              <w:rPr>
                <w:rFonts w:ascii="仿宋_GB2312" w:eastAsia="仿宋_GB2312" w:hint="eastAsia"/>
                <w:sz w:val="24"/>
                <w:szCs w:val="24"/>
              </w:rPr>
              <w:t>基金的投资组合比例为：股票投资（含存托凭证）占基金资产的比例不低于80%，其中投资于港股通标的股票的比例占股票资产的0%-50%；投资于科创板、创业板股票（含存托凭证）占非现金基金资产的比例不低于80%；每个交易日日终在扣除股指期货合约需缴纳的交易保证金后，本基金持有的现金或者到期日在一年以内的政府债券的比例合计不低于基金资产净值的5%，其中现金不包括结算备付金、存出保证金、应收申购款等。</w:t>
            </w:r>
          </w:p>
          <w:p w14:paraId="1EEDD326" w14:textId="77777777" w:rsidR="00CC0A2E" w:rsidRDefault="009C21D1">
            <w:pPr>
              <w:ind w:firstLine="420"/>
              <w:rPr>
                <w:rFonts w:ascii="仿宋_GB2312" w:eastAsia="仿宋_GB2312"/>
                <w:sz w:val="24"/>
                <w:szCs w:val="24"/>
              </w:rPr>
            </w:pPr>
            <w:r>
              <w:rPr>
                <w:rFonts w:ascii="仿宋_GB2312" w:eastAsia="仿宋_GB2312" w:hint="eastAsia"/>
                <w:sz w:val="24"/>
                <w:szCs w:val="24"/>
              </w:rPr>
              <w:t>如果法律法规或中国证监会变更投资品种的投资比例限制，基金管理人在履行适当程序后，可以调整上述投资品种的投资比例。</w:t>
            </w:r>
          </w:p>
        </w:tc>
      </w:tr>
      <w:tr w:rsidR="00CC0A2E" w14:paraId="63E0F1C2" w14:textId="77777777">
        <w:trPr>
          <w:jc w:val="center"/>
        </w:trPr>
        <w:tc>
          <w:tcPr>
            <w:tcW w:w="2547" w:type="dxa"/>
            <w:vAlign w:val="center"/>
          </w:tcPr>
          <w:p w14:paraId="7A2E4AD2" w14:textId="77777777" w:rsidR="00CC0A2E" w:rsidRDefault="009C21D1">
            <w:pPr>
              <w:rPr>
                <w:rFonts w:ascii="仿宋_GB2312" w:eastAsia="仿宋_GB2312"/>
                <w:sz w:val="24"/>
                <w:szCs w:val="24"/>
              </w:rPr>
            </w:pPr>
            <w:r>
              <w:rPr>
                <w:rFonts w:ascii="仿宋_GB2312" w:eastAsia="仿宋_GB2312" w:hint="eastAsia"/>
                <w:sz w:val="24"/>
                <w:szCs w:val="24"/>
              </w:rPr>
              <w:lastRenderedPageBreak/>
              <w:t>主要投资策略</w:t>
            </w:r>
          </w:p>
        </w:tc>
        <w:tc>
          <w:tcPr>
            <w:tcW w:w="6525" w:type="dxa"/>
            <w:vAlign w:val="center"/>
          </w:tcPr>
          <w:p w14:paraId="5CF94B5B" w14:textId="77777777" w:rsidR="00CC0A2E" w:rsidRDefault="009C21D1">
            <w:pPr>
              <w:ind w:firstLine="420"/>
              <w:rPr>
                <w:rFonts w:ascii="仿宋_GB2312" w:eastAsia="仿宋_GB2312"/>
                <w:sz w:val="24"/>
                <w:szCs w:val="24"/>
              </w:rPr>
            </w:pPr>
            <w:r>
              <w:rPr>
                <w:rFonts w:ascii="仿宋_GB2312" w:eastAsia="仿宋_GB2312" w:hint="eastAsia"/>
                <w:sz w:val="24"/>
                <w:szCs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14:paraId="62CCBFA4" w14:textId="77777777" w:rsidR="00CC0A2E" w:rsidRDefault="009C21D1">
            <w:pPr>
              <w:ind w:firstLine="420"/>
              <w:rPr>
                <w:rFonts w:ascii="仿宋_GB2312" w:eastAsia="仿宋_GB2312"/>
                <w:sz w:val="24"/>
                <w:szCs w:val="24"/>
              </w:rPr>
            </w:pPr>
            <w:r>
              <w:rPr>
                <w:rFonts w:ascii="仿宋_GB2312" w:eastAsia="仿宋_GB2312" w:hint="eastAsia"/>
                <w:sz w:val="24"/>
                <w:szCs w:val="24"/>
              </w:rPr>
              <w:t>1、大类资产配置；2、股票投资策略；3、债券投资策略；4、资产支持证券投资策略；5、股指期货投资策略。</w:t>
            </w:r>
          </w:p>
        </w:tc>
      </w:tr>
      <w:tr w:rsidR="00CC0A2E" w14:paraId="743D4FEB" w14:textId="77777777">
        <w:trPr>
          <w:jc w:val="center"/>
        </w:trPr>
        <w:tc>
          <w:tcPr>
            <w:tcW w:w="2547" w:type="dxa"/>
            <w:vAlign w:val="center"/>
          </w:tcPr>
          <w:p w14:paraId="47A790FE" w14:textId="77777777" w:rsidR="00CC0A2E" w:rsidRDefault="009C21D1">
            <w:pPr>
              <w:rPr>
                <w:rFonts w:ascii="仿宋_GB2312" w:eastAsia="仿宋_GB2312"/>
                <w:sz w:val="24"/>
                <w:szCs w:val="24"/>
              </w:rPr>
            </w:pPr>
            <w:r>
              <w:rPr>
                <w:rFonts w:ascii="仿宋_GB2312" w:eastAsia="仿宋_GB2312" w:hint="eastAsia"/>
                <w:sz w:val="24"/>
                <w:szCs w:val="24"/>
              </w:rPr>
              <w:t>业绩比较基准</w:t>
            </w:r>
          </w:p>
        </w:tc>
        <w:tc>
          <w:tcPr>
            <w:tcW w:w="6525" w:type="dxa"/>
            <w:vAlign w:val="center"/>
          </w:tcPr>
          <w:p w14:paraId="0272413C"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上证科创板综合指数收益率×45%+创业板综合指数收益率×45%+恒生科技指数收益率×5%+中债-综合全价（总值）指数收益率×5%</w:t>
            </w:r>
          </w:p>
        </w:tc>
      </w:tr>
      <w:tr w:rsidR="00CC0A2E" w14:paraId="6B2C2828" w14:textId="77777777">
        <w:trPr>
          <w:jc w:val="center"/>
        </w:trPr>
        <w:tc>
          <w:tcPr>
            <w:tcW w:w="2547" w:type="dxa"/>
            <w:vAlign w:val="center"/>
          </w:tcPr>
          <w:p w14:paraId="6F2FE242" w14:textId="77777777" w:rsidR="00CC0A2E" w:rsidRDefault="009C21D1">
            <w:pPr>
              <w:rPr>
                <w:rFonts w:ascii="仿宋_GB2312" w:eastAsia="仿宋_GB2312"/>
                <w:sz w:val="24"/>
                <w:szCs w:val="24"/>
              </w:rPr>
            </w:pPr>
            <w:r>
              <w:rPr>
                <w:rFonts w:ascii="仿宋_GB2312" w:eastAsia="仿宋_GB2312" w:hint="eastAsia"/>
                <w:sz w:val="24"/>
                <w:szCs w:val="24"/>
              </w:rPr>
              <w:t>风险收益特征</w:t>
            </w:r>
          </w:p>
        </w:tc>
        <w:tc>
          <w:tcPr>
            <w:tcW w:w="6525" w:type="dxa"/>
            <w:vAlign w:val="center"/>
          </w:tcPr>
          <w:p w14:paraId="3F34B055"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本基金是一只股票型基金，其预期风险和预期收益理论上高于混合型基金、债券型基金和货币市场基金。</w:t>
            </w:r>
          </w:p>
          <w:p w14:paraId="183CAFAC"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本基金可投资港股通标的股票，会面临港股通机制下因投资环境、投资标的、市场制度以及交易规则等差异带来的特有风险。</w:t>
            </w:r>
          </w:p>
        </w:tc>
      </w:tr>
    </w:tbl>
    <w:p w14:paraId="180D7C19" w14:textId="77777777" w:rsidR="00CC0A2E" w:rsidRDefault="009C21D1">
      <w:pPr>
        <w:jc w:val="left"/>
        <w:rPr>
          <w:rFonts w:ascii="仿宋_GB2312" w:eastAsia="仿宋_GB2312" w:hAnsi="宋体" w:cs="宋体"/>
          <w:kern w:val="0"/>
          <w:sz w:val="24"/>
          <w:szCs w:val="24"/>
        </w:rPr>
      </w:pPr>
      <w:r>
        <w:rPr>
          <w:rFonts w:ascii="仿宋_GB2312" w:eastAsia="仿宋_GB2312" w:hAnsi="宋体" w:cs="宋体" w:hint="eastAsia"/>
          <w:kern w:val="0"/>
          <w:sz w:val="24"/>
          <w:szCs w:val="24"/>
        </w:rPr>
        <w:t>注：</w:t>
      </w:r>
      <w:r>
        <w:rPr>
          <w:rFonts w:ascii="仿宋_GB2312" w:eastAsia="仿宋_GB2312" w:hint="eastAsia"/>
          <w:sz w:val="24"/>
          <w:szCs w:val="24"/>
        </w:rPr>
        <w:t>详见《交银施罗德科创创业量化选股股票型证券投资基金招募说明书》“基金的投资”。</w:t>
      </w:r>
    </w:p>
    <w:p w14:paraId="585E7E68" w14:textId="77777777" w:rsidR="00CC0A2E" w:rsidRDefault="009C21D1">
      <w:pPr>
        <w:jc w:val="left"/>
        <w:rPr>
          <w:rFonts w:ascii="仿宋_GB2312" w:eastAsia="仿宋_GB2312"/>
          <w:b/>
          <w:sz w:val="24"/>
          <w:szCs w:val="24"/>
        </w:rPr>
      </w:pPr>
      <w:r>
        <w:rPr>
          <w:rFonts w:ascii="仿宋_GB2312" w:eastAsia="仿宋_GB2312" w:hint="eastAsia"/>
          <w:b/>
          <w:sz w:val="24"/>
          <w:szCs w:val="24"/>
        </w:rPr>
        <w:t>（二）投资组合资产配置图表/区域配置图表</w:t>
      </w:r>
    </w:p>
    <w:p w14:paraId="3C2445E1" w14:textId="77777777" w:rsidR="00CC0A2E" w:rsidRDefault="009C21D1">
      <w:pPr>
        <w:jc w:val="left"/>
        <w:rPr>
          <w:rFonts w:ascii="仿宋_GB2312" w:eastAsia="仿宋_GB2312"/>
          <w:sz w:val="24"/>
          <w:szCs w:val="24"/>
        </w:rPr>
      </w:pPr>
      <w:r>
        <w:rPr>
          <w:rFonts w:ascii="仿宋_GB2312" w:eastAsia="仿宋_GB2312" w:hint="eastAsia"/>
          <w:sz w:val="24"/>
          <w:szCs w:val="24"/>
        </w:rPr>
        <w:t>无。</w:t>
      </w:r>
    </w:p>
    <w:p w14:paraId="5699AA5E" w14:textId="77777777" w:rsidR="00CC0A2E" w:rsidRDefault="009C21D1">
      <w:pPr>
        <w:jc w:val="left"/>
        <w:rPr>
          <w:rFonts w:ascii="仿宋_GB2312" w:eastAsia="仿宋_GB2312"/>
          <w:b/>
          <w:sz w:val="24"/>
          <w:szCs w:val="24"/>
        </w:rPr>
      </w:pPr>
      <w:r>
        <w:rPr>
          <w:rFonts w:ascii="仿宋_GB2312" w:eastAsia="仿宋_GB2312" w:hint="eastAsia"/>
          <w:b/>
          <w:sz w:val="24"/>
          <w:szCs w:val="24"/>
        </w:rPr>
        <w:t>（三）自基金合同生效以来/最近十年（孰短）基金每年的净值增长率及与同期业绩比较基准的比较图</w:t>
      </w:r>
    </w:p>
    <w:p w14:paraId="6029CBFC" w14:textId="77777777" w:rsidR="00CC0A2E" w:rsidRDefault="009C21D1">
      <w:pPr>
        <w:jc w:val="left"/>
        <w:rPr>
          <w:rFonts w:ascii="仿宋_GB2312" w:eastAsia="仿宋_GB2312"/>
          <w:sz w:val="24"/>
          <w:szCs w:val="24"/>
        </w:rPr>
      </w:pPr>
      <w:r>
        <w:rPr>
          <w:rFonts w:ascii="仿宋_GB2312" w:eastAsia="仿宋_GB2312" w:hint="eastAsia"/>
          <w:sz w:val="24"/>
          <w:szCs w:val="24"/>
        </w:rPr>
        <w:t>无。</w:t>
      </w:r>
    </w:p>
    <w:p w14:paraId="3E837BB5" w14:textId="77777777" w:rsidR="00CC0A2E" w:rsidRDefault="009C21D1">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lastRenderedPageBreak/>
        <w:t>三、投资本基金涉及的费用</w:t>
      </w:r>
    </w:p>
    <w:p w14:paraId="552D9D94" w14:textId="77777777" w:rsidR="00CC0A2E" w:rsidRDefault="009C21D1">
      <w:pPr>
        <w:jc w:val="left"/>
        <w:outlineLvl w:val="1"/>
        <w:rPr>
          <w:rFonts w:ascii="仿宋_GB2312" w:eastAsia="仿宋_GB2312" w:hAnsi="宋体" w:cs="宋体"/>
          <w:b/>
          <w:kern w:val="0"/>
          <w:sz w:val="24"/>
          <w:szCs w:val="24"/>
        </w:rPr>
      </w:pPr>
      <w:r>
        <w:rPr>
          <w:rFonts w:ascii="仿宋_GB2312" w:eastAsia="仿宋_GB2312" w:hAnsi="宋体" w:cs="宋体" w:hint="eastAsia"/>
          <w:b/>
          <w:kern w:val="0"/>
          <w:sz w:val="24"/>
          <w:szCs w:val="24"/>
        </w:rPr>
        <w:t>（一）基金销售相关费用</w:t>
      </w:r>
    </w:p>
    <w:p w14:paraId="520313E7" w14:textId="77777777" w:rsidR="00CC0A2E" w:rsidRDefault="009C21D1">
      <w:pPr>
        <w:jc w:val="left"/>
        <w:rPr>
          <w:rFonts w:ascii="仿宋_GB2312" w:eastAsia="仿宋_GB2312"/>
          <w:sz w:val="24"/>
          <w:szCs w:val="24"/>
        </w:rPr>
      </w:pPr>
      <w:r>
        <w:rPr>
          <w:rFonts w:ascii="仿宋_GB2312" w:eastAsia="仿宋_GB2312" w:hint="eastAsia"/>
          <w:sz w:val="24"/>
          <w:szCs w:val="24"/>
        </w:rPr>
        <w:t>以下费用在认购/申购/赎回基金过程中收取：</w:t>
      </w:r>
    </w:p>
    <w:tbl>
      <w:tblPr>
        <w:tblStyle w:val="a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41"/>
        <w:gridCol w:w="2826"/>
        <w:gridCol w:w="1756"/>
        <w:gridCol w:w="1985"/>
      </w:tblGrid>
      <w:tr w:rsidR="00CC0A2E" w14:paraId="2051A863" w14:textId="77777777">
        <w:trPr>
          <w:jc w:val="center"/>
        </w:trPr>
        <w:tc>
          <w:tcPr>
            <w:tcW w:w="2741" w:type="dxa"/>
            <w:vAlign w:val="center"/>
          </w:tcPr>
          <w:p w14:paraId="5B1F564A" w14:textId="77777777" w:rsidR="00CC0A2E" w:rsidRDefault="009C21D1">
            <w:pPr>
              <w:widowControl/>
              <w:jc w:val="left"/>
              <w:rPr>
                <w:rFonts w:ascii="仿宋_GB2312" w:eastAsia="仿宋_GB2312"/>
                <w:sz w:val="24"/>
                <w:szCs w:val="24"/>
              </w:rPr>
            </w:pPr>
            <w:r>
              <w:rPr>
                <w:rFonts w:ascii="仿宋_GB2312" w:eastAsia="仿宋_GB2312" w:hAnsi="宋体" w:cs="宋体" w:hint="eastAsia"/>
                <w:kern w:val="0"/>
                <w:sz w:val="24"/>
                <w:szCs w:val="24"/>
              </w:rPr>
              <w:t>费用类型</w:t>
            </w:r>
          </w:p>
        </w:tc>
        <w:tc>
          <w:tcPr>
            <w:tcW w:w="2826" w:type="dxa"/>
            <w:vAlign w:val="center"/>
          </w:tcPr>
          <w:p w14:paraId="5C3E38C3" w14:textId="77777777" w:rsidR="00CC0A2E" w:rsidRDefault="009C21D1">
            <w:pPr>
              <w:rPr>
                <w:rFonts w:ascii="仿宋_GB2312" w:eastAsia="仿宋_GB2312"/>
                <w:sz w:val="24"/>
                <w:szCs w:val="24"/>
              </w:rPr>
            </w:pPr>
            <w:r>
              <w:rPr>
                <w:rFonts w:ascii="仿宋_GB2312" w:eastAsia="仿宋_GB2312" w:hint="eastAsia"/>
                <w:sz w:val="24"/>
                <w:szCs w:val="24"/>
              </w:rPr>
              <w:t>份额（S）或金额（M）/持有期限（N）</w:t>
            </w:r>
          </w:p>
        </w:tc>
        <w:tc>
          <w:tcPr>
            <w:tcW w:w="1756" w:type="dxa"/>
            <w:vAlign w:val="center"/>
          </w:tcPr>
          <w:p w14:paraId="5A146F8C" w14:textId="77777777" w:rsidR="00CC0A2E" w:rsidRDefault="009C21D1">
            <w:pPr>
              <w:rPr>
                <w:rFonts w:ascii="仿宋_GB2312" w:eastAsia="仿宋_GB2312"/>
                <w:sz w:val="24"/>
                <w:szCs w:val="24"/>
              </w:rPr>
            </w:pPr>
            <w:r>
              <w:rPr>
                <w:rFonts w:ascii="仿宋_GB2312" w:eastAsia="仿宋_GB2312" w:hint="eastAsia"/>
                <w:sz w:val="24"/>
                <w:szCs w:val="24"/>
              </w:rPr>
              <w:t>收费方式/费率</w:t>
            </w:r>
          </w:p>
        </w:tc>
        <w:tc>
          <w:tcPr>
            <w:tcW w:w="1985" w:type="dxa"/>
            <w:vAlign w:val="center"/>
          </w:tcPr>
          <w:p w14:paraId="5D083E7A" w14:textId="77777777" w:rsidR="00CC0A2E" w:rsidRDefault="009C21D1">
            <w:pPr>
              <w:widowControl/>
              <w:jc w:val="left"/>
              <w:rPr>
                <w:rFonts w:ascii="仿宋_GB2312" w:eastAsia="仿宋_GB2312"/>
                <w:sz w:val="24"/>
                <w:szCs w:val="24"/>
              </w:rPr>
            </w:pPr>
            <w:r>
              <w:rPr>
                <w:rFonts w:ascii="仿宋_GB2312" w:eastAsia="仿宋_GB2312" w:hAnsi="宋体" w:cs="宋体" w:hint="eastAsia"/>
                <w:kern w:val="0"/>
                <w:sz w:val="24"/>
                <w:szCs w:val="24"/>
              </w:rPr>
              <w:t>备注</w:t>
            </w:r>
          </w:p>
        </w:tc>
      </w:tr>
      <w:tr w:rsidR="00CC0A2E" w14:paraId="2C9A557B" w14:textId="77777777">
        <w:trPr>
          <w:jc w:val="center"/>
        </w:trPr>
        <w:tc>
          <w:tcPr>
            <w:tcW w:w="2741" w:type="dxa"/>
            <w:vMerge w:val="restart"/>
            <w:vAlign w:val="center"/>
          </w:tcPr>
          <w:p w14:paraId="3342C8C7" w14:textId="77777777" w:rsidR="00CC0A2E" w:rsidRDefault="009C21D1">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赎回费</w:t>
            </w:r>
          </w:p>
        </w:tc>
        <w:tc>
          <w:tcPr>
            <w:tcW w:w="2826" w:type="dxa"/>
          </w:tcPr>
          <w:p w14:paraId="241D4453" w14:textId="77777777" w:rsidR="00CC0A2E" w:rsidRDefault="009C21D1">
            <w:pPr>
              <w:rPr>
                <w:rFonts w:ascii="仿宋_GB2312" w:eastAsia="仿宋_GB2312"/>
                <w:sz w:val="24"/>
                <w:szCs w:val="24"/>
              </w:rPr>
            </w:pPr>
            <w:r>
              <w:rPr>
                <w:rFonts w:ascii="仿宋_GB2312" w:eastAsia="仿宋_GB2312" w:hint="eastAsia"/>
                <w:sz w:val="24"/>
                <w:szCs w:val="24"/>
              </w:rPr>
              <w:t>N＜7天</w:t>
            </w:r>
          </w:p>
        </w:tc>
        <w:tc>
          <w:tcPr>
            <w:tcW w:w="1756" w:type="dxa"/>
          </w:tcPr>
          <w:p w14:paraId="11D2E950" w14:textId="77777777" w:rsidR="00CC0A2E" w:rsidRDefault="009C21D1">
            <w:pPr>
              <w:rPr>
                <w:rFonts w:ascii="仿宋_GB2312" w:eastAsia="仿宋_GB2312"/>
                <w:sz w:val="24"/>
                <w:szCs w:val="24"/>
              </w:rPr>
            </w:pPr>
            <w:r>
              <w:rPr>
                <w:rFonts w:ascii="仿宋_GB2312" w:eastAsia="仿宋_GB2312"/>
                <w:sz w:val="24"/>
                <w:szCs w:val="24"/>
              </w:rPr>
              <w:t>1.5%</w:t>
            </w:r>
          </w:p>
        </w:tc>
        <w:tc>
          <w:tcPr>
            <w:tcW w:w="1985" w:type="dxa"/>
            <w:vAlign w:val="center"/>
          </w:tcPr>
          <w:p w14:paraId="634D6EA3" w14:textId="77777777" w:rsidR="00CC0A2E" w:rsidRDefault="00CC0A2E">
            <w:pPr>
              <w:widowControl/>
              <w:jc w:val="left"/>
              <w:rPr>
                <w:rFonts w:ascii="仿宋_GB2312" w:eastAsia="仿宋_GB2312" w:hAnsi="宋体" w:cs="宋体"/>
                <w:kern w:val="0"/>
                <w:sz w:val="24"/>
                <w:szCs w:val="24"/>
              </w:rPr>
            </w:pPr>
          </w:p>
        </w:tc>
      </w:tr>
      <w:tr w:rsidR="00CC0A2E" w14:paraId="2CBFB635" w14:textId="77777777">
        <w:trPr>
          <w:jc w:val="center"/>
        </w:trPr>
        <w:tc>
          <w:tcPr>
            <w:tcW w:w="2741" w:type="dxa"/>
            <w:vMerge/>
            <w:vAlign w:val="center"/>
          </w:tcPr>
          <w:p w14:paraId="37CE2999" w14:textId="77777777" w:rsidR="00CC0A2E" w:rsidRDefault="00CC0A2E">
            <w:pPr>
              <w:widowControl/>
              <w:jc w:val="left"/>
              <w:rPr>
                <w:rFonts w:ascii="仿宋_GB2312" w:eastAsia="仿宋_GB2312" w:hAnsi="宋体" w:cs="宋体"/>
                <w:kern w:val="0"/>
                <w:sz w:val="24"/>
                <w:szCs w:val="24"/>
              </w:rPr>
            </w:pPr>
          </w:p>
        </w:tc>
        <w:tc>
          <w:tcPr>
            <w:tcW w:w="2826" w:type="dxa"/>
          </w:tcPr>
          <w:p w14:paraId="7B1EAB38" w14:textId="77777777" w:rsidR="00CC0A2E" w:rsidRDefault="009C21D1">
            <w:pPr>
              <w:rPr>
                <w:rFonts w:ascii="仿宋_GB2312" w:eastAsia="仿宋_GB2312"/>
                <w:sz w:val="24"/>
                <w:szCs w:val="24"/>
              </w:rPr>
            </w:pPr>
            <w:r>
              <w:rPr>
                <w:rFonts w:ascii="仿宋_GB2312" w:eastAsia="仿宋_GB2312" w:hint="eastAsia"/>
                <w:sz w:val="24"/>
                <w:szCs w:val="24"/>
              </w:rPr>
              <w:t>7天≤N＜30天</w:t>
            </w:r>
          </w:p>
        </w:tc>
        <w:tc>
          <w:tcPr>
            <w:tcW w:w="1756" w:type="dxa"/>
          </w:tcPr>
          <w:p w14:paraId="629B7EF9" w14:textId="77777777" w:rsidR="00CC0A2E" w:rsidRDefault="009C21D1">
            <w:pPr>
              <w:rPr>
                <w:rFonts w:ascii="仿宋_GB2312" w:eastAsia="仿宋_GB2312"/>
                <w:sz w:val="24"/>
                <w:szCs w:val="24"/>
              </w:rPr>
            </w:pPr>
            <w:r>
              <w:rPr>
                <w:rFonts w:ascii="仿宋_GB2312" w:eastAsia="仿宋_GB2312"/>
                <w:sz w:val="24"/>
                <w:szCs w:val="24"/>
              </w:rPr>
              <w:t>1.0%</w:t>
            </w:r>
          </w:p>
        </w:tc>
        <w:tc>
          <w:tcPr>
            <w:tcW w:w="1985" w:type="dxa"/>
            <w:vAlign w:val="center"/>
          </w:tcPr>
          <w:p w14:paraId="02630B93" w14:textId="77777777" w:rsidR="00CC0A2E" w:rsidRDefault="00CC0A2E">
            <w:pPr>
              <w:widowControl/>
              <w:jc w:val="left"/>
              <w:rPr>
                <w:rFonts w:ascii="仿宋_GB2312" w:eastAsia="仿宋_GB2312" w:hAnsi="宋体" w:cs="宋体"/>
                <w:kern w:val="0"/>
                <w:sz w:val="24"/>
                <w:szCs w:val="24"/>
              </w:rPr>
            </w:pPr>
          </w:p>
        </w:tc>
      </w:tr>
      <w:tr w:rsidR="00CC0A2E" w14:paraId="284165E2" w14:textId="77777777">
        <w:trPr>
          <w:jc w:val="center"/>
        </w:trPr>
        <w:tc>
          <w:tcPr>
            <w:tcW w:w="2741" w:type="dxa"/>
            <w:vMerge/>
            <w:vAlign w:val="center"/>
          </w:tcPr>
          <w:p w14:paraId="51BDE4C0" w14:textId="77777777" w:rsidR="00CC0A2E" w:rsidRDefault="00CC0A2E">
            <w:pPr>
              <w:widowControl/>
              <w:jc w:val="left"/>
              <w:rPr>
                <w:rFonts w:ascii="仿宋_GB2312" w:eastAsia="仿宋_GB2312" w:hAnsi="宋体" w:cs="宋体"/>
                <w:kern w:val="0"/>
                <w:sz w:val="24"/>
                <w:szCs w:val="24"/>
              </w:rPr>
            </w:pPr>
          </w:p>
        </w:tc>
        <w:tc>
          <w:tcPr>
            <w:tcW w:w="2826" w:type="dxa"/>
          </w:tcPr>
          <w:p w14:paraId="7CFD6DE4" w14:textId="77777777" w:rsidR="00CC0A2E" w:rsidRDefault="009C21D1">
            <w:pPr>
              <w:rPr>
                <w:rFonts w:ascii="仿宋_GB2312" w:eastAsia="仿宋_GB2312"/>
                <w:sz w:val="24"/>
                <w:szCs w:val="24"/>
              </w:rPr>
            </w:pPr>
            <w:r>
              <w:rPr>
                <w:rFonts w:ascii="仿宋_GB2312" w:eastAsia="仿宋_GB2312" w:hint="eastAsia"/>
                <w:sz w:val="24"/>
                <w:szCs w:val="24"/>
              </w:rPr>
              <w:t>30天≤N＜</w:t>
            </w:r>
            <w:r>
              <w:rPr>
                <w:rFonts w:ascii="仿宋_GB2312" w:eastAsia="仿宋_GB2312"/>
                <w:sz w:val="24"/>
                <w:szCs w:val="24"/>
              </w:rPr>
              <w:t>180</w:t>
            </w:r>
            <w:r>
              <w:rPr>
                <w:rFonts w:ascii="仿宋_GB2312" w:eastAsia="仿宋_GB2312" w:hint="eastAsia"/>
                <w:sz w:val="24"/>
                <w:szCs w:val="24"/>
              </w:rPr>
              <w:t>天</w:t>
            </w:r>
          </w:p>
        </w:tc>
        <w:tc>
          <w:tcPr>
            <w:tcW w:w="1756" w:type="dxa"/>
          </w:tcPr>
          <w:p w14:paraId="216DC35C" w14:textId="77777777" w:rsidR="00CC0A2E" w:rsidRDefault="009C21D1">
            <w:pPr>
              <w:rPr>
                <w:rFonts w:ascii="仿宋_GB2312" w:eastAsia="仿宋_GB2312"/>
                <w:sz w:val="24"/>
                <w:szCs w:val="24"/>
              </w:rPr>
            </w:pPr>
            <w:r>
              <w:rPr>
                <w:rFonts w:ascii="仿宋_GB2312" w:eastAsia="仿宋_GB2312"/>
                <w:sz w:val="24"/>
                <w:szCs w:val="24"/>
              </w:rPr>
              <w:t>0.5%</w:t>
            </w:r>
          </w:p>
        </w:tc>
        <w:tc>
          <w:tcPr>
            <w:tcW w:w="1985" w:type="dxa"/>
            <w:vAlign w:val="center"/>
          </w:tcPr>
          <w:p w14:paraId="0AEC59E5" w14:textId="77777777" w:rsidR="00CC0A2E" w:rsidRDefault="00CC0A2E">
            <w:pPr>
              <w:widowControl/>
              <w:jc w:val="left"/>
              <w:rPr>
                <w:rFonts w:ascii="仿宋_GB2312" w:eastAsia="仿宋_GB2312" w:hAnsi="宋体" w:cs="宋体"/>
                <w:kern w:val="0"/>
                <w:sz w:val="24"/>
                <w:szCs w:val="24"/>
              </w:rPr>
            </w:pPr>
          </w:p>
        </w:tc>
      </w:tr>
      <w:tr w:rsidR="00CC0A2E" w14:paraId="160C2611" w14:textId="77777777">
        <w:trPr>
          <w:jc w:val="center"/>
        </w:trPr>
        <w:tc>
          <w:tcPr>
            <w:tcW w:w="2741" w:type="dxa"/>
            <w:vMerge/>
            <w:vAlign w:val="center"/>
          </w:tcPr>
          <w:p w14:paraId="6FEE51B6" w14:textId="77777777" w:rsidR="00CC0A2E" w:rsidRDefault="00CC0A2E">
            <w:pPr>
              <w:widowControl/>
              <w:jc w:val="left"/>
              <w:rPr>
                <w:rFonts w:ascii="仿宋_GB2312" w:eastAsia="仿宋_GB2312" w:hAnsi="宋体" w:cs="宋体"/>
                <w:kern w:val="0"/>
                <w:sz w:val="24"/>
                <w:szCs w:val="24"/>
              </w:rPr>
            </w:pPr>
          </w:p>
        </w:tc>
        <w:tc>
          <w:tcPr>
            <w:tcW w:w="2826" w:type="dxa"/>
          </w:tcPr>
          <w:p w14:paraId="24C19F51" w14:textId="77777777" w:rsidR="00CC0A2E" w:rsidRDefault="009C21D1">
            <w:pPr>
              <w:rPr>
                <w:rFonts w:ascii="仿宋_GB2312" w:eastAsia="仿宋_GB2312"/>
                <w:sz w:val="24"/>
                <w:szCs w:val="24"/>
              </w:rPr>
            </w:pPr>
            <w:r>
              <w:rPr>
                <w:rFonts w:ascii="仿宋_GB2312" w:eastAsia="仿宋_GB2312"/>
                <w:sz w:val="24"/>
                <w:szCs w:val="24"/>
              </w:rPr>
              <w:t>180</w:t>
            </w:r>
            <w:r>
              <w:rPr>
                <w:rFonts w:ascii="仿宋_GB2312" w:eastAsia="仿宋_GB2312" w:hint="eastAsia"/>
                <w:sz w:val="24"/>
                <w:szCs w:val="24"/>
              </w:rPr>
              <w:t>天≤N</w:t>
            </w:r>
          </w:p>
        </w:tc>
        <w:tc>
          <w:tcPr>
            <w:tcW w:w="1756" w:type="dxa"/>
          </w:tcPr>
          <w:p w14:paraId="3309A4FE" w14:textId="77777777" w:rsidR="00CC0A2E" w:rsidRDefault="009C21D1">
            <w:pPr>
              <w:rPr>
                <w:rFonts w:ascii="仿宋_GB2312" w:eastAsia="仿宋_GB2312"/>
                <w:sz w:val="24"/>
                <w:szCs w:val="24"/>
              </w:rPr>
            </w:pPr>
            <w:r>
              <w:rPr>
                <w:rFonts w:ascii="仿宋_GB2312" w:eastAsia="仿宋_GB2312"/>
                <w:sz w:val="24"/>
                <w:szCs w:val="24"/>
              </w:rPr>
              <w:t>0</w:t>
            </w:r>
          </w:p>
        </w:tc>
        <w:tc>
          <w:tcPr>
            <w:tcW w:w="1985" w:type="dxa"/>
            <w:vAlign w:val="center"/>
          </w:tcPr>
          <w:p w14:paraId="140B7174" w14:textId="77777777" w:rsidR="00CC0A2E" w:rsidRDefault="00CC0A2E">
            <w:pPr>
              <w:widowControl/>
              <w:jc w:val="left"/>
              <w:rPr>
                <w:rFonts w:ascii="仿宋_GB2312" w:eastAsia="仿宋_GB2312" w:hAnsi="宋体" w:cs="宋体"/>
                <w:kern w:val="0"/>
                <w:sz w:val="24"/>
                <w:szCs w:val="24"/>
              </w:rPr>
            </w:pPr>
          </w:p>
        </w:tc>
      </w:tr>
    </w:tbl>
    <w:p w14:paraId="6B1D131E" w14:textId="77777777" w:rsidR="00CC0A2E" w:rsidRDefault="009C21D1">
      <w:pPr>
        <w:rPr>
          <w:rFonts w:ascii="仿宋_GB2312" w:eastAsia="仿宋_GB2312"/>
          <w:sz w:val="24"/>
          <w:szCs w:val="24"/>
        </w:rPr>
      </w:pPr>
      <w:r>
        <w:rPr>
          <w:rFonts w:ascii="仿宋_GB2312" w:eastAsia="仿宋_GB2312" w:hint="eastAsia"/>
          <w:sz w:val="24"/>
          <w:szCs w:val="24"/>
        </w:rPr>
        <w:t>注：1、本基金对持续持有期少于7日的投资人收取1.5%的赎回费，请投资人予以关注。</w:t>
      </w:r>
      <w:r>
        <w:rPr>
          <w:rFonts w:ascii="仿宋_GB2312" w:eastAsia="仿宋_GB2312"/>
          <w:sz w:val="24"/>
          <w:szCs w:val="24"/>
        </w:rPr>
        <w:t>2</w:t>
      </w:r>
      <w:r>
        <w:rPr>
          <w:rFonts w:ascii="仿宋_GB2312" w:eastAsia="仿宋_GB2312" w:hint="eastAsia"/>
          <w:sz w:val="24"/>
          <w:szCs w:val="24"/>
        </w:rPr>
        <w:t>、销售机构若有其他费率优惠请见基金管理人或其他销售机构的有关公告或通知。</w:t>
      </w:r>
    </w:p>
    <w:p w14:paraId="557367E6" w14:textId="77777777" w:rsidR="00CC0A2E" w:rsidRDefault="009C21D1">
      <w:pPr>
        <w:jc w:val="left"/>
        <w:outlineLvl w:val="1"/>
        <w:rPr>
          <w:rFonts w:ascii="仿宋_GB2312" w:eastAsia="仿宋_GB2312"/>
          <w:b/>
          <w:sz w:val="24"/>
          <w:szCs w:val="24"/>
        </w:rPr>
      </w:pPr>
      <w:r>
        <w:rPr>
          <w:rFonts w:ascii="仿宋_GB2312" w:eastAsia="仿宋_GB2312" w:hint="eastAsia"/>
          <w:b/>
          <w:sz w:val="24"/>
          <w:szCs w:val="24"/>
        </w:rPr>
        <w:t>（二）基金运作相关费用</w:t>
      </w:r>
    </w:p>
    <w:p w14:paraId="4765C217" w14:textId="77777777" w:rsidR="00CC0A2E" w:rsidRDefault="009C21D1">
      <w:pPr>
        <w:jc w:val="left"/>
        <w:rPr>
          <w:rFonts w:ascii="仿宋_GB2312" w:eastAsia="仿宋_GB2312" w:hAnsi="宋体" w:cs="宋体"/>
          <w:kern w:val="0"/>
          <w:sz w:val="24"/>
          <w:szCs w:val="24"/>
        </w:rPr>
      </w:pPr>
      <w:r>
        <w:rPr>
          <w:rFonts w:ascii="仿宋_GB2312" w:eastAsia="仿宋_GB2312" w:hAnsi="宋体" w:cs="宋体" w:hint="eastAsia"/>
          <w:kern w:val="0"/>
          <w:sz w:val="24"/>
          <w:szCs w:val="24"/>
        </w:rPr>
        <w:t>以下费用将从基金资产中扣除：</w:t>
      </w:r>
    </w:p>
    <w:tbl>
      <w:tblPr>
        <w:tblStyle w:val="10"/>
        <w:tblW w:w="8575" w:type="dxa"/>
        <w:jc w:val="center"/>
        <w:tblBorders>
          <w:top w:val="single" w:sz="8" w:space="0" w:color="auto"/>
          <w:left w:val="none" w:sz="4" w:space="0" w:color="auto"/>
          <w:bottom w:val="single" w:sz="8" w:space="0" w:color="auto"/>
          <w:right w:val="none" w:sz="4" w:space="0" w:color="auto"/>
          <w:insideH w:val="single" w:sz="6" w:space="0" w:color="A5A5A5"/>
        </w:tblBorders>
        <w:tblLook w:val="04A0" w:firstRow="1" w:lastRow="0" w:firstColumn="1" w:lastColumn="0" w:noHBand="0" w:noVBand="1"/>
      </w:tblPr>
      <w:tblGrid>
        <w:gridCol w:w="2043"/>
        <w:gridCol w:w="3535"/>
        <w:gridCol w:w="2997"/>
      </w:tblGrid>
      <w:tr w:rsidR="00CC0A2E" w14:paraId="080FB034" w14:textId="77777777">
        <w:trPr>
          <w:jc w:val="center"/>
        </w:trPr>
        <w:tc>
          <w:tcPr>
            <w:tcW w:w="2043" w:type="dxa"/>
            <w:tcBorders>
              <w:top w:val="single" w:sz="8" w:space="0" w:color="auto"/>
              <w:left w:val="nil"/>
              <w:bottom w:val="single" w:sz="6" w:space="0" w:color="A5A5A5"/>
              <w:right w:val="nil"/>
            </w:tcBorders>
            <w:shd w:val="clear" w:color="auto" w:fill="auto"/>
          </w:tcPr>
          <w:p w14:paraId="25D3B689" w14:textId="77777777" w:rsidR="00CC0A2E" w:rsidRDefault="009C21D1">
            <w:pPr>
              <w:rPr>
                <w:rFonts w:ascii="仿宋_GB2312" w:eastAsia="仿宋_GB2312" w:hAnsi="Calibri" w:cs="Times New Roman"/>
                <w:b/>
                <w:kern w:val="0"/>
                <w:sz w:val="24"/>
                <w:szCs w:val="24"/>
              </w:rPr>
            </w:pPr>
            <w:r>
              <w:rPr>
                <w:rFonts w:ascii="仿宋_GB2312" w:eastAsia="仿宋_GB2312" w:hAnsi="Calibri" w:cs="仿宋_GB2312" w:hint="eastAsia"/>
                <w:b/>
                <w:kern w:val="0"/>
                <w:sz w:val="24"/>
                <w:szCs w:val="24"/>
                <w:lang w:bidi="ar"/>
              </w:rPr>
              <w:t>费用类别</w:t>
            </w:r>
          </w:p>
        </w:tc>
        <w:tc>
          <w:tcPr>
            <w:tcW w:w="3535" w:type="dxa"/>
            <w:tcBorders>
              <w:top w:val="single" w:sz="8" w:space="0" w:color="auto"/>
              <w:left w:val="nil"/>
              <w:bottom w:val="single" w:sz="6" w:space="0" w:color="A5A5A5"/>
              <w:right w:val="nil"/>
            </w:tcBorders>
            <w:shd w:val="clear" w:color="auto" w:fill="auto"/>
            <w:vAlign w:val="center"/>
          </w:tcPr>
          <w:p w14:paraId="460E78DD" w14:textId="77777777" w:rsidR="00CC0A2E" w:rsidRDefault="009C21D1">
            <w:pPr>
              <w:rPr>
                <w:rFonts w:ascii="仿宋_GB2312" w:eastAsia="仿宋_GB2312" w:hAnsi="Calibri" w:cs="Times New Roman"/>
                <w:b/>
                <w:kern w:val="0"/>
                <w:sz w:val="24"/>
                <w:szCs w:val="24"/>
              </w:rPr>
            </w:pPr>
            <w:r>
              <w:rPr>
                <w:rFonts w:ascii="仿宋_GB2312" w:eastAsia="仿宋_GB2312" w:hAnsi="宋体" w:cs="仿宋_GB2312" w:hint="eastAsia"/>
                <w:b/>
                <w:kern w:val="0"/>
                <w:sz w:val="24"/>
                <w:szCs w:val="24"/>
                <w:lang w:bidi="ar"/>
              </w:rPr>
              <w:t>收费方式</w:t>
            </w:r>
            <w:r>
              <w:rPr>
                <w:rFonts w:ascii="仿宋_GB2312" w:eastAsia="仿宋_GB2312" w:hAnsi="Calibri" w:cs="FZFSJW--GB1-0" w:hint="eastAsia"/>
                <w:b/>
                <w:kern w:val="0"/>
                <w:sz w:val="24"/>
                <w:szCs w:val="24"/>
                <w:lang w:bidi="ar"/>
              </w:rPr>
              <w:t>/</w:t>
            </w:r>
            <w:r>
              <w:rPr>
                <w:rFonts w:ascii="仿宋_GB2312" w:eastAsia="仿宋_GB2312" w:hAnsi="宋体" w:cs="仿宋_GB2312" w:hint="eastAsia"/>
                <w:b/>
                <w:kern w:val="0"/>
                <w:sz w:val="24"/>
                <w:szCs w:val="24"/>
                <w:lang w:bidi="ar"/>
              </w:rPr>
              <w:t>年费率或金额</w:t>
            </w:r>
          </w:p>
        </w:tc>
        <w:tc>
          <w:tcPr>
            <w:tcW w:w="2997" w:type="dxa"/>
            <w:tcBorders>
              <w:top w:val="single" w:sz="8" w:space="0" w:color="auto"/>
              <w:left w:val="nil"/>
              <w:bottom w:val="single" w:sz="6" w:space="0" w:color="A5A5A5"/>
              <w:right w:val="nil"/>
            </w:tcBorders>
            <w:shd w:val="clear" w:color="auto" w:fill="auto"/>
            <w:vAlign w:val="center"/>
          </w:tcPr>
          <w:p w14:paraId="343FA0FC" w14:textId="77777777" w:rsidR="00CC0A2E" w:rsidRDefault="009C21D1">
            <w:pPr>
              <w:rPr>
                <w:rFonts w:ascii="仿宋_GB2312" w:eastAsia="仿宋_GB2312" w:hAnsi="宋体" w:cs="宋体"/>
                <w:b/>
                <w:kern w:val="0"/>
                <w:sz w:val="24"/>
                <w:szCs w:val="24"/>
              </w:rPr>
            </w:pPr>
            <w:r>
              <w:rPr>
                <w:rFonts w:ascii="仿宋_GB2312" w:eastAsia="仿宋_GB2312" w:hAnsi="宋体" w:cs="仿宋_GB2312" w:hint="eastAsia"/>
                <w:b/>
                <w:kern w:val="0"/>
                <w:sz w:val="24"/>
                <w:szCs w:val="24"/>
                <w:lang w:bidi="ar"/>
              </w:rPr>
              <w:t>收取方</w:t>
            </w:r>
          </w:p>
        </w:tc>
      </w:tr>
      <w:tr w:rsidR="00CC0A2E" w14:paraId="21ACB095" w14:textId="77777777">
        <w:trPr>
          <w:jc w:val="center"/>
        </w:trPr>
        <w:tc>
          <w:tcPr>
            <w:tcW w:w="2043" w:type="dxa"/>
            <w:tcBorders>
              <w:top w:val="single" w:sz="6" w:space="0" w:color="A5A5A5"/>
              <w:left w:val="nil"/>
              <w:bottom w:val="single" w:sz="6" w:space="0" w:color="A5A5A5"/>
              <w:right w:val="nil"/>
            </w:tcBorders>
            <w:shd w:val="clear" w:color="auto" w:fill="auto"/>
          </w:tcPr>
          <w:p w14:paraId="5CE76766" w14:textId="77777777" w:rsidR="00CC0A2E" w:rsidRDefault="009C21D1">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管理费</w:t>
            </w:r>
          </w:p>
        </w:tc>
        <w:tc>
          <w:tcPr>
            <w:tcW w:w="3535" w:type="dxa"/>
            <w:tcBorders>
              <w:top w:val="single" w:sz="6" w:space="0" w:color="A5A5A5"/>
              <w:left w:val="nil"/>
              <w:bottom w:val="single" w:sz="6" w:space="0" w:color="A5A5A5"/>
              <w:right w:val="nil"/>
            </w:tcBorders>
            <w:shd w:val="clear" w:color="auto" w:fill="auto"/>
            <w:vAlign w:val="center"/>
          </w:tcPr>
          <w:p w14:paraId="347689D9" w14:textId="77777777" w:rsidR="00CC0A2E" w:rsidRDefault="009C21D1">
            <w:pPr>
              <w:rPr>
                <w:rFonts w:ascii="仿宋_GB2312" w:eastAsia="仿宋_GB2312" w:hAnsi="Calibri" w:cs="Times New Roman"/>
                <w:kern w:val="0"/>
                <w:sz w:val="24"/>
                <w:szCs w:val="24"/>
              </w:rPr>
            </w:pPr>
            <w:r>
              <w:rPr>
                <w:rFonts w:ascii="仿宋_GB2312" w:eastAsia="仿宋_GB2312" w:hAnsi="Calibri" w:cs="Times New Roman" w:hint="eastAsia"/>
                <w:kern w:val="0"/>
                <w:sz w:val="24"/>
                <w:szCs w:val="24"/>
                <w:lang w:bidi="ar"/>
              </w:rPr>
              <w:t>1.2%</w:t>
            </w:r>
          </w:p>
        </w:tc>
        <w:tc>
          <w:tcPr>
            <w:tcW w:w="2997" w:type="dxa"/>
            <w:tcBorders>
              <w:top w:val="single" w:sz="6" w:space="0" w:color="A5A5A5"/>
              <w:left w:val="nil"/>
              <w:bottom w:val="single" w:sz="6" w:space="0" w:color="A5A5A5"/>
              <w:right w:val="nil"/>
            </w:tcBorders>
            <w:shd w:val="clear" w:color="auto" w:fill="auto"/>
            <w:vAlign w:val="center"/>
          </w:tcPr>
          <w:p w14:paraId="429322D9" w14:textId="77777777" w:rsidR="00CC0A2E" w:rsidRDefault="009C21D1">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基金管理人和销售机构</w:t>
            </w:r>
          </w:p>
        </w:tc>
      </w:tr>
      <w:tr w:rsidR="00CC0A2E" w14:paraId="5C4C4B23" w14:textId="77777777">
        <w:trPr>
          <w:jc w:val="center"/>
        </w:trPr>
        <w:tc>
          <w:tcPr>
            <w:tcW w:w="2043" w:type="dxa"/>
            <w:tcBorders>
              <w:top w:val="single" w:sz="6" w:space="0" w:color="A5A5A5"/>
              <w:left w:val="nil"/>
              <w:bottom w:val="single" w:sz="6" w:space="0" w:color="A5A5A5"/>
              <w:right w:val="nil"/>
            </w:tcBorders>
            <w:shd w:val="clear" w:color="auto" w:fill="auto"/>
          </w:tcPr>
          <w:p w14:paraId="78FEFE1F" w14:textId="77777777" w:rsidR="00CC0A2E" w:rsidRDefault="009C21D1">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托管费</w:t>
            </w:r>
          </w:p>
        </w:tc>
        <w:tc>
          <w:tcPr>
            <w:tcW w:w="3535" w:type="dxa"/>
            <w:tcBorders>
              <w:top w:val="single" w:sz="6" w:space="0" w:color="A5A5A5"/>
              <w:left w:val="nil"/>
              <w:bottom w:val="single" w:sz="6" w:space="0" w:color="A5A5A5"/>
              <w:right w:val="nil"/>
            </w:tcBorders>
            <w:shd w:val="clear" w:color="auto" w:fill="auto"/>
            <w:vAlign w:val="center"/>
          </w:tcPr>
          <w:p w14:paraId="6967DBBA" w14:textId="77777777" w:rsidR="00CC0A2E" w:rsidRDefault="009C21D1">
            <w:pPr>
              <w:rPr>
                <w:rFonts w:ascii="仿宋_GB2312" w:eastAsia="仿宋_GB2312" w:hAnsi="Calibri" w:cs="Times New Roman"/>
                <w:kern w:val="0"/>
                <w:sz w:val="24"/>
                <w:szCs w:val="24"/>
              </w:rPr>
            </w:pPr>
            <w:r>
              <w:rPr>
                <w:rFonts w:ascii="仿宋_GB2312" w:eastAsia="仿宋_GB2312" w:hAnsi="Calibri" w:cs="Times New Roman" w:hint="eastAsia"/>
                <w:kern w:val="0"/>
                <w:sz w:val="24"/>
                <w:szCs w:val="24"/>
                <w:lang w:bidi="ar"/>
              </w:rPr>
              <w:t>0.2%</w:t>
            </w:r>
          </w:p>
        </w:tc>
        <w:tc>
          <w:tcPr>
            <w:tcW w:w="2997" w:type="dxa"/>
            <w:tcBorders>
              <w:top w:val="single" w:sz="6" w:space="0" w:color="A5A5A5"/>
              <w:left w:val="nil"/>
              <w:bottom w:val="single" w:sz="6" w:space="0" w:color="A5A5A5"/>
              <w:right w:val="nil"/>
            </w:tcBorders>
            <w:shd w:val="clear" w:color="auto" w:fill="auto"/>
            <w:vAlign w:val="center"/>
          </w:tcPr>
          <w:p w14:paraId="50656123" w14:textId="77777777" w:rsidR="00CC0A2E" w:rsidRDefault="009C21D1">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基金托管人</w:t>
            </w:r>
          </w:p>
        </w:tc>
      </w:tr>
      <w:tr w:rsidR="00CC0A2E" w14:paraId="60831914" w14:textId="77777777">
        <w:trPr>
          <w:jc w:val="center"/>
        </w:trPr>
        <w:tc>
          <w:tcPr>
            <w:tcW w:w="2043" w:type="dxa"/>
            <w:tcBorders>
              <w:top w:val="single" w:sz="6" w:space="0" w:color="A5A5A5"/>
              <w:left w:val="nil"/>
              <w:bottom w:val="single" w:sz="6" w:space="0" w:color="A5A5A5"/>
              <w:right w:val="nil"/>
            </w:tcBorders>
            <w:shd w:val="clear" w:color="auto" w:fill="auto"/>
          </w:tcPr>
          <w:p w14:paraId="75EB6C3B" w14:textId="77777777" w:rsidR="00CC0A2E" w:rsidRDefault="009C21D1">
            <w:pPr>
              <w:jc w:val="left"/>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销售服务费</w:t>
            </w:r>
          </w:p>
        </w:tc>
        <w:tc>
          <w:tcPr>
            <w:tcW w:w="3535" w:type="dxa"/>
            <w:tcBorders>
              <w:top w:val="single" w:sz="6" w:space="0" w:color="A5A5A5"/>
              <w:left w:val="nil"/>
              <w:bottom w:val="single" w:sz="6" w:space="0" w:color="A5A5A5"/>
              <w:right w:val="nil"/>
            </w:tcBorders>
            <w:shd w:val="clear" w:color="auto" w:fill="auto"/>
            <w:vAlign w:val="center"/>
          </w:tcPr>
          <w:p w14:paraId="63A41090" w14:textId="77777777" w:rsidR="00CC0A2E" w:rsidRDefault="009C21D1">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0.</w:t>
            </w:r>
            <w:r>
              <w:rPr>
                <w:rFonts w:ascii="仿宋_GB2312" w:eastAsia="仿宋_GB2312" w:hAnsi="Calibri" w:cs="仿宋_GB2312"/>
                <w:kern w:val="0"/>
                <w:sz w:val="24"/>
                <w:szCs w:val="24"/>
                <w:lang w:bidi="ar"/>
              </w:rPr>
              <w:t>4</w:t>
            </w:r>
            <w:r>
              <w:rPr>
                <w:rFonts w:ascii="仿宋_GB2312" w:eastAsia="仿宋_GB2312" w:hAnsi="Calibri" w:cs="仿宋_GB2312" w:hint="eastAsia"/>
                <w:kern w:val="0"/>
                <w:sz w:val="24"/>
                <w:szCs w:val="24"/>
                <w:lang w:bidi="ar"/>
              </w:rPr>
              <w:t>%</w:t>
            </w:r>
          </w:p>
        </w:tc>
        <w:tc>
          <w:tcPr>
            <w:tcW w:w="2997" w:type="dxa"/>
            <w:tcBorders>
              <w:top w:val="single" w:sz="6" w:space="0" w:color="A5A5A5"/>
              <w:left w:val="nil"/>
              <w:bottom w:val="single" w:sz="6" w:space="0" w:color="A5A5A5"/>
              <w:right w:val="nil"/>
            </w:tcBorders>
            <w:shd w:val="clear" w:color="auto" w:fill="auto"/>
            <w:vAlign w:val="center"/>
          </w:tcPr>
          <w:p w14:paraId="281C4B57" w14:textId="77777777" w:rsidR="00CC0A2E" w:rsidRDefault="009C21D1">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销售机构</w:t>
            </w:r>
          </w:p>
        </w:tc>
      </w:tr>
      <w:tr w:rsidR="00CC0A2E" w14:paraId="28F622A6" w14:textId="77777777">
        <w:trPr>
          <w:jc w:val="center"/>
        </w:trPr>
        <w:tc>
          <w:tcPr>
            <w:tcW w:w="2043" w:type="dxa"/>
            <w:tcBorders>
              <w:top w:val="single" w:sz="6" w:space="0" w:color="A5A5A5"/>
              <w:left w:val="nil"/>
              <w:bottom w:val="single" w:sz="6" w:space="0" w:color="A5A5A5"/>
              <w:right w:val="nil"/>
            </w:tcBorders>
            <w:shd w:val="clear" w:color="auto" w:fill="auto"/>
          </w:tcPr>
          <w:p w14:paraId="2065F141" w14:textId="77777777" w:rsidR="00CC0A2E" w:rsidRDefault="009C21D1">
            <w:pPr>
              <w:jc w:val="left"/>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审计费用</w:t>
            </w:r>
          </w:p>
        </w:tc>
        <w:tc>
          <w:tcPr>
            <w:tcW w:w="3535" w:type="dxa"/>
            <w:tcBorders>
              <w:top w:val="single" w:sz="6" w:space="0" w:color="A5A5A5"/>
              <w:left w:val="nil"/>
              <w:bottom w:val="single" w:sz="6" w:space="0" w:color="A5A5A5"/>
              <w:right w:val="nil"/>
            </w:tcBorders>
            <w:shd w:val="clear" w:color="auto" w:fill="auto"/>
            <w:vAlign w:val="center"/>
          </w:tcPr>
          <w:p w14:paraId="01E50E0E" w14:textId="77777777" w:rsidR="00CC0A2E" w:rsidRDefault="009C21D1">
            <w:pPr>
              <w:rPr>
                <w:rFonts w:ascii="仿宋_GB2312" w:eastAsia="仿宋_GB2312" w:hAnsi="Calibri" w:cs="Times New Roman"/>
                <w:kern w:val="0"/>
                <w:sz w:val="24"/>
                <w:szCs w:val="24"/>
              </w:rPr>
            </w:pPr>
            <w:r>
              <w:rPr>
                <w:rFonts w:ascii="仿宋_GB2312" w:eastAsia="仿宋_GB2312" w:hAnsi="Calibri" w:cs="Times New Roman" w:hint="eastAsia"/>
                <w:kern w:val="0"/>
                <w:sz w:val="24"/>
                <w:szCs w:val="24"/>
                <w:lang w:bidi="ar"/>
              </w:rPr>
              <w:t>-</w:t>
            </w:r>
          </w:p>
        </w:tc>
        <w:tc>
          <w:tcPr>
            <w:tcW w:w="2997" w:type="dxa"/>
            <w:tcBorders>
              <w:top w:val="single" w:sz="6" w:space="0" w:color="A5A5A5"/>
              <w:left w:val="nil"/>
              <w:bottom w:val="single" w:sz="6" w:space="0" w:color="A5A5A5"/>
              <w:right w:val="nil"/>
            </w:tcBorders>
            <w:shd w:val="clear" w:color="auto" w:fill="auto"/>
            <w:vAlign w:val="center"/>
          </w:tcPr>
          <w:p w14:paraId="4B58CE7B" w14:textId="77777777" w:rsidR="00CC0A2E" w:rsidRDefault="009C21D1">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会计师事务所</w:t>
            </w:r>
          </w:p>
        </w:tc>
      </w:tr>
      <w:tr w:rsidR="00CC0A2E" w14:paraId="1C5D97A5" w14:textId="77777777">
        <w:trPr>
          <w:jc w:val="center"/>
        </w:trPr>
        <w:tc>
          <w:tcPr>
            <w:tcW w:w="2043" w:type="dxa"/>
            <w:tcBorders>
              <w:top w:val="single" w:sz="6" w:space="0" w:color="A5A5A5"/>
              <w:left w:val="nil"/>
              <w:bottom w:val="single" w:sz="6" w:space="0" w:color="A5A5A5"/>
              <w:right w:val="nil"/>
            </w:tcBorders>
            <w:shd w:val="clear" w:color="auto" w:fill="auto"/>
          </w:tcPr>
          <w:p w14:paraId="059BFC3F" w14:textId="77777777" w:rsidR="00CC0A2E" w:rsidRDefault="009C21D1">
            <w:pPr>
              <w:jc w:val="left"/>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信息披露费</w:t>
            </w:r>
          </w:p>
        </w:tc>
        <w:tc>
          <w:tcPr>
            <w:tcW w:w="3535" w:type="dxa"/>
            <w:tcBorders>
              <w:top w:val="single" w:sz="6" w:space="0" w:color="A5A5A5"/>
              <w:left w:val="nil"/>
              <w:bottom w:val="single" w:sz="6" w:space="0" w:color="A5A5A5"/>
              <w:right w:val="nil"/>
            </w:tcBorders>
            <w:shd w:val="clear" w:color="auto" w:fill="auto"/>
            <w:vAlign w:val="center"/>
          </w:tcPr>
          <w:p w14:paraId="4C28AA5E" w14:textId="77777777" w:rsidR="00CC0A2E" w:rsidRDefault="009C21D1">
            <w:pPr>
              <w:rPr>
                <w:rFonts w:ascii="仿宋_GB2312" w:eastAsia="仿宋_GB2312" w:hAnsi="Calibri" w:cs="Times New Roman"/>
                <w:kern w:val="0"/>
                <w:sz w:val="24"/>
                <w:szCs w:val="24"/>
              </w:rPr>
            </w:pPr>
            <w:r>
              <w:rPr>
                <w:rFonts w:ascii="仿宋_GB2312" w:eastAsia="仿宋_GB2312" w:hAnsi="Calibri" w:cs="Times New Roman" w:hint="eastAsia"/>
                <w:kern w:val="0"/>
                <w:sz w:val="24"/>
                <w:szCs w:val="24"/>
                <w:lang w:bidi="ar"/>
              </w:rPr>
              <w:t>-</w:t>
            </w:r>
          </w:p>
        </w:tc>
        <w:tc>
          <w:tcPr>
            <w:tcW w:w="2997" w:type="dxa"/>
            <w:tcBorders>
              <w:top w:val="single" w:sz="6" w:space="0" w:color="A5A5A5"/>
              <w:left w:val="nil"/>
              <w:bottom w:val="single" w:sz="6" w:space="0" w:color="A5A5A5"/>
              <w:right w:val="nil"/>
            </w:tcBorders>
            <w:shd w:val="clear" w:color="auto" w:fill="auto"/>
            <w:vAlign w:val="center"/>
          </w:tcPr>
          <w:p w14:paraId="4F1CBBCD" w14:textId="77777777" w:rsidR="00CC0A2E" w:rsidRDefault="009C21D1">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规定披露报刊</w:t>
            </w:r>
          </w:p>
        </w:tc>
      </w:tr>
      <w:tr w:rsidR="00CC0A2E" w14:paraId="70ECC4F8" w14:textId="77777777">
        <w:trPr>
          <w:jc w:val="center"/>
        </w:trPr>
        <w:tc>
          <w:tcPr>
            <w:tcW w:w="2043" w:type="dxa"/>
            <w:tcBorders>
              <w:top w:val="single" w:sz="6" w:space="0" w:color="A5A5A5"/>
              <w:left w:val="nil"/>
              <w:bottom w:val="single" w:sz="6" w:space="0" w:color="A5A5A5"/>
              <w:right w:val="nil"/>
            </w:tcBorders>
            <w:shd w:val="clear" w:color="auto" w:fill="auto"/>
          </w:tcPr>
          <w:p w14:paraId="4D8F4532" w14:textId="77777777" w:rsidR="00CC0A2E" w:rsidRDefault="009C21D1">
            <w:pPr>
              <w:jc w:val="left"/>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指数许可使用费</w:t>
            </w:r>
          </w:p>
        </w:tc>
        <w:tc>
          <w:tcPr>
            <w:tcW w:w="3535" w:type="dxa"/>
            <w:tcBorders>
              <w:top w:val="single" w:sz="6" w:space="0" w:color="A5A5A5"/>
              <w:left w:val="nil"/>
              <w:bottom w:val="single" w:sz="6" w:space="0" w:color="A5A5A5"/>
              <w:right w:val="nil"/>
            </w:tcBorders>
            <w:shd w:val="clear" w:color="auto" w:fill="auto"/>
            <w:vAlign w:val="center"/>
          </w:tcPr>
          <w:p w14:paraId="0C5E681C" w14:textId="77777777" w:rsidR="00CC0A2E" w:rsidRDefault="009C21D1">
            <w:pPr>
              <w:rPr>
                <w:rFonts w:ascii="仿宋_GB2312" w:eastAsia="仿宋_GB2312" w:hAnsi="Calibri" w:cs="Times New Roman"/>
                <w:kern w:val="0"/>
                <w:sz w:val="24"/>
                <w:szCs w:val="24"/>
              </w:rPr>
            </w:pPr>
            <w:r>
              <w:rPr>
                <w:rFonts w:ascii="仿宋_GB2312" w:eastAsia="仿宋_GB2312" w:hAnsi="Calibri" w:cs="Times New Roman" w:hint="eastAsia"/>
                <w:kern w:val="0"/>
                <w:sz w:val="24"/>
                <w:szCs w:val="24"/>
                <w:lang w:bidi="ar"/>
              </w:rPr>
              <w:t>-</w:t>
            </w:r>
          </w:p>
        </w:tc>
        <w:tc>
          <w:tcPr>
            <w:tcW w:w="2997" w:type="dxa"/>
            <w:tcBorders>
              <w:top w:val="single" w:sz="6" w:space="0" w:color="A5A5A5"/>
              <w:left w:val="nil"/>
              <w:bottom w:val="single" w:sz="6" w:space="0" w:color="A5A5A5"/>
              <w:right w:val="nil"/>
            </w:tcBorders>
            <w:shd w:val="clear" w:color="auto" w:fill="auto"/>
            <w:vAlign w:val="center"/>
          </w:tcPr>
          <w:p w14:paraId="1CCC9E97" w14:textId="77777777" w:rsidR="00CC0A2E" w:rsidRDefault="009C21D1">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指数编制公司</w:t>
            </w:r>
          </w:p>
        </w:tc>
      </w:tr>
      <w:tr w:rsidR="00CC0A2E" w14:paraId="2AE8177E" w14:textId="77777777">
        <w:trPr>
          <w:jc w:val="center"/>
        </w:trPr>
        <w:tc>
          <w:tcPr>
            <w:tcW w:w="2043" w:type="dxa"/>
            <w:tcBorders>
              <w:top w:val="single" w:sz="6" w:space="0" w:color="A5A5A5"/>
              <w:left w:val="nil"/>
              <w:bottom w:val="single" w:sz="8" w:space="0" w:color="auto"/>
              <w:right w:val="nil"/>
            </w:tcBorders>
            <w:shd w:val="clear" w:color="auto" w:fill="auto"/>
          </w:tcPr>
          <w:p w14:paraId="464D4E30" w14:textId="77777777" w:rsidR="00CC0A2E" w:rsidRDefault="009C21D1">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其他费用</w:t>
            </w:r>
          </w:p>
        </w:tc>
        <w:tc>
          <w:tcPr>
            <w:tcW w:w="3535" w:type="dxa"/>
            <w:tcBorders>
              <w:top w:val="single" w:sz="6" w:space="0" w:color="A5A5A5"/>
              <w:left w:val="nil"/>
              <w:bottom w:val="single" w:sz="8" w:space="0" w:color="auto"/>
              <w:right w:val="nil"/>
            </w:tcBorders>
            <w:shd w:val="clear" w:color="auto" w:fill="auto"/>
            <w:vAlign w:val="center"/>
          </w:tcPr>
          <w:p w14:paraId="1EBD5717" w14:textId="77777777" w:rsidR="00CC0A2E" w:rsidRDefault="009C21D1">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详见本基金招募说明书“基金的费用与税收”部分</w:t>
            </w:r>
          </w:p>
        </w:tc>
        <w:tc>
          <w:tcPr>
            <w:tcW w:w="2997" w:type="dxa"/>
            <w:tcBorders>
              <w:top w:val="single" w:sz="6" w:space="0" w:color="A5A5A5"/>
              <w:left w:val="nil"/>
              <w:bottom w:val="single" w:sz="8" w:space="0" w:color="auto"/>
              <w:right w:val="nil"/>
            </w:tcBorders>
            <w:shd w:val="clear" w:color="auto" w:fill="auto"/>
            <w:vAlign w:val="center"/>
          </w:tcPr>
          <w:p w14:paraId="60C2C40D" w14:textId="77777777" w:rsidR="00CC0A2E" w:rsidRDefault="00CC0A2E">
            <w:pPr>
              <w:rPr>
                <w:rFonts w:ascii="仿宋_GB2312" w:eastAsia="仿宋_GB2312" w:hAnsi="Calibri" w:cs="Times New Roman"/>
                <w:kern w:val="0"/>
                <w:sz w:val="24"/>
                <w:szCs w:val="24"/>
              </w:rPr>
            </w:pPr>
          </w:p>
        </w:tc>
      </w:tr>
    </w:tbl>
    <w:p w14:paraId="24D9FE6A" w14:textId="77777777" w:rsidR="00CC0A2E" w:rsidRDefault="009C21D1">
      <w:pPr>
        <w:jc w:val="left"/>
        <w:rPr>
          <w:rFonts w:ascii="仿宋_GB2312" w:eastAsia="仿宋_GB2312"/>
          <w:sz w:val="24"/>
          <w:szCs w:val="24"/>
        </w:rPr>
      </w:pPr>
      <w:r>
        <w:rPr>
          <w:rFonts w:ascii="仿宋_GB2312" w:eastAsia="仿宋_GB2312" w:hint="eastAsia"/>
          <w:sz w:val="24"/>
          <w:szCs w:val="24"/>
        </w:rPr>
        <w:t>注：1、通过直销机构认购/申购的C类基金份额，计提的销售服务费将在投资人赎回相应基金份额或基金合同终止时随赎回款或清算款一并返还给投资人；通过其他销售机构认购/申购的C类基金份额，持续持有超过一年后计提的销售服务费将在投资人赎回相应基金份额或基金合同终止时随赎回款或清算款一并返还给投资人。2、本基金交易证券、基金等产生的费用和税负，按实际发生额从基金资产扣除。</w:t>
      </w:r>
    </w:p>
    <w:p w14:paraId="5A01E07A" w14:textId="77777777" w:rsidR="00CC0A2E" w:rsidRDefault="009C21D1">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t>四、风险揭示与重要提示</w:t>
      </w:r>
    </w:p>
    <w:p w14:paraId="150D9C76" w14:textId="77777777" w:rsidR="00CC0A2E" w:rsidRDefault="009C21D1">
      <w:pPr>
        <w:jc w:val="left"/>
        <w:outlineLvl w:val="1"/>
        <w:rPr>
          <w:rFonts w:ascii="仿宋_GB2312" w:eastAsia="仿宋_GB2312"/>
          <w:b/>
          <w:sz w:val="24"/>
          <w:szCs w:val="24"/>
        </w:rPr>
      </w:pPr>
      <w:r>
        <w:rPr>
          <w:rFonts w:ascii="仿宋_GB2312" w:eastAsia="仿宋_GB2312" w:hint="eastAsia"/>
          <w:b/>
          <w:sz w:val="24"/>
          <w:szCs w:val="24"/>
        </w:rPr>
        <w:t>（一）风险揭示</w:t>
      </w:r>
    </w:p>
    <w:p w14:paraId="4638232C" w14:textId="77777777" w:rsidR="00CC0A2E" w:rsidRDefault="009C21D1">
      <w:pPr>
        <w:ind w:firstLineChars="200" w:firstLine="480"/>
        <w:rPr>
          <w:rFonts w:ascii="仿宋_GB2312" w:eastAsia="仿宋_GB2312"/>
          <w:sz w:val="24"/>
          <w:szCs w:val="24"/>
        </w:rPr>
      </w:pPr>
      <w:r>
        <w:rPr>
          <w:rFonts w:ascii="仿宋_GB2312" w:eastAsia="仿宋_GB2312" w:hint="eastAsia"/>
          <w:sz w:val="24"/>
          <w:szCs w:val="24"/>
        </w:rPr>
        <w:t>本基金不提供任何保证。投资者可能损失投资本金。</w:t>
      </w:r>
    </w:p>
    <w:p w14:paraId="72AA33AF" w14:textId="77777777" w:rsidR="00CC0A2E" w:rsidRDefault="009C21D1">
      <w:pPr>
        <w:ind w:firstLineChars="200" w:firstLine="480"/>
        <w:rPr>
          <w:rFonts w:ascii="仿宋_GB2312" w:eastAsia="仿宋_GB2312"/>
          <w:sz w:val="24"/>
          <w:szCs w:val="24"/>
        </w:rPr>
      </w:pPr>
      <w:r>
        <w:rPr>
          <w:rFonts w:ascii="仿宋_GB2312" w:eastAsia="仿宋_GB2312" w:hint="eastAsia"/>
          <w:sz w:val="24"/>
          <w:szCs w:val="24"/>
        </w:rPr>
        <w:t>投资有风险，投资者购买基金时应认真阅读本基金的《招募说明书》等销售文件。</w:t>
      </w:r>
    </w:p>
    <w:p w14:paraId="068DC593" w14:textId="77777777" w:rsidR="00CC0A2E" w:rsidRDefault="009C21D1">
      <w:pPr>
        <w:ind w:firstLineChars="200" w:firstLine="480"/>
        <w:rPr>
          <w:rFonts w:ascii="仿宋_GB2312" w:eastAsia="仿宋_GB2312"/>
          <w:sz w:val="24"/>
          <w:szCs w:val="24"/>
        </w:rPr>
      </w:pPr>
      <w:r>
        <w:rPr>
          <w:rFonts w:ascii="仿宋_GB2312" w:eastAsia="仿宋_GB2312" w:hint="eastAsia"/>
          <w:sz w:val="24"/>
          <w:szCs w:val="24"/>
        </w:rPr>
        <w:t>基金份额持有人须了解并承受以下风险：</w:t>
      </w:r>
    </w:p>
    <w:p w14:paraId="07E15BC4"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1、市场风险</w:t>
      </w:r>
    </w:p>
    <w:p w14:paraId="6B8A2CFE"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（1）政策风险（2）经济周期风险（3）利率风险（4）上市公司经营风险（5）购买力风险</w:t>
      </w:r>
    </w:p>
    <w:p w14:paraId="2EECEE5B"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2、管理风险</w:t>
      </w:r>
    </w:p>
    <w:p w14:paraId="5280EA0E"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3、流动性风险</w:t>
      </w:r>
    </w:p>
    <w:p w14:paraId="36A0027D"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4、信用风险</w:t>
      </w:r>
    </w:p>
    <w:p w14:paraId="338C425D"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5、本基金的特有风险</w:t>
      </w:r>
    </w:p>
    <w:p w14:paraId="71F0ED35"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（1）本基金属于股票型基金，股票投资（含存托凭证）占基金资产的比例不</w:t>
      </w:r>
      <w:r>
        <w:rPr>
          <w:rFonts w:ascii="仿宋_GB2312" w:eastAsia="仿宋_GB2312" w:hint="eastAsia"/>
          <w:sz w:val="24"/>
          <w:szCs w:val="24"/>
        </w:rPr>
        <w:lastRenderedPageBreak/>
        <w:t>低于80%，具有对股票市场的系统性风险，不能完全规避市场下跌的风险，在市场大幅上涨时也不能保证基金净值能够完全跟随或超越市场上涨幅度。</w:t>
      </w:r>
    </w:p>
    <w:p w14:paraId="1C4E9D27"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w:t>
      </w:r>
      <w:r>
        <w:rPr>
          <w:rFonts w:ascii="仿宋_GB2312" w:eastAsia="仿宋_GB2312"/>
          <w:sz w:val="24"/>
          <w:szCs w:val="24"/>
        </w:rPr>
        <w:t>2</w:t>
      </w:r>
      <w:r>
        <w:rPr>
          <w:rFonts w:ascii="仿宋_GB2312" w:eastAsia="仿宋_GB2312" w:hint="eastAsia"/>
          <w:sz w:val="24"/>
          <w:szCs w:val="24"/>
        </w:rPr>
        <w:t>）采用量化策略进行投资管理可能引致的特定风险</w:t>
      </w:r>
    </w:p>
    <w:p w14:paraId="1818322B"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本基金主要利用定量投资模型重点投资于科创板、创业板股票，其以广泛覆盖各类信息源的数据库为基础，包括宏观经济数据、行业经济数据、证券与期货交易行情数据、上市公司财务数据等。这些数据通常来源于不同的数据提供商，并且因为不同的需要，在数据加工过程中可能遵循不同的规范。基金管理人所建立量化模型将以加工后的数据作为输入，因此，源数据错误或预处理过程中出现的错误可能直接影响量化模型的输出结果，形成数据风险。</w:t>
      </w:r>
    </w:p>
    <w:p w14:paraId="19E3F293"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此外，由于本基金采用量化模型指导投资决策，因此定量方法的缺陷在一定程度上也会影响本基金的表现。一方面，面对不断变换的市场环境，量化投资策略所遵循的模型理论均处于不断发展和完善的过程中；另一方面，在定量模型的具体设定中，核心参数假定的变动均可能影响整体效果的稳定性；最后，定量模型存在对历史数据的依赖。因此，在实际运作过程中，市场环境的变化可能导致遵循量化模型构建的投资组合在一定程度上无法达到预期的投资效果。</w:t>
      </w:r>
    </w:p>
    <w:p w14:paraId="149F5EF3" w14:textId="1BC03F64" w:rsidR="00CC0A2E" w:rsidRDefault="009C21D1">
      <w:pPr>
        <w:ind w:firstLine="420"/>
        <w:outlineLvl w:val="2"/>
        <w:rPr>
          <w:rFonts w:ascii="仿宋_GB2312" w:eastAsia="仿宋_GB2312"/>
          <w:sz w:val="24"/>
          <w:szCs w:val="24"/>
        </w:rPr>
      </w:pPr>
      <w:r>
        <w:rPr>
          <w:rFonts w:ascii="仿宋_GB2312" w:eastAsia="仿宋_GB2312" w:hint="eastAsia"/>
          <w:sz w:val="24"/>
          <w:szCs w:val="24"/>
        </w:rPr>
        <w:t>（3）投资创业板股票的特定风险</w:t>
      </w:r>
    </w:p>
    <w:p w14:paraId="373866E6"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本基金投资于创业板股票，会面临创业板市场特有的投资风险，包括但不限于股价波动风险、退市风险、流动性风险等。</w:t>
      </w:r>
    </w:p>
    <w:p w14:paraId="0CD50BEA" w14:textId="394CA41D" w:rsidR="00CC0A2E" w:rsidRDefault="009C21D1">
      <w:pPr>
        <w:ind w:firstLine="420"/>
        <w:outlineLvl w:val="2"/>
        <w:rPr>
          <w:rFonts w:ascii="仿宋_GB2312" w:eastAsia="仿宋_GB2312"/>
          <w:sz w:val="24"/>
          <w:szCs w:val="24"/>
        </w:rPr>
      </w:pPr>
      <w:r>
        <w:rPr>
          <w:rFonts w:ascii="仿宋_GB2312" w:eastAsia="仿宋_GB2312" w:hint="eastAsia"/>
          <w:sz w:val="24"/>
          <w:szCs w:val="24"/>
        </w:rPr>
        <w:t>（4）投资科创板股票的特定风险</w:t>
      </w:r>
    </w:p>
    <w:p w14:paraId="7F82CE82"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基金资产投资于科创板股票，会面临科创板机制下因投资标的、市场制度以及交易规则等差异带来的特有风险，包括但不限于市场风险、流动性风险、退市风险、系统性风险、政策风险等。</w:t>
      </w:r>
    </w:p>
    <w:p w14:paraId="193F5F59" w14:textId="4C40BCA2" w:rsidR="00CC0A2E" w:rsidRDefault="009C21D1">
      <w:pPr>
        <w:ind w:firstLine="420"/>
        <w:outlineLvl w:val="2"/>
        <w:rPr>
          <w:rFonts w:ascii="仿宋_GB2312" w:eastAsia="仿宋_GB2312"/>
          <w:sz w:val="24"/>
          <w:szCs w:val="24"/>
        </w:rPr>
      </w:pPr>
      <w:r>
        <w:rPr>
          <w:rFonts w:ascii="仿宋_GB2312" w:eastAsia="仿宋_GB2312" w:hint="eastAsia"/>
          <w:sz w:val="24"/>
          <w:szCs w:val="24"/>
        </w:rPr>
        <w:t>（5）投资股指期货的特定风险</w:t>
      </w:r>
    </w:p>
    <w:p w14:paraId="2F39AAEE"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14:paraId="525F3EE2" w14:textId="6A91735B" w:rsidR="00CC0A2E" w:rsidRDefault="009C21D1">
      <w:pPr>
        <w:ind w:firstLine="420"/>
        <w:outlineLvl w:val="2"/>
        <w:rPr>
          <w:rFonts w:ascii="仿宋_GB2312" w:eastAsia="仿宋_GB2312"/>
          <w:sz w:val="24"/>
          <w:szCs w:val="24"/>
        </w:rPr>
      </w:pPr>
      <w:r>
        <w:rPr>
          <w:rFonts w:ascii="仿宋_GB2312" w:eastAsia="仿宋_GB2312" w:hint="eastAsia"/>
          <w:sz w:val="24"/>
          <w:szCs w:val="24"/>
        </w:rPr>
        <w:t>（6）投资资产支持证券的特定风险</w:t>
      </w:r>
    </w:p>
    <w:p w14:paraId="2AFC3673"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本基金可投资资产支持证券，资产支持证券具有一定的价格波动风险、流动性风险、信用风险等风险。</w:t>
      </w:r>
    </w:p>
    <w:p w14:paraId="28C1A528" w14:textId="69036876" w:rsidR="00CC0A2E" w:rsidRDefault="009C21D1">
      <w:pPr>
        <w:ind w:firstLine="420"/>
        <w:outlineLvl w:val="2"/>
        <w:rPr>
          <w:rFonts w:ascii="仿宋_GB2312" w:eastAsia="仿宋_GB2312"/>
          <w:sz w:val="24"/>
          <w:szCs w:val="24"/>
        </w:rPr>
      </w:pPr>
      <w:r>
        <w:rPr>
          <w:rFonts w:ascii="仿宋_GB2312" w:eastAsia="仿宋_GB2312" w:hint="eastAsia"/>
          <w:sz w:val="24"/>
          <w:szCs w:val="24"/>
        </w:rPr>
        <w:t>（7）投资流通受限证券的特定风险</w:t>
      </w:r>
    </w:p>
    <w:p w14:paraId="27E9BF08"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4D526508" w14:textId="42CB611E" w:rsidR="00CC0A2E" w:rsidRDefault="009C21D1">
      <w:pPr>
        <w:ind w:firstLine="420"/>
        <w:outlineLvl w:val="2"/>
        <w:rPr>
          <w:rFonts w:ascii="仿宋_GB2312" w:eastAsia="仿宋_GB2312"/>
          <w:sz w:val="24"/>
          <w:szCs w:val="24"/>
        </w:rPr>
      </w:pPr>
      <w:r>
        <w:rPr>
          <w:rFonts w:ascii="仿宋_GB2312" w:eastAsia="仿宋_GB2312" w:hint="eastAsia"/>
          <w:sz w:val="24"/>
          <w:szCs w:val="24"/>
        </w:rPr>
        <w:t>（8）投资港股通标的股票的特定风险</w:t>
      </w:r>
    </w:p>
    <w:p w14:paraId="6CFAB68D"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通标的股票或选择不将基金资产投资于港股通标的股票，基金资产并非必然投资港股通标的股票。</w:t>
      </w:r>
    </w:p>
    <w:p w14:paraId="693A2679" w14:textId="0F59851B" w:rsidR="00CC0A2E" w:rsidRDefault="009C21D1">
      <w:pPr>
        <w:ind w:firstLine="420"/>
        <w:outlineLvl w:val="2"/>
        <w:rPr>
          <w:rFonts w:ascii="仿宋_GB2312" w:eastAsia="仿宋_GB2312"/>
          <w:sz w:val="24"/>
          <w:szCs w:val="24"/>
        </w:rPr>
      </w:pPr>
      <w:r>
        <w:rPr>
          <w:rFonts w:ascii="仿宋_GB2312" w:eastAsia="仿宋_GB2312" w:hint="eastAsia"/>
          <w:sz w:val="24"/>
          <w:szCs w:val="24"/>
        </w:rPr>
        <w:t>（9）投资存托凭证的特定风险</w:t>
      </w:r>
    </w:p>
    <w:p w14:paraId="76E2D57B"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本基金可投资国内依法发行上市的存托凭证，基金净值可能受到存托凭证的境外基础证券价格波动影响，与存托凭证的境外基础证券、境外基础证券的发行</w:t>
      </w:r>
      <w:r>
        <w:rPr>
          <w:rFonts w:ascii="仿宋_GB2312" w:eastAsia="仿宋_GB2312" w:hint="eastAsia"/>
          <w:sz w:val="24"/>
          <w:szCs w:val="24"/>
        </w:rPr>
        <w:lastRenderedPageBreak/>
        <w:t>人及境内外交易机制相关的风险可能直接或间接成为本基金风险。</w:t>
      </w:r>
    </w:p>
    <w:p w14:paraId="7724D49A"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5AFD2123"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本基金可根据投资策略需要或市场环境的变化，选择将部分基金资产投资于存托凭证或选择不将基金资产投资于存托凭证，基金资产并非必然投资存托凭证。</w:t>
      </w:r>
    </w:p>
    <w:p w14:paraId="015A6692"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6、本基金法律文件风险收益特征表述与销售机构基金风险评价可能不一致的风险</w:t>
      </w:r>
    </w:p>
    <w:p w14:paraId="041D9435" w14:textId="77777777" w:rsidR="00CC0A2E" w:rsidRDefault="009C21D1">
      <w:pPr>
        <w:ind w:firstLine="420"/>
        <w:outlineLvl w:val="2"/>
        <w:rPr>
          <w:rFonts w:ascii="仿宋_GB2312" w:eastAsia="仿宋_GB2312"/>
          <w:sz w:val="24"/>
          <w:szCs w:val="24"/>
        </w:rPr>
      </w:pPr>
      <w:r>
        <w:rPr>
          <w:rFonts w:ascii="仿宋_GB2312" w:eastAsia="仿宋_GB2312" w:hint="eastAsia"/>
          <w:sz w:val="24"/>
          <w:szCs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7DCB6C53" w14:textId="77777777" w:rsidR="00CC0A2E" w:rsidRDefault="009C21D1">
      <w:pPr>
        <w:ind w:firstLine="420"/>
        <w:outlineLvl w:val="2"/>
        <w:rPr>
          <w:rFonts w:ascii="仿宋_GB2312" w:eastAsia="仿宋_GB2312"/>
          <w:sz w:val="24"/>
          <w:szCs w:val="24"/>
        </w:rPr>
      </w:pPr>
      <w:r>
        <w:rPr>
          <w:rFonts w:ascii="仿宋_GB2312" w:eastAsia="仿宋_GB2312"/>
          <w:sz w:val="24"/>
          <w:szCs w:val="24"/>
        </w:rPr>
        <w:t>7</w:t>
      </w:r>
      <w:r>
        <w:rPr>
          <w:rFonts w:ascii="仿宋_GB2312" w:eastAsia="仿宋_GB2312" w:hint="eastAsia"/>
          <w:sz w:val="24"/>
          <w:szCs w:val="24"/>
        </w:rPr>
        <w:t>、其他风险</w:t>
      </w:r>
    </w:p>
    <w:p w14:paraId="0007A4E6" w14:textId="77777777" w:rsidR="00CC0A2E" w:rsidRDefault="009C21D1">
      <w:pPr>
        <w:outlineLvl w:val="1"/>
        <w:rPr>
          <w:rFonts w:ascii="仿宋_GB2312" w:eastAsia="仿宋_GB2312"/>
          <w:b/>
          <w:sz w:val="24"/>
          <w:szCs w:val="24"/>
        </w:rPr>
      </w:pPr>
      <w:r>
        <w:rPr>
          <w:rFonts w:ascii="仿宋_GB2312" w:eastAsia="仿宋_GB2312" w:hint="eastAsia"/>
          <w:b/>
          <w:sz w:val="24"/>
          <w:szCs w:val="24"/>
        </w:rPr>
        <w:t>（二）重要提示</w:t>
      </w:r>
    </w:p>
    <w:p w14:paraId="404DBFA1" w14:textId="77777777" w:rsidR="00CC0A2E" w:rsidRDefault="009C21D1">
      <w:pPr>
        <w:ind w:firstLine="420"/>
        <w:rPr>
          <w:rFonts w:ascii="仿宋_GB2312" w:eastAsia="仿宋_GB2312"/>
          <w:sz w:val="24"/>
          <w:szCs w:val="24"/>
        </w:rPr>
      </w:pPr>
      <w:r>
        <w:rPr>
          <w:rFonts w:ascii="仿宋_GB2312" w:eastAsia="仿宋_GB2312" w:hint="eastAsia"/>
          <w:sz w:val="24"/>
          <w:szCs w:val="24"/>
        </w:rPr>
        <w:t>中国证监会对本基金募集的核准或注册，并不表明其对本基金的价值和收益作出实质性判断或保证，也不表明投资于本基金没有风险。</w:t>
      </w:r>
    </w:p>
    <w:p w14:paraId="01BD668D" w14:textId="77777777" w:rsidR="00CC0A2E" w:rsidRDefault="009C21D1">
      <w:pPr>
        <w:ind w:firstLine="420"/>
        <w:rPr>
          <w:rFonts w:ascii="仿宋_GB2312" w:eastAsia="仿宋_GB2312"/>
          <w:sz w:val="24"/>
          <w:szCs w:val="24"/>
        </w:rPr>
      </w:pPr>
      <w:r>
        <w:rPr>
          <w:rFonts w:ascii="仿宋_GB2312" w:eastAsia="仿宋_GB2312" w:hint="eastAsia"/>
          <w:sz w:val="24"/>
          <w:szCs w:val="24"/>
        </w:rPr>
        <w:t>基金管理人依照恪尽职守、诚实信用、谨慎勤勉的原则管理和运用基金财产，但不保证基金一定盈利，也不保证最低收益。</w:t>
      </w:r>
    </w:p>
    <w:p w14:paraId="5A13CEEB" w14:textId="77777777" w:rsidR="00CC0A2E" w:rsidRDefault="009C21D1">
      <w:pPr>
        <w:ind w:firstLine="420"/>
        <w:rPr>
          <w:rFonts w:ascii="仿宋_GB2312" w:eastAsia="仿宋_GB2312"/>
          <w:sz w:val="24"/>
          <w:szCs w:val="24"/>
        </w:rPr>
      </w:pPr>
      <w:r>
        <w:rPr>
          <w:rFonts w:ascii="仿宋_GB2312" w:eastAsia="仿宋_GB2312" w:hint="eastAsia"/>
          <w:sz w:val="24"/>
          <w:szCs w:val="24"/>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44F5E0D8" w14:textId="77777777" w:rsidR="00CC0A2E" w:rsidRDefault="009C21D1">
      <w:pPr>
        <w:ind w:firstLine="420"/>
        <w:rPr>
          <w:rFonts w:ascii="仿宋_GB2312" w:eastAsia="仿宋_GB2312"/>
          <w:sz w:val="24"/>
          <w:szCs w:val="24"/>
        </w:rPr>
      </w:pPr>
      <w:r>
        <w:rPr>
          <w:rFonts w:ascii="仿宋_GB2312" w:eastAsia="仿宋_GB2312" w:hint="eastAsia"/>
          <w:sz w:val="24"/>
          <w:szCs w:val="24"/>
        </w:rPr>
        <w:t>销售机构的风险等级评价与基金法律文件中风险收益特征的表述可能存在不同，投资人在购买本基金时需按照销售机构的要求完成风险承受能力与产品风险之间的匹配检验。</w:t>
      </w:r>
    </w:p>
    <w:p w14:paraId="27BF9649" w14:textId="77777777" w:rsidR="00CC0A2E" w:rsidRDefault="009C21D1">
      <w:pPr>
        <w:ind w:firstLine="420"/>
        <w:jc w:val="left"/>
        <w:rPr>
          <w:rFonts w:ascii="仿宋_GB2312" w:eastAsia="仿宋_GB2312"/>
          <w:b/>
          <w:sz w:val="24"/>
          <w:szCs w:val="24"/>
        </w:rPr>
      </w:pPr>
      <w:r>
        <w:rPr>
          <w:rFonts w:ascii="仿宋_GB2312" w:eastAsia="仿宋_GB2312" w:hint="eastAsia"/>
          <w:b/>
          <w:sz w:val="24"/>
          <w:szCs w:val="24"/>
        </w:rPr>
        <w:t>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w:t>
      </w:r>
    </w:p>
    <w:p w14:paraId="7BF543DC"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0B394ADB" w14:textId="77777777" w:rsidR="00CC0A2E" w:rsidRDefault="009C21D1">
      <w:pPr>
        <w:jc w:val="left"/>
        <w:outlineLvl w:val="0"/>
        <w:rPr>
          <w:rFonts w:ascii="仿宋_GB2312" w:eastAsia="仿宋_GB2312"/>
          <w:b/>
          <w:sz w:val="24"/>
          <w:szCs w:val="24"/>
        </w:rPr>
      </w:pPr>
      <w:r>
        <w:rPr>
          <w:rFonts w:ascii="仿宋_GB2312" w:eastAsia="仿宋_GB2312" w:hint="eastAsia"/>
          <w:b/>
          <w:sz w:val="24"/>
          <w:szCs w:val="24"/>
        </w:rPr>
        <w:t>五、其他资料查询方式</w:t>
      </w:r>
    </w:p>
    <w:p w14:paraId="2FF977D2"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以下资料详见交银施罗德基金官方网站[www.fund001.com][客服电话：400-700-5000]</w:t>
      </w:r>
    </w:p>
    <w:p w14:paraId="107678FA"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●《交银施罗德科创创业量化选股股票型证券投资基金基金合同》、</w:t>
      </w:r>
    </w:p>
    <w:p w14:paraId="2C0BBF73"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lastRenderedPageBreak/>
        <w:t>《交银施罗德科创创业量化选股股票型证券投资基金托管协议》、</w:t>
      </w:r>
    </w:p>
    <w:p w14:paraId="59BC7432"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《交银施罗德科创创业量化选股股票型证券投资基金招募说明书》</w:t>
      </w:r>
    </w:p>
    <w:p w14:paraId="2DC27EB4"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●定期报告，包括基金季度报告、中期报告和年度报告</w:t>
      </w:r>
    </w:p>
    <w:p w14:paraId="19837F62"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●基金份额净值</w:t>
      </w:r>
    </w:p>
    <w:p w14:paraId="64BA8AB9"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●基金销售机构及联系方式</w:t>
      </w:r>
    </w:p>
    <w:p w14:paraId="6368B6EB"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●其他重要资料</w:t>
      </w:r>
    </w:p>
    <w:p w14:paraId="433E3BCC" w14:textId="77777777" w:rsidR="00CC0A2E" w:rsidRDefault="009C21D1">
      <w:pPr>
        <w:jc w:val="left"/>
        <w:outlineLvl w:val="0"/>
        <w:rPr>
          <w:rFonts w:ascii="仿宋_GB2312" w:eastAsia="仿宋_GB2312"/>
          <w:b/>
          <w:sz w:val="24"/>
          <w:szCs w:val="24"/>
        </w:rPr>
      </w:pPr>
      <w:r>
        <w:rPr>
          <w:rFonts w:ascii="仿宋_GB2312" w:eastAsia="仿宋_GB2312" w:hint="eastAsia"/>
          <w:b/>
          <w:sz w:val="24"/>
          <w:szCs w:val="24"/>
        </w:rPr>
        <w:t>六、其他情况说明</w:t>
      </w:r>
    </w:p>
    <w:p w14:paraId="4588E690" w14:textId="77777777" w:rsidR="00CC0A2E" w:rsidRDefault="009C21D1">
      <w:pPr>
        <w:ind w:firstLine="420"/>
        <w:jc w:val="left"/>
        <w:rPr>
          <w:rFonts w:ascii="仿宋_GB2312" w:eastAsia="仿宋_GB2312"/>
          <w:sz w:val="24"/>
          <w:szCs w:val="24"/>
        </w:rPr>
      </w:pPr>
      <w:r>
        <w:rPr>
          <w:rFonts w:ascii="仿宋_GB2312" w:eastAsia="仿宋_GB2312" w:hint="eastAsia"/>
          <w:sz w:val="24"/>
          <w:szCs w:val="24"/>
        </w:rPr>
        <w:t>无。</w:t>
      </w:r>
    </w:p>
    <w:sectPr w:rsidR="00CC0A2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仿宋简体">
    <w:altName w:val="微软雅黑"/>
    <w:charset w:val="86"/>
    <w:family w:val="auto"/>
    <w:pitch w:val="default"/>
    <w:sig w:usb0="00000000" w:usb1="0000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FZHTJW--GB1-0">
    <w:altName w:val="Segoe Print"/>
    <w:charset w:val="00"/>
    <w:family w:val="roman"/>
    <w:pitch w:val="default"/>
  </w:font>
  <w:font w:name="FZFSJW--GB1-0">
    <w:altName w:val="等线"/>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13A90"/>
    <w:rsid w:val="00030C25"/>
    <w:rsid w:val="000403C0"/>
    <w:rsid w:val="00046A6C"/>
    <w:rsid w:val="000506C2"/>
    <w:rsid w:val="00054711"/>
    <w:rsid w:val="00060177"/>
    <w:rsid w:val="00092AF6"/>
    <w:rsid w:val="00094816"/>
    <w:rsid w:val="000A05D4"/>
    <w:rsid w:val="000C2E5D"/>
    <w:rsid w:val="000C2F07"/>
    <w:rsid w:val="000D2104"/>
    <w:rsid w:val="00115AC0"/>
    <w:rsid w:val="001162BB"/>
    <w:rsid w:val="00120342"/>
    <w:rsid w:val="001235E1"/>
    <w:rsid w:val="00131F08"/>
    <w:rsid w:val="00132787"/>
    <w:rsid w:val="001712D3"/>
    <w:rsid w:val="00181F04"/>
    <w:rsid w:val="00183EDA"/>
    <w:rsid w:val="001948F9"/>
    <w:rsid w:val="0019752C"/>
    <w:rsid w:val="001B26DE"/>
    <w:rsid w:val="001D533C"/>
    <w:rsid w:val="001E402A"/>
    <w:rsid w:val="001E71F8"/>
    <w:rsid w:val="001F2950"/>
    <w:rsid w:val="001F2E90"/>
    <w:rsid w:val="001F33BC"/>
    <w:rsid w:val="00224215"/>
    <w:rsid w:val="002635C6"/>
    <w:rsid w:val="002820C0"/>
    <w:rsid w:val="002855CC"/>
    <w:rsid w:val="00287210"/>
    <w:rsid w:val="0029201A"/>
    <w:rsid w:val="002921F6"/>
    <w:rsid w:val="002928F9"/>
    <w:rsid w:val="002B00C6"/>
    <w:rsid w:val="002B2146"/>
    <w:rsid w:val="002C790E"/>
    <w:rsid w:val="002D0E26"/>
    <w:rsid w:val="002D3487"/>
    <w:rsid w:val="002F306E"/>
    <w:rsid w:val="002F5DBC"/>
    <w:rsid w:val="0030630A"/>
    <w:rsid w:val="00325EA3"/>
    <w:rsid w:val="00335FE8"/>
    <w:rsid w:val="00347A30"/>
    <w:rsid w:val="00387B89"/>
    <w:rsid w:val="00393720"/>
    <w:rsid w:val="003938A9"/>
    <w:rsid w:val="003B45A4"/>
    <w:rsid w:val="003C1F37"/>
    <w:rsid w:val="003E751E"/>
    <w:rsid w:val="00401C56"/>
    <w:rsid w:val="00402C10"/>
    <w:rsid w:val="00424B4E"/>
    <w:rsid w:val="004340C5"/>
    <w:rsid w:val="00447692"/>
    <w:rsid w:val="00473527"/>
    <w:rsid w:val="00474F2E"/>
    <w:rsid w:val="0047654B"/>
    <w:rsid w:val="0047690D"/>
    <w:rsid w:val="00480D02"/>
    <w:rsid w:val="004A275D"/>
    <w:rsid w:val="004C35C9"/>
    <w:rsid w:val="004C5740"/>
    <w:rsid w:val="004C798E"/>
    <w:rsid w:val="004E0A11"/>
    <w:rsid w:val="004E6549"/>
    <w:rsid w:val="005034C9"/>
    <w:rsid w:val="005125E0"/>
    <w:rsid w:val="005137AD"/>
    <w:rsid w:val="00515E66"/>
    <w:rsid w:val="00527446"/>
    <w:rsid w:val="00527879"/>
    <w:rsid w:val="00534DAD"/>
    <w:rsid w:val="005478AD"/>
    <w:rsid w:val="0055697A"/>
    <w:rsid w:val="00557F00"/>
    <w:rsid w:val="00566124"/>
    <w:rsid w:val="00567E7F"/>
    <w:rsid w:val="0058198E"/>
    <w:rsid w:val="005976B3"/>
    <w:rsid w:val="005B0531"/>
    <w:rsid w:val="005B06DA"/>
    <w:rsid w:val="005C0352"/>
    <w:rsid w:val="005E408E"/>
    <w:rsid w:val="00604E3C"/>
    <w:rsid w:val="006240B9"/>
    <w:rsid w:val="00644372"/>
    <w:rsid w:val="00646326"/>
    <w:rsid w:val="006749B2"/>
    <w:rsid w:val="00683B8B"/>
    <w:rsid w:val="00684349"/>
    <w:rsid w:val="006940A0"/>
    <w:rsid w:val="00695D35"/>
    <w:rsid w:val="006A2FC5"/>
    <w:rsid w:val="006A53E7"/>
    <w:rsid w:val="006A738D"/>
    <w:rsid w:val="006B1670"/>
    <w:rsid w:val="006E0A45"/>
    <w:rsid w:val="00701315"/>
    <w:rsid w:val="00767AEC"/>
    <w:rsid w:val="007840F4"/>
    <w:rsid w:val="0078422C"/>
    <w:rsid w:val="007A64C5"/>
    <w:rsid w:val="007D43E6"/>
    <w:rsid w:val="007E001B"/>
    <w:rsid w:val="007E6C2D"/>
    <w:rsid w:val="007F4BD0"/>
    <w:rsid w:val="008157E9"/>
    <w:rsid w:val="00816A33"/>
    <w:rsid w:val="008325A9"/>
    <w:rsid w:val="00846EFA"/>
    <w:rsid w:val="008613E6"/>
    <w:rsid w:val="00880454"/>
    <w:rsid w:val="008A6FA6"/>
    <w:rsid w:val="008C4BF8"/>
    <w:rsid w:val="008D3E69"/>
    <w:rsid w:val="008D3FEA"/>
    <w:rsid w:val="008D6345"/>
    <w:rsid w:val="008F201E"/>
    <w:rsid w:val="00902522"/>
    <w:rsid w:val="0090269C"/>
    <w:rsid w:val="009105B2"/>
    <w:rsid w:val="009255AB"/>
    <w:rsid w:val="0093330C"/>
    <w:rsid w:val="00970E54"/>
    <w:rsid w:val="009728DC"/>
    <w:rsid w:val="00976527"/>
    <w:rsid w:val="00976BB0"/>
    <w:rsid w:val="0098729D"/>
    <w:rsid w:val="009B0FED"/>
    <w:rsid w:val="009B7BB1"/>
    <w:rsid w:val="009C0C41"/>
    <w:rsid w:val="009C21D1"/>
    <w:rsid w:val="009F3185"/>
    <w:rsid w:val="009F4EAE"/>
    <w:rsid w:val="00A05846"/>
    <w:rsid w:val="00A2046A"/>
    <w:rsid w:val="00A205F9"/>
    <w:rsid w:val="00A215B2"/>
    <w:rsid w:val="00A25BA3"/>
    <w:rsid w:val="00A3246F"/>
    <w:rsid w:val="00A37AB1"/>
    <w:rsid w:val="00A42707"/>
    <w:rsid w:val="00A4693D"/>
    <w:rsid w:val="00A57DAE"/>
    <w:rsid w:val="00A66C19"/>
    <w:rsid w:val="00A7479A"/>
    <w:rsid w:val="00A87B1E"/>
    <w:rsid w:val="00AA2A04"/>
    <w:rsid w:val="00AA2E09"/>
    <w:rsid w:val="00AB0F3C"/>
    <w:rsid w:val="00AB59CB"/>
    <w:rsid w:val="00AC1BF7"/>
    <w:rsid w:val="00AD0FC4"/>
    <w:rsid w:val="00AD27E7"/>
    <w:rsid w:val="00AE079C"/>
    <w:rsid w:val="00AF7A1E"/>
    <w:rsid w:val="00B0125E"/>
    <w:rsid w:val="00B12889"/>
    <w:rsid w:val="00B37EAD"/>
    <w:rsid w:val="00B41589"/>
    <w:rsid w:val="00B66DCC"/>
    <w:rsid w:val="00B73735"/>
    <w:rsid w:val="00BA3CB5"/>
    <w:rsid w:val="00BA6DD8"/>
    <w:rsid w:val="00BB6777"/>
    <w:rsid w:val="00BD150A"/>
    <w:rsid w:val="00BE1344"/>
    <w:rsid w:val="00BE218B"/>
    <w:rsid w:val="00C00781"/>
    <w:rsid w:val="00C0525C"/>
    <w:rsid w:val="00C16228"/>
    <w:rsid w:val="00C17C6E"/>
    <w:rsid w:val="00C21425"/>
    <w:rsid w:val="00C24A82"/>
    <w:rsid w:val="00C60DD8"/>
    <w:rsid w:val="00C91E45"/>
    <w:rsid w:val="00CA7211"/>
    <w:rsid w:val="00CC0A2E"/>
    <w:rsid w:val="00CC5395"/>
    <w:rsid w:val="00CD0941"/>
    <w:rsid w:val="00CD1436"/>
    <w:rsid w:val="00CD349E"/>
    <w:rsid w:val="00CD61C5"/>
    <w:rsid w:val="00CD7637"/>
    <w:rsid w:val="00D03E49"/>
    <w:rsid w:val="00D04A15"/>
    <w:rsid w:val="00D106AD"/>
    <w:rsid w:val="00D17511"/>
    <w:rsid w:val="00D2234C"/>
    <w:rsid w:val="00D31365"/>
    <w:rsid w:val="00D373CC"/>
    <w:rsid w:val="00D43A6C"/>
    <w:rsid w:val="00D61254"/>
    <w:rsid w:val="00D61659"/>
    <w:rsid w:val="00D668FF"/>
    <w:rsid w:val="00DA0666"/>
    <w:rsid w:val="00DA3769"/>
    <w:rsid w:val="00DB03A7"/>
    <w:rsid w:val="00DB319C"/>
    <w:rsid w:val="00DC5546"/>
    <w:rsid w:val="00DD0E23"/>
    <w:rsid w:val="00DE1675"/>
    <w:rsid w:val="00E041A0"/>
    <w:rsid w:val="00E15517"/>
    <w:rsid w:val="00E16CA2"/>
    <w:rsid w:val="00E46BF3"/>
    <w:rsid w:val="00E51B6D"/>
    <w:rsid w:val="00E63812"/>
    <w:rsid w:val="00E711E5"/>
    <w:rsid w:val="00E7336F"/>
    <w:rsid w:val="00E774CB"/>
    <w:rsid w:val="00E77BEC"/>
    <w:rsid w:val="00E90858"/>
    <w:rsid w:val="00E939AB"/>
    <w:rsid w:val="00E94B2B"/>
    <w:rsid w:val="00E95214"/>
    <w:rsid w:val="00EA5470"/>
    <w:rsid w:val="00EC1D58"/>
    <w:rsid w:val="00EE5EC0"/>
    <w:rsid w:val="00EF155E"/>
    <w:rsid w:val="00F1607F"/>
    <w:rsid w:val="00F75715"/>
    <w:rsid w:val="00F807C7"/>
    <w:rsid w:val="00F811C4"/>
    <w:rsid w:val="00F82FD9"/>
    <w:rsid w:val="00F92150"/>
    <w:rsid w:val="00F9548A"/>
    <w:rsid w:val="00FB0DAF"/>
    <w:rsid w:val="00FC2918"/>
    <w:rsid w:val="00FC5473"/>
    <w:rsid w:val="00FE1E70"/>
    <w:rsid w:val="00FE3882"/>
    <w:rsid w:val="018736E8"/>
    <w:rsid w:val="04930A6F"/>
    <w:rsid w:val="073805CF"/>
    <w:rsid w:val="098E51C9"/>
    <w:rsid w:val="0C8D7243"/>
    <w:rsid w:val="0DC815F0"/>
    <w:rsid w:val="14187EA0"/>
    <w:rsid w:val="156E1FC9"/>
    <w:rsid w:val="2A271161"/>
    <w:rsid w:val="37155247"/>
    <w:rsid w:val="391309B2"/>
    <w:rsid w:val="392A1298"/>
    <w:rsid w:val="3C3800F1"/>
    <w:rsid w:val="3C944CDF"/>
    <w:rsid w:val="3D0D45F5"/>
    <w:rsid w:val="42D61CCB"/>
    <w:rsid w:val="45C9782A"/>
    <w:rsid w:val="479833B6"/>
    <w:rsid w:val="4CA369E0"/>
    <w:rsid w:val="59513470"/>
    <w:rsid w:val="5A11328E"/>
    <w:rsid w:val="5AAC75E3"/>
    <w:rsid w:val="5F2A0333"/>
    <w:rsid w:val="699E1B84"/>
    <w:rsid w:val="6A603A0A"/>
    <w:rsid w:val="6B34531C"/>
    <w:rsid w:val="7B6A27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50143"/>
  <w15:docId w15:val="{B7AB6AAC-7F51-4169-9BA7-DE770E4A4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paragraph" w:styleId="af">
    <w:name w:val="List Paragraph"/>
    <w:basedOn w:val="a"/>
    <w:uiPriority w:val="34"/>
    <w:qFormat/>
    <w:pPr>
      <w:ind w:firstLineChars="200" w:firstLine="420"/>
    </w:pPr>
  </w:style>
  <w:style w:type="character" w:customStyle="1" w:styleId="a4">
    <w:name w:val="批注文字 字符"/>
    <w:basedOn w:val="a0"/>
    <w:link w:val="a3"/>
    <w:uiPriority w:val="99"/>
    <w:semiHidden/>
    <w:qFormat/>
  </w:style>
  <w:style w:type="character" w:customStyle="1" w:styleId="ac">
    <w:name w:val="批注主题 字符"/>
    <w:basedOn w:val="a4"/>
    <w:link w:val="ab"/>
    <w:uiPriority w:val="99"/>
    <w:semiHidden/>
    <w:qFormat/>
    <w:rPr>
      <w:b/>
      <w:bCs/>
    </w:rPr>
  </w:style>
  <w:style w:type="character" w:customStyle="1" w:styleId="a6">
    <w:name w:val="批注框文本 字符"/>
    <w:basedOn w:val="a0"/>
    <w:link w:val="a5"/>
    <w:uiPriority w:val="99"/>
    <w:semiHidden/>
    <w:qFormat/>
    <w:rPr>
      <w:sz w:val="18"/>
      <w:szCs w:val="18"/>
    </w:rPr>
  </w:style>
  <w:style w:type="paragraph" w:customStyle="1" w:styleId="1">
    <w:name w:val="修订1"/>
    <w:hidden/>
    <w:uiPriority w:val="99"/>
    <w:semiHidden/>
    <w:qFormat/>
    <w:rPr>
      <w:rFonts w:asciiTheme="minorHAnsi" w:eastAsiaTheme="minorEastAsia" w:hAnsiTheme="minorHAnsi" w:cstheme="minorBidi"/>
      <w:kern w:val="2"/>
      <w:sz w:val="21"/>
      <w:szCs w:val="22"/>
    </w:rPr>
  </w:style>
  <w:style w:type="table" w:customStyle="1" w:styleId="10">
    <w:name w:val="网格型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paragraph" w:customStyle="1" w:styleId="2">
    <w:name w:val="修订2"/>
    <w:hidden/>
    <w:uiPriority w:val="99"/>
    <w:semiHidden/>
    <w:qFormat/>
    <w:rPr>
      <w:rFonts w:asciiTheme="minorHAnsi" w:eastAsiaTheme="minorEastAsia" w:hAnsiTheme="minorHAnsi" w:cstheme="minorBidi"/>
      <w:kern w:val="2"/>
      <w:sz w:val="21"/>
      <w:szCs w:val="22"/>
    </w:rPr>
  </w:style>
  <w:style w:type="paragraph" w:customStyle="1" w:styleId="3">
    <w:name w:val="修订3"/>
    <w:hidden/>
    <w:uiPriority w:val="99"/>
    <w:semiHidden/>
    <w:rPr>
      <w:rFonts w:asciiTheme="minorHAnsi" w:eastAsiaTheme="minorEastAsia" w:hAnsiTheme="minorHAnsi" w:cstheme="minorBidi"/>
      <w:kern w:val="2"/>
      <w:sz w:val="21"/>
      <w:szCs w:val="22"/>
    </w:rPr>
  </w:style>
  <w:style w:type="paragraph" w:styleId="af0">
    <w:name w:val="Revision"/>
    <w:hidden/>
    <w:uiPriority w:val="99"/>
    <w:semiHidden/>
    <w:rsid w:val="009C21D1"/>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6</Pages>
  <Words>775</Words>
  <Characters>4424</Characters>
  <Application>Microsoft Office Word</Application>
  <DocSecurity>0</DocSecurity>
  <Lines>36</Lines>
  <Paragraphs>10</Paragraphs>
  <ScaleCrop>false</ScaleCrop>
  <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张婕茹</cp:lastModifiedBy>
  <cp:revision>102</cp:revision>
  <dcterms:created xsi:type="dcterms:W3CDTF">2020-08-25T09:35:00Z</dcterms:created>
  <dcterms:modified xsi:type="dcterms:W3CDTF">2026-08-14T05:09:00Z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267F7583097D4A8AADD5D94095362575</vt:lpwstr>
  </property>
</Properties>
</file>