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交银施罗德智选进取三个月持有期混合型发起式基金中基金（FOF）（A类份额）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2026-08-10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交银智选进取三个月持有期混合发起（FOF）A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019211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ind w:firstLine="420"/>
              <w:jc w:val="left"/>
              <w:rPr>
                <w:rFonts w:ascii="仿宋_GB2312" w:eastAsia="仿宋_GB2312"/>
                <w:szCs w:val="21"/>
              </w:rPr>
            </w:pP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上述混合型基金需符合下列两个条件之一：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90%×中证偏股型基金指数收益率+2%×恒生指数收益率+8%×中债综合全价指数收益率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详见《交银施罗德智选进取三个月持有期混合型发起式基金中基金（FOF）招募说明书》第九部分“基金的投资”。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2、本基金合同于2023年12月27日生效，合同生效当年净值增长率按实际存续期计算。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N＜90天</w:t>
            </w:r>
          </w:p>
        </w:tc>
        <w:tc>
          <w:tcPr>
            <w:tcW w:w="1843" w:type="dxa"/>
            <w:vAlign w:val="center"/>
          </w:tcPr>
          <w:p>
            <w:pPr>
              <w:rPr>
                <w:rFonts w:ascii="仿宋_GB2312" w:eastAsia="仿宋_GB2312"/>
                <w:szCs w:val="21"/>
              </w:rPr>
            </w:pP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90天≤N＜180天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金资产的比例为60%-95%（其中投资于港股通标的股票的比例占股票资产的0%-50%）；投资于香港互认基金的比例不超过基金资产的20%；投资于货币市场基金的比例不超过本基金资产净值的15%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本基金为发起式基金，《基金合同》生效之日起三年后的对应日，基金资产净值低于2亿元，或《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《交银施罗德智选进取三个月持有期混合型发起式基金中基金（FOF）招募说明书》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113A7"/>
    <w:rsid w:val="00E51B6D"/>
    <w:rsid w:val="00F75715"/>
    <w:rsid w:val="00F811C4"/>
    <w:rsid w:val="00FC2918"/>
    <w:rsid w:val="7C8F6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978</Words>
  <Characters>5575</Characters>
  <Lines>46</Lines>
  <Paragraphs>13</Paragraphs>
  <TotalTime>5</TotalTime>
  <ScaleCrop>false</ScaleCrop>
  <LinksUpToDate>false</LinksUpToDate>
  <CharactersWithSpaces>6540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2026-08-12T06:37:00Z</dcterms:created>
  <dc:creator>Cc</dc:creator>
  <cp:lastModifiedBy>haotingting</cp:lastModifiedBy>
  <dcterms:modified xsi:type="dcterms:W3CDTF">2026-08-12T07:32:25Z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9652AAAD61B34375BE90EE9C7CD4D85B</vt:lpwstr>
  </property>
</Properties>
</file>