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交银施罗德智选星光混合型基金中基金（FOF-LOF）（C类份额）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2026-08-10</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2026-08-13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2"/>
        <w:gridCol w:w="1575"/>
        <w:gridCol w:w="3279"/>
        <w:gridCol w:w="191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交银智选星光混合（FOF-LOF）C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013787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中国光大银行股份有限公司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2021-11-10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杜倩旖</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2026-07-16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2022-07-01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交银施罗德智选星光一年封闭运作混合型基金中基金（FOF-LOF）的封闭期自2021年11月10日起至2022年11月9日止。根据《基金合同》的约定，自2022年11月10日起，交银施罗德智选星光一年封闭运作混合型基金中基金（FOF-LOF）的基金名称变更为“交银施罗德智选星光混合型基金中基金（FOF-LOF）”，并适用《基金合同》中关于封闭期届满后运作的有关规定。本基金C类基金份额的基金简称变更为“交银智选星光混合（FOF-LOF）C”，基金代码仍为“013787”。</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基金）、国内依法发行上市的股票（含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债券、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w:t>
            </w:r>
          </w:p>
          <w:p>
            <w:pPr>
              <w:ind w:firstLine="420"/>
              <w:jc w:val="left"/>
              <w:rPr>
                <w:rFonts w:ascii="仿宋_GB2312" w:eastAsia="仿宋_GB2312"/>
                <w:szCs w:val="21"/>
              </w:rPr>
            </w:pPr>
            <w:r>
              <w:rPr>
                <w:rFonts w:hint="eastAsia" w:ascii="仿宋_GB2312" w:eastAsia="仿宋_GB2312"/>
                <w:szCs w:val="21"/>
              </w:rPr>
              <w:t>本基金封闭期结束转为开放式运作后，本基金持有的现金或者到期日在一年以内的政府债券的比例合计不低于基金资产净值的5%；在封闭期内，本基金不受前述5%的限制；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本基金投资策略主要分为以下六个部分：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1、大类资产配置；2、基金投资策略；3、股票投资策略；4、港股通标的股票投资策略；5、债券投资策略；6、资产支持证券投资策略。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90%×中证偏股型基金指数收益率+10%×中债综合全价指数收益率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本基金为混合型基金中基金，其预期风险与预期收益高于债券型基金、债券型基金中基金、货币市场基金和货币型基金中基金，低于股票型基金和股票型基金中基金。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详见《交银施罗德智选星光混合型基金中基金(FOF-LOF)招募说明书》“基金的投资”。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2、本基金合同于2021年11月10日生效，合同生效当年净值增长率按实际存续期计算。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3、本基金的业绩比较基准自2023年2月7日起，由“80%×沪深300指数收益率+20%×中债综合全价指数收益率”变更为“90%×中证偏股型基金指数收益率+10%×中债综合全价指数收益率”。</w:t>
      </w:r>
    </w:p>
    <w:p>
      <w:pPr>
        <w:ind w:left="420" w:firstLine="420" w:firstLineChars="200"/>
        <w:jc w:val="left"/>
        <w:rPr>
          <w:rFonts w:ascii="仿宋_GB2312" w:eastAsia="仿宋_GB2312"/>
          <w:szCs w:val="21"/>
        </w:rPr>
      </w:pPr>
      <w:r>
        <w:rPr>
          <w:rFonts w:hint="eastAsia" w:ascii="仿宋_GB2312" w:eastAsia="仿宋_GB2312"/>
          <w:szCs w:val="21"/>
        </w:rPr>
        <w:t>4、基金的过往业绩不代表未来表现。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1.00%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基金合同生效后一年之内（含一年）为封闭期，在此期间投资者不能申购、赎回基金份额。本基金封闭期结束转为开放式运作后，投资人方可进行C类基金份额的申购与赎回。投资者将面临封闭期内无法赎回基金份额的风险。</w:t>
      </w:r>
    </w:p>
    <w:p>
      <w:pPr>
        <w:ind w:firstLine="420"/>
        <w:jc w:val="left"/>
        <w:rPr>
          <w:rFonts w:ascii="仿宋_GB2312" w:eastAsia="仿宋_GB2312"/>
          <w:szCs w:val="21"/>
        </w:rPr>
      </w:pPr>
      <w:r>
        <w:rPr>
          <w:rFonts w:hint="eastAsia" w:ascii="仿宋_GB2312" w:eastAsia="仿宋_GB2312"/>
          <w:szCs w:val="21"/>
        </w:rPr>
        <w:t>（2）本基金为混合型基金中基金，本基金投资于经中国证监会依法核准或注册的公开募集证券投资基金的基金份额的资产不低于本基金资产的80%；本基金封闭期结束转为开放式运作后，投资于股票（含存托凭证）、股票型基金（包括股票指数基金）和混合型基金的资产合计占基金资产的比例为60%-95%（其中投资于港股通标的股票的比例占股票资产的0%-50%）；封闭期内，投资于股票（含存托凭证）、股票型基金（包括股票指数基金）和混合型基金的资产合计占基金资产的比例为60%-100%（其中投资于港股通标的股票的比例占股票资产的0%-50%）；本基金封闭期结束转为开放式运作的前后各一个月内，基金投资不受前述下限比例限制。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4）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5）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6）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（7）本基金可投资创业板股票，创业板个股上市后的前五个交易日不设价格涨跌幅限制，第六个交易日开始涨跌幅限制比例为20%。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●《交银施罗德智选星光混合型基金中基金（FOF-LOF）基金合同》、</w:t>
      </w:r>
    </w:p>
    <w:p>
      <w:pPr>
        <w:ind w:firstLine="420"/>
        <w:jc w:val="left"/>
        <w:rPr>
          <w:rFonts w:ascii="仿宋_GB2312" w:eastAsia="仿宋_GB2312"/>
          <w:szCs w:val="21"/>
        </w:rPr>
      </w:pPr>
      <w:r>
        <w:rPr>
          <w:rFonts w:hint="eastAsia" w:ascii="仿宋_GB2312" w:eastAsia="仿宋_GB2312"/>
          <w:szCs w:val="21"/>
        </w:rPr>
        <w:t>《交银施罗德智选星光混合型基金中基金（FOF-LOF）托管协议》、</w:t>
      </w:r>
    </w:p>
    <w:p>
      <w:pPr>
        <w:ind w:firstLine="420"/>
        <w:jc w:val="left"/>
        <w:rPr>
          <w:rFonts w:ascii="仿宋_GB2312" w:eastAsia="仿宋_GB2312"/>
          <w:szCs w:val="21"/>
        </w:rPr>
      </w:pPr>
      <w:r>
        <w:rPr>
          <w:rFonts w:hint="eastAsia" w:ascii="仿宋_GB2312" w:eastAsia="仿宋_GB2312"/>
          <w:szCs w:val="21"/>
        </w:rPr>
        <w:t>《交银施罗德智选星光混合型基金中基金（FOF-LOF）招募说明书》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6E5753"/>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93C2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952</Words>
  <Characters>5427</Characters>
  <Lines>45</Lines>
  <Paragraphs>12</Paragraphs>
  <TotalTime>10</TotalTime>
  <ScaleCrop>false</ScaleCrop>
  <LinksUpToDate>false</LinksUpToDate>
  <CharactersWithSpaces>6367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2026-08-12T06:37:00Z</dcterms:created>
  <dc:creator>Cc</dc:creator>
  <cp:lastModifiedBy>haotingting</cp:lastModifiedBy>
  <dcterms:modified xsi:type="dcterms:W3CDTF">2026-08-12T07:51:14Z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7205F8884E594E109C4BB72D92ED2612</vt:lpwstr>
  </property>
</Properties>
</file>