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A792D">
      <w:pPr>
        <w:rPr>
          <w:sz w:val="32"/>
        </w:rPr>
      </w:pPr>
    </w:p>
    <w:p w:rsidR="00C92FC0" w:rsidRPr="00EB07BC" w:rsidRDefault="005A792D">
      <w:pPr>
        <w:rPr>
          <w:sz w:val="32"/>
        </w:rPr>
      </w:pPr>
    </w:p>
    <w:p w:rsidR="00C92FC0" w:rsidRPr="00EB07BC" w:rsidRDefault="005A792D">
      <w:pPr>
        <w:rPr>
          <w:sz w:val="32"/>
        </w:rPr>
      </w:pPr>
    </w:p>
    <w:p w:rsidR="00E85587" w:rsidRDefault="00E8558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85587" w:rsidRDefault="00E8558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85587" w:rsidRDefault="00E8558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85587" w:rsidRDefault="00346AE7">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交银施罗德智选星光混合型基金中基金（</w:t>
      </w:r>
      <w:r>
        <w:rPr>
          <w:rFonts w:ascii="Times New Roman" w:hAnsi="Times New Roman"/>
          <w:b/>
          <w:spacing w:val="2"/>
          <w:w w:val="99"/>
          <w:kern w:val="0"/>
          <w:position w:val="-4"/>
          <w:sz w:val="44"/>
          <w:szCs w:val="44"/>
        </w:rPr>
        <w:t>FOF-LOF</w:t>
      </w:r>
      <w:r>
        <w:rPr>
          <w:rFonts w:ascii="Times New Roman" w:hAnsi="Times New Roman"/>
          <w:b/>
          <w:spacing w:val="2"/>
          <w:w w:val="99"/>
          <w:kern w:val="0"/>
          <w:position w:val="-4"/>
          <w:sz w:val="44"/>
          <w:szCs w:val="44"/>
        </w:rPr>
        <w:t>）</w:t>
      </w:r>
    </w:p>
    <w:p w:rsidR="00E85587" w:rsidRDefault="00346AE7">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E85587" w:rsidRDefault="00E85587">
      <w:pPr>
        <w:snapToGrid w:val="0"/>
        <w:spacing w:line="360" w:lineRule="auto"/>
        <w:jc w:val="center"/>
        <w:rPr>
          <w:rFonts w:ascii="宋体" w:hAnsi="宋体"/>
          <w:b/>
          <w:sz w:val="30"/>
          <w:szCs w:val="30"/>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346AE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E85587" w:rsidRDefault="00346AE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基金托管人：中国光大银行股份有限公司</w:t>
      </w: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E8558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85587" w:rsidRDefault="00346AE7">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E85587" w:rsidRDefault="00E85587">
      <w:pPr>
        <w:autoSpaceDE w:val="0"/>
        <w:autoSpaceDN w:val="0"/>
        <w:adjustRightInd w:val="0"/>
        <w:snapToGrid w:val="0"/>
        <w:spacing w:line="360" w:lineRule="auto"/>
        <w:ind w:left="1347" w:rightChars="6" w:right="13"/>
        <w:rPr>
          <w:rFonts w:ascii="宋体" w:hAnsi="宋体"/>
          <w:kern w:val="0"/>
          <w:sz w:val="32"/>
          <w:szCs w:val="32"/>
        </w:rPr>
        <w:sectPr w:rsidR="00E8558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E85587" w:rsidRDefault="00346AE7">
      <w:pPr>
        <w:pStyle w:val="1"/>
        <w:snapToGrid w:val="0"/>
        <w:spacing w:beforeLines="0" w:before="240" w:after="240"/>
        <w:rPr>
          <w:rFonts w:ascii="宋体" w:hAnsi="宋体"/>
          <w:kern w:val="0"/>
        </w:rPr>
      </w:pPr>
      <w:bookmarkStart w:id="0" w:name="_Toc324920538"/>
      <w:bookmarkStart w:id="1" w:name="_Toc496884613"/>
      <w:bookmarkStart w:id="2" w:name="_Toc237437880"/>
      <w:r>
        <w:rPr>
          <w:rFonts w:ascii="Times New Roman" w:hAnsi="Times New Roman"/>
          <w:kern w:val="0"/>
        </w:rPr>
        <w:lastRenderedPageBreak/>
        <w:t>重要提示</w:t>
      </w:r>
      <w:bookmarkEnd w:id="0"/>
      <w:bookmarkEnd w:id="1"/>
      <w:bookmarkEnd w:id="2"/>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）由交银施罗德智选星光一年封闭运作混合型基金中基金（</w:t>
      </w:r>
      <w:r>
        <w:rPr>
          <w:rFonts w:ascii="Times New Roman" w:hAnsi="Times New Roman"/>
          <w:kern w:val="0"/>
          <w:sz w:val="24"/>
        </w:rPr>
        <w:t>FOF-LOF</w:t>
      </w:r>
      <w:r>
        <w:rPr>
          <w:rFonts w:ascii="Times New Roman" w:hAnsi="Times New Roman"/>
          <w:kern w:val="0"/>
          <w:sz w:val="24"/>
        </w:rPr>
        <w:t>）封闭期届满后更名而来。交银施罗德智选星光一年封闭运作混合型基金中基金（</w:t>
      </w:r>
      <w:r>
        <w:rPr>
          <w:rFonts w:ascii="Times New Roman" w:hAnsi="Times New Roman"/>
          <w:kern w:val="0"/>
          <w:sz w:val="24"/>
        </w:rPr>
        <w:t>FOF-LOF</w:t>
      </w:r>
      <w:r>
        <w:rPr>
          <w:rFonts w:ascii="Times New Roman" w:hAnsi="Times New Roman"/>
          <w:kern w:val="0"/>
          <w:sz w:val="24"/>
        </w:rPr>
        <w:t>）（以下与交银施罗德智选星光混合型基金中基金（</w:t>
      </w:r>
      <w:r>
        <w:rPr>
          <w:rFonts w:ascii="Times New Roman" w:hAnsi="Times New Roman"/>
          <w:kern w:val="0"/>
          <w:sz w:val="24"/>
        </w:rPr>
        <w:t>FOF-LOF</w:t>
      </w:r>
      <w:r>
        <w:rPr>
          <w:rFonts w:ascii="Times New Roman" w:hAnsi="Times New Roman"/>
          <w:kern w:val="0"/>
          <w:sz w:val="24"/>
        </w:rPr>
        <w:t>）简称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3049</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日正式生效。</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提前终止的风险；基金上市交易的风险；基金份额二级市场交易价格折溢价的风险；退市风险；投资本基金特有的其他风险等等。本基金为混合型基金中基金，其预期风险与预期收益高于债券型基金、债券型基金中基金、货币市场基金和货币型基金中基金，低于股票型基金和股票型基金中基金。</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基金合同生效后，前一年封闭运作，在封闭期内，本基金不办理申购、赎回业务，但投资人可在本基金</w:t>
      </w:r>
      <w:r>
        <w:rPr>
          <w:rFonts w:ascii="Times New Roman" w:hAnsi="Times New Roman"/>
          <w:kern w:val="0"/>
          <w:sz w:val="24"/>
        </w:rPr>
        <w:t>A</w:t>
      </w:r>
      <w:r>
        <w:rPr>
          <w:rFonts w:ascii="Times New Roman" w:hAnsi="Times New Roman"/>
          <w:kern w:val="0"/>
          <w:sz w:val="24"/>
        </w:rPr>
        <w:t>类基金份额上市交易后通过上海证券交易所转让</w:t>
      </w:r>
      <w:r>
        <w:rPr>
          <w:rFonts w:ascii="Times New Roman" w:hAnsi="Times New Roman"/>
          <w:kern w:val="0"/>
          <w:sz w:val="24"/>
        </w:rPr>
        <w:t>A</w:t>
      </w:r>
      <w:r>
        <w:rPr>
          <w:rFonts w:ascii="Times New Roman" w:hAnsi="Times New Roman"/>
          <w:kern w:val="0"/>
          <w:sz w:val="24"/>
        </w:rPr>
        <w:t>类基金份额。本基金封闭期结束转为开放式运作后，投资人方可进行</w:t>
      </w:r>
      <w:r>
        <w:rPr>
          <w:rFonts w:ascii="Times New Roman" w:hAnsi="Times New Roman"/>
          <w:kern w:val="0"/>
          <w:sz w:val="24"/>
        </w:rPr>
        <w:t>A</w:t>
      </w:r>
      <w:r>
        <w:rPr>
          <w:rFonts w:ascii="Times New Roman" w:hAnsi="Times New Roman"/>
          <w:kern w:val="0"/>
          <w:sz w:val="24"/>
        </w:rPr>
        <w:t>类</w:t>
      </w:r>
      <w:r>
        <w:rPr>
          <w:rFonts w:ascii="Times New Roman" w:hAnsi="Times New Roman"/>
          <w:kern w:val="0"/>
          <w:sz w:val="24"/>
        </w:rPr>
        <w:t>/C</w:t>
      </w:r>
      <w:r>
        <w:rPr>
          <w:rFonts w:ascii="Times New Roman" w:hAnsi="Times New Roman"/>
          <w:kern w:val="0"/>
          <w:sz w:val="24"/>
        </w:rPr>
        <w:t>类基金份额的申购与赎回。投资者将面临封闭期内无法赎回基金份额的风险。</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根据基金合同的约定，基金合同生效后，前一年封闭运作，在封闭期内，本基金不办理申购、赎回业务，但投资人可在本基金上市交易后通过上海证券交易所转让基金份额。封闭期届满后，本基金转为上市开放式基金中基金，基金名称相应变更为</w:t>
      </w:r>
      <w:r>
        <w:rPr>
          <w:rFonts w:ascii="Times New Roman" w:hAnsi="Times New Roman"/>
          <w:kern w:val="0"/>
          <w:sz w:val="24"/>
        </w:rPr>
        <w:t>“</w:t>
      </w: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，可办理场</w:t>
      </w:r>
      <w:r>
        <w:rPr>
          <w:rFonts w:ascii="Times New Roman" w:hAnsi="Times New Roman"/>
          <w:kern w:val="0"/>
          <w:sz w:val="24"/>
        </w:rPr>
        <w:lastRenderedPageBreak/>
        <w:t>外、场内申购赎回，并继续在上海证券交易所上市交易。但若本基金在封闭期内出现上海证券交易所相关业务规则规定的因不再具备上市条件而应当终止上市的情形，则本基金封闭期届满后将转为非上市的开放式基金中基金。</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交银施罗德智选星光一年封闭运作混合型基金中基金（</w:t>
      </w:r>
      <w:r>
        <w:rPr>
          <w:rFonts w:ascii="Times New Roman" w:hAnsi="Times New Roman"/>
          <w:kern w:val="0"/>
          <w:sz w:val="24"/>
        </w:rPr>
        <w:t>FOF-LOF</w:t>
      </w:r>
      <w:r>
        <w:rPr>
          <w:rFonts w:ascii="Times New Roman" w:hAnsi="Times New Roman"/>
          <w:kern w:val="0"/>
          <w:sz w:val="24"/>
        </w:rPr>
        <w:t>）的封闭期自</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日起至</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日止。自</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日起，本基金的基金名称变更为</w:t>
      </w:r>
      <w:r>
        <w:rPr>
          <w:rFonts w:ascii="Times New Roman" w:hAnsi="Times New Roman"/>
          <w:kern w:val="0"/>
          <w:sz w:val="24"/>
        </w:rPr>
        <w:t>“</w:t>
      </w:r>
      <w:r>
        <w:rPr>
          <w:rFonts w:ascii="Times New Roman" w:hAnsi="Times New Roman"/>
          <w:kern w:val="0"/>
          <w:sz w:val="24"/>
        </w:rPr>
        <w:t>交银施罗德智选星光混合型基金中基金（</w:t>
      </w:r>
      <w:r>
        <w:rPr>
          <w:rFonts w:ascii="Times New Roman" w:hAnsi="Times New Roman"/>
          <w:kern w:val="0"/>
          <w:sz w:val="24"/>
        </w:rPr>
        <w:t>FOF-LOF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，并适用《基金合同》中关于封闭期届满后运作的有关规定。</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E85587" w:rsidRDefault="00346AE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E85587" w:rsidRDefault="00E85587">
      <w:pPr>
        <w:autoSpaceDE w:val="0"/>
        <w:autoSpaceDN w:val="0"/>
        <w:adjustRightInd w:val="0"/>
        <w:snapToGrid w:val="0"/>
        <w:spacing w:before="51" w:line="360" w:lineRule="auto"/>
        <w:ind w:left="120" w:rightChars="6" w:right="13" w:firstLine="480"/>
        <w:rPr>
          <w:rFonts w:ascii="宋体" w:hAnsi="宋体"/>
          <w:kern w:val="0"/>
          <w:szCs w:val="24"/>
        </w:rPr>
        <w:sectPr w:rsidR="00E85587">
          <w:headerReference w:type="default" r:id="rId14"/>
          <w:pgSz w:w="11920" w:h="16840"/>
          <w:pgMar w:top="1440" w:right="1680" w:bottom="280" w:left="1680" w:header="0" w:footer="1073" w:gutter="0"/>
          <w:pgNumType w:start="1"/>
          <w:cols w:space="720"/>
        </w:sectPr>
      </w:pPr>
    </w:p>
    <w:p w:rsidR="005A792D" w:rsidRPr="005A792D" w:rsidRDefault="00346AE7" w:rsidP="005A792D">
      <w:pPr>
        <w:pStyle w:val="ad"/>
        <w:snapToGrid w:val="0"/>
        <w:spacing w:after="240" w:line="360" w:lineRule="auto"/>
        <w:jc w:val="center"/>
        <w:rPr>
          <w:rFonts w:ascii="宋体" w:hAnsi="宋体"/>
          <w:noProof/>
          <w:sz w:val="24"/>
        </w:rPr>
      </w:pPr>
      <w:r w:rsidRPr="005A792D">
        <w:rPr>
          <w:rFonts w:ascii="宋体" w:hAnsi="宋体"/>
          <w:color w:val="000000"/>
          <w:position w:val="-4"/>
          <w:sz w:val="24"/>
          <w:szCs w:val="30"/>
        </w:rPr>
        <w:lastRenderedPageBreak/>
        <w:t>目</w:t>
      </w:r>
      <w:r w:rsidRPr="005A792D">
        <w:rPr>
          <w:rFonts w:ascii="宋体" w:hAnsi="宋体"/>
          <w:color w:val="000000"/>
          <w:position w:val="-4"/>
          <w:sz w:val="24"/>
          <w:szCs w:val="30"/>
        </w:rPr>
        <w:tab/>
        <w:t>录</w:t>
      </w:r>
      <w:r w:rsidR="005A792D" w:rsidRPr="005A792D">
        <w:rPr>
          <w:rFonts w:ascii="宋体" w:hAnsi="宋体"/>
          <w:color w:val="000000"/>
          <w:position w:val="-4"/>
          <w:sz w:val="24"/>
          <w:szCs w:val="30"/>
        </w:rPr>
        <w:fldChar w:fldCharType="begin"/>
      </w:r>
      <w:r w:rsidR="005A792D" w:rsidRPr="005A792D">
        <w:rPr>
          <w:rFonts w:ascii="宋体" w:hAnsi="宋体"/>
          <w:color w:val="000000"/>
          <w:position w:val="-4"/>
          <w:sz w:val="24"/>
          <w:szCs w:val="30"/>
        </w:rPr>
        <w:instrText xml:space="preserve"> TOC \o "1-3" \f - \h \t "-1" </w:instrText>
      </w:r>
      <w:r w:rsidR="005A792D" w:rsidRPr="005A792D">
        <w:rPr>
          <w:rFonts w:ascii="宋体" w:hAnsi="宋体"/>
          <w:color w:val="000000"/>
          <w:position w:val="-4"/>
          <w:sz w:val="24"/>
          <w:szCs w:val="30"/>
        </w:rPr>
        <w:fldChar w:fldCharType="separate"/>
      </w:r>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0" w:history="1">
        <w:r w:rsidRPr="005A792D">
          <w:rPr>
            <w:rStyle w:val="aa"/>
            <w:rFonts w:ascii="宋体" w:hAnsi="宋体" w:hint="eastAsia"/>
            <w:noProof/>
            <w:kern w:val="0"/>
            <w:sz w:val="24"/>
          </w:rPr>
          <w:t>重要提示</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_Toc237437880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1" w:history="1">
        <w:r w:rsidRPr="005A792D">
          <w:rPr>
            <w:rStyle w:val="aa"/>
            <w:rFonts w:ascii="宋体" w:hAnsi="宋体" w:hint="eastAsia"/>
            <w:noProof/>
            <w:sz w:val="24"/>
          </w:rPr>
          <w:t>一、绪言</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_Toc237437881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5</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2" w:history="1">
        <w:r w:rsidRPr="005A792D">
          <w:rPr>
            <w:rStyle w:val="aa"/>
            <w:rFonts w:ascii="宋体" w:hAnsi="宋体" w:hint="eastAsia"/>
            <w:noProof/>
            <w:sz w:val="24"/>
          </w:rPr>
          <w:t>二、释义</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_Toc237437882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6</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3" w:history="1">
        <w:r w:rsidRPr="005A792D">
          <w:rPr>
            <w:rStyle w:val="aa"/>
            <w:rFonts w:ascii="宋体" w:hAnsi="宋体" w:hint="eastAsia"/>
            <w:noProof/>
            <w:sz w:val="24"/>
          </w:rPr>
          <w:t>三、基金管理人</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_Toc237437883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13</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4" w:history="1">
        <w:r w:rsidRPr="005A792D">
          <w:rPr>
            <w:rStyle w:val="aa"/>
            <w:rFonts w:ascii="宋体" w:hAnsi="宋体" w:hint="eastAsia"/>
            <w:noProof/>
            <w:sz w:val="24"/>
          </w:rPr>
          <w:t>四、基金托管人</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_Toc237437884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20</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5" w:history="1">
        <w:r w:rsidRPr="005A792D">
          <w:rPr>
            <w:rStyle w:val="aa"/>
            <w:rFonts w:ascii="宋体" w:hAnsi="宋体" w:hint="eastAsia"/>
            <w:noProof/>
            <w:sz w:val="24"/>
          </w:rPr>
          <w:t>五、相关服务机构</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_Toc237437885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23</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6" w:history="1">
        <w:r w:rsidRPr="005A792D">
          <w:rPr>
            <w:rStyle w:val="aa"/>
            <w:rFonts w:ascii="宋体" w:hAnsi="宋体" w:hint="eastAsia"/>
            <w:noProof/>
            <w:sz w:val="24"/>
          </w:rPr>
          <w:t>六、基金的募集</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_Toc237437886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51</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7" w:history="1">
        <w:r w:rsidRPr="005A792D">
          <w:rPr>
            <w:rStyle w:val="aa"/>
            <w:rFonts w:ascii="宋体" w:hAnsi="宋体" w:hint="eastAsia"/>
            <w:noProof/>
            <w:sz w:val="24"/>
          </w:rPr>
          <w:t>七、基金合同的生效</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_Toc237437887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52</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8" w:history="1">
        <w:r w:rsidRPr="005A792D">
          <w:rPr>
            <w:rStyle w:val="aa"/>
            <w:rFonts w:ascii="宋体" w:hAnsi="宋体" w:hint="eastAsia"/>
            <w:noProof/>
            <w:sz w:val="24"/>
          </w:rPr>
          <w:t>八、基金份额的上市交易</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_Toc237437888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53</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89" w:history="1">
        <w:r w:rsidRPr="005A792D">
          <w:rPr>
            <w:rStyle w:val="aa"/>
            <w:rFonts w:ascii="宋体" w:hAnsi="宋体" w:hint="eastAsia"/>
            <w:noProof/>
            <w:sz w:val="24"/>
          </w:rPr>
          <w:t>九、基金份额的申购与赎回</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_Toc237437889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55</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0" w:history="1">
        <w:r w:rsidRPr="005A792D">
          <w:rPr>
            <w:rStyle w:val="aa"/>
            <w:rFonts w:ascii="宋体" w:hAnsi="宋体" w:hint="eastAsia"/>
            <w:noProof/>
            <w:sz w:val="24"/>
          </w:rPr>
          <w:t>十、基金的投资</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_Toc237437890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71</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1" w:history="1">
        <w:r w:rsidRPr="005A792D">
          <w:rPr>
            <w:rStyle w:val="aa"/>
            <w:rFonts w:ascii="宋体" w:hAnsi="宋体" w:hint="eastAsia"/>
            <w:noProof/>
            <w:sz w:val="24"/>
          </w:rPr>
          <w:t>十一、基金的业绩</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_Toc237437891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83</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2" w:history="1">
        <w:r w:rsidRPr="005A792D">
          <w:rPr>
            <w:rStyle w:val="aa"/>
            <w:rFonts w:ascii="宋体" w:hAnsi="宋体" w:hint="eastAsia"/>
            <w:noProof/>
            <w:sz w:val="24"/>
          </w:rPr>
          <w:t>十二、基金的财产</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_Toc237437892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86</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3" w:history="1">
        <w:r w:rsidRPr="005A792D">
          <w:rPr>
            <w:rStyle w:val="aa"/>
            <w:rFonts w:ascii="宋体" w:hAnsi="宋体" w:hint="eastAsia"/>
            <w:noProof/>
            <w:sz w:val="24"/>
          </w:rPr>
          <w:t>十三、基金资产的估值</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_Toc237437893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87</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4" w:history="1">
        <w:r w:rsidRPr="005A792D">
          <w:rPr>
            <w:rStyle w:val="aa"/>
            <w:rFonts w:ascii="宋体" w:hAnsi="宋体" w:hint="eastAsia"/>
            <w:noProof/>
            <w:sz w:val="24"/>
          </w:rPr>
          <w:t>十四、基金收益与分配</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_Toc237437894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94</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5" w:history="1">
        <w:r w:rsidRPr="005A792D">
          <w:rPr>
            <w:rStyle w:val="aa"/>
            <w:rFonts w:ascii="宋体" w:hAnsi="宋体" w:hint="eastAsia"/>
            <w:noProof/>
            <w:sz w:val="24"/>
          </w:rPr>
          <w:t>十五、基金的费用与税收</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_Toc237437895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96</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6" w:history="1">
        <w:r w:rsidRPr="005A792D">
          <w:rPr>
            <w:rStyle w:val="aa"/>
            <w:rFonts w:ascii="宋体" w:hAnsi="宋体" w:hint="eastAsia"/>
            <w:noProof/>
            <w:sz w:val="24"/>
          </w:rPr>
          <w:t>十六、基金的会计与审计</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_Toc237437896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99</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7" w:history="1">
        <w:r w:rsidRPr="005A792D">
          <w:rPr>
            <w:rStyle w:val="aa"/>
            <w:rFonts w:ascii="宋体" w:hAnsi="宋体" w:hint="eastAsia"/>
            <w:noProof/>
            <w:sz w:val="24"/>
          </w:rPr>
          <w:t>十七、基金的信息披露</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_Toc237437897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100</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8" w:history="1">
        <w:r w:rsidRPr="005A792D">
          <w:rPr>
            <w:rStyle w:val="aa"/>
            <w:rFonts w:ascii="宋体" w:hAnsi="宋体" w:hint="eastAsia"/>
            <w:noProof/>
            <w:sz w:val="24"/>
          </w:rPr>
          <w:t>十八、侧袋机制</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_Toc237437898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107</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899" w:history="1">
        <w:r w:rsidRPr="005A792D">
          <w:rPr>
            <w:rStyle w:val="aa"/>
            <w:rFonts w:ascii="宋体" w:hAnsi="宋体" w:hint="eastAsia"/>
            <w:noProof/>
            <w:sz w:val="24"/>
          </w:rPr>
          <w:t>十九、风险揭示</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_Toc237437899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110</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0" w:history="1">
        <w:r w:rsidRPr="005A792D">
          <w:rPr>
            <w:rStyle w:val="aa"/>
            <w:rFonts w:ascii="宋体" w:hAnsi="宋体" w:hint="eastAsia"/>
            <w:noProof/>
            <w:sz w:val="24"/>
          </w:rPr>
          <w:t>二十、基金合同的变更、终止与基金财产的清算</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_Toc237437900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121</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1" w:history="1">
        <w:r w:rsidRPr="005A792D">
          <w:rPr>
            <w:rStyle w:val="aa"/>
            <w:rFonts w:ascii="宋体" w:hAnsi="宋体" w:hint="eastAsia"/>
            <w:noProof/>
            <w:sz w:val="24"/>
          </w:rPr>
          <w:t>二十一、基金合同内容摘要</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_Toc237437901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123</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2" w:history="1">
        <w:r w:rsidRPr="005A792D">
          <w:rPr>
            <w:rStyle w:val="aa"/>
            <w:rFonts w:ascii="宋体" w:hAnsi="宋体" w:hint="eastAsia"/>
            <w:noProof/>
            <w:sz w:val="24"/>
          </w:rPr>
          <w:t>二十二、托管协议的内容摘要</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_Toc237437902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140</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3" w:history="1">
        <w:r w:rsidRPr="005A792D">
          <w:rPr>
            <w:rStyle w:val="aa"/>
            <w:rFonts w:ascii="宋体" w:hAnsi="宋体" w:hint="eastAsia"/>
            <w:noProof/>
            <w:sz w:val="24"/>
          </w:rPr>
          <w:t>二十三、对基金份额持有人的服务</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_Toc237437903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154</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4" w:history="1">
        <w:r w:rsidRPr="005A792D">
          <w:rPr>
            <w:rStyle w:val="aa"/>
            <w:rFonts w:ascii="宋体" w:hAnsi="宋体" w:hint="eastAsia"/>
            <w:noProof/>
            <w:sz w:val="24"/>
          </w:rPr>
          <w:t>二十四、其他应披露事项</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_Toc237437904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156</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5" w:history="1">
        <w:r w:rsidRPr="005A792D">
          <w:rPr>
            <w:rStyle w:val="aa"/>
            <w:rFonts w:ascii="宋体" w:hAnsi="宋体" w:hint="eastAsia"/>
            <w:noProof/>
            <w:sz w:val="24"/>
          </w:rPr>
          <w:t>二十五、招募说明书的存放及查阅方式</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_Toc237437905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158</w:t>
        </w:r>
        <w:r w:rsidRPr="005A792D">
          <w:rPr>
            <w:rFonts w:ascii="宋体" w:hAnsi="宋体"/>
            <w:noProof/>
            <w:sz w:val="24"/>
          </w:rPr>
          <w:fldChar w:fldCharType="end"/>
        </w:r>
      </w:hyperlink>
    </w:p>
    <w:p w:rsidR="005A792D" w:rsidRPr="005A792D" w:rsidRDefault="005A792D" w:rsidP="005A792D">
      <w:pPr>
        <w:pStyle w:val="10"/>
        <w:tabs>
          <w:tab w:val="right" w:leader="dot" w:pos="8550"/>
        </w:tabs>
        <w:spacing w:line="360" w:lineRule="auto"/>
        <w:rPr>
          <w:rFonts w:ascii="宋体" w:hAnsi="宋体" w:cstheme="minorBidi"/>
          <w:noProof/>
          <w:sz w:val="24"/>
        </w:rPr>
      </w:pPr>
      <w:hyperlink w:anchor="_Toc237437906" w:history="1">
        <w:r w:rsidRPr="005A792D">
          <w:rPr>
            <w:rStyle w:val="aa"/>
            <w:rFonts w:ascii="宋体" w:hAnsi="宋体" w:hint="eastAsia"/>
            <w:noProof/>
            <w:sz w:val="24"/>
          </w:rPr>
          <w:t>二十六、备查文件</w:t>
        </w:r>
        <w:r w:rsidRPr="005A792D">
          <w:rPr>
            <w:rFonts w:ascii="宋体" w:hAnsi="宋体"/>
            <w:noProof/>
            <w:sz w:val="24"/>
          </w:rPr>
          <w:tab/>
        </w:r>
        <w:r w:rsidRPr="005A792D">
          <w:rPr>
            <w:rFonts w:ascii="宋体" w:hAnsi="宋体"/>
            <w:noProof/>
            <w:sz w:val="24"/>
          </w:rPr>
          <w:fldChar w:fldCharType="begin"/>
        </w:r>
        <w:r w:rsidRPr="005A792D">
          <w:rPr>
            <w:rFonts w:ascii="宋体" w:hAnsi="宋体"/>
            <w:noProof/>
            <w:sz w:val="24"/>
          </w:rPr>
          <w:instrText xml:space="preserve"> PAGEREF _Toc237437906 \h </w:instrText>
        </w:r>
        <w:r w:rsidRPr="005A792D">
          <w:rPr>
            <w:rFonts w:ascii="宋体" w:hAnsi="宋体"/>
            <w:noProof/>
            <w:sz w:val="24"/>
          </w:rPr>
        </w:r>
        <w:r w:rsidRPr="005A792D">
          <w:rPr>
            <w:rFonts w:ascii="宋体" w:hAnsi="宋体"/>
            <w:noProof/>
            <w:sz w:val="24"/>
          </w:rPr>
          <w:fldChar w:fldCharType="separate"/>
        </w:r>
        <w:r w:rsidRPr="005A792D">
          <w:rPr>
            <w:rFonts w:ascii="宋体" w:hAnsi="宋体"/>
            <w:noProof/>
            <w:sz w:val="24"/>
          </w:rPr>
          <w:t>159</w:t>
        </w:r>
        <w:r w:rsidRPr="005A792D">
          <w:rPr>
            <w:rFonts w:ascii="宋体" w:hAnsi="宋体"/>
            <w:noProof/>
            <w:sz w:val="24"/>
          </w:rPr>
          <w:fldChar w:fldCharType="end"/>
        </w:r>
      </w:hyperlink>
    </w:p>
    <w:p w:rsidR="00E85587" w:rsidRPr="005A792D" w:rsidRDefault="005A792D" w:rsidP="005A792D">
      <w:pPr>
        <w:pStyle w:val="ad"/>
        <w:snapToGrid w:val="0"/>
        <w:spacing w:after="240" w:line="360" w:lineRule="auto"/>
        <w:jc w:val="center"/>
        <w:rPr>
          <w:rFonts w:ascii="宋体" w:hAnsi="宋体"/>
          <w:color w:val="000000"/>
          <w:sz w:val="24"/>
        </w:rPr>
      </w:pPr>
      <w:r w:rsidRPr="005A792D">
        <w:rPr>
          <w:rFonts w:ascii="宋体" w:hAnsi="宋体"/>
          <w:color w:val="000000"/>
          <w:position w:val="-4"/>
          <w:sz w:val="24"/>
          <w:szCs w:val="30"/>
        </w:rPr>
        <w:fldChar w:fldCharType="end"/>
      </w:r>
      <w:bookmarkStart w:id="3" w:name="_GoBack"/>
      <w:bookmarkEnd w:id="3"/>
    </w:p>
    <w:p w:rsidR="00E85587" w:rsidRDefault="00E85587">
      <w:pPr>
        <w:autoSpaceDE w:val="0"/>
        <w:autoSpaceDN w:val="0"/>
        <w:adjustRightInd w:val="0"/>
        <w:snapToGrid w:val="0"/>
        <w:spacing w:line="360" w:lineRule="auto"/>
        <w:ind w:left="120" w:rightChars="6" w:right="13"/>
        <w:rPr>
          <w:rFonts w:ascii="宋体" w:hAnsi="宋体"/>
          <w:kern w:val="0"/>
          <w:szCs w:val="24"/>
        </w:rPr>
        <w:sectPr w:rsidR="00E85587">
          <w:pgSz w:w="11920" w:h="16840"/>
          <w:pgMar w:top="1480" w:right="1680" w:bottom="280" w:left="1680" w:header="0" w:footer="1073" w:gutter="0"/>
          <w:cols w:space="720"/>
        </w:sectPr>
      </w:pPr>
    </w:p>
    <w:p w:rsidR="00E85587" w:rsidRDefault="00346AE7">
      <w:pPr>
        <w:pStyle w:val="1"/>
        <w:snapToGrid w:val="0"/>
        <w:spacing w:beforeLines="0" w:before="240" w:after="240"/>
        <w:rPr>
          <w:rFonts w:ascii="宋体" w:hAnsi="宋体"/>
          <w:szCs w:val="30"/>
        </w:rPr>
      </w:pPr>
      <w:bookmarkStart w:id="4" w:name="_Toc237437881"/>
      <w:r>
        <w:rPr>
          <w:rFonts w:ascii="Times New Roman" w:hAnsi="Times New Roman"/>
          <w:sz w:val="30"/>
        </w:rPr>
        <w:lastRenderedPageBreak/>
        <w:t>一、绪言</w:t>
      </w:r>
      <w:bookmarkEnd w:id="4"/>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智选星光混合型基金中基金（FOF-L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智选星光混合型基金中基金（FOF-LOF）基金合同》（以下简称“基金合同”）编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5" w:name="_Toc237437882"/>
      <w:r>
        <w:rPr>
          <w:rFonts w:ascii="Times New Roman" w:hAnsi="Times New Roman"/>
          <w:sz w:val="30"/>
        </w:rPr>
        <w:lastRenderedPageBreak/>
        <w:t>二、释义</w:t>
      </w:r>
      <w:bookmarkEnd w:id="5"/>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智选星光一年封闭运作混合型基金中基金（FOF-LOF）或交银施罗德智选星光混合型基金中基金（FOF-LOF），交银施罗德智选星光混合型基金中基金（FOF-LOF）由交银施罗德智选星光一年封闭运作混合型基金中基金（FOF-LOF）封闭期届满后更名而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3、基金托管人：指中国光大银行股份有限公司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智选星光一年封闭运作混合型基金中基金（FOF-LOF）基金合同》及对基金合同的任何有效修订和补充；基金更名后，基金合同相应修订为《交银施罗德智选星光混合型基金中基金（FOF-LOF）基金合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智选星光一年封闭运作混合型基金中基金（FOF-LOF）托管协议》及对该托管协议的任何有效修订和补充；基金更名后，托管协议相应修订为《交银施罗德智选星光混合型基金中基金（FOF-LOF）托管协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智选星光一年封闭运作混合型基金中基金（FOF-LOF）招募说明书》及其更新；基金更名后，招募说明书相应修订为《交银施罗德智选星光混合型基金中基金（FOF-LOF）招募说明书》及其更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智选星光一年封闭运作混合型基金中基金（FOF-LOF）基金产品资料概要》及其更新；基金更名后，基金产品资料概要相应修订为《交银施罗德智选星光混合型基金中基金（FOF-LOF）基金产品资料概要》及其更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8、基金份额发售公告：指《交银施罗德智选星光一年封闭运作混合型基金中基金（FOF-LOF）基金份额发售公告》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9、上市交易公告书：指《交银施罗德智选星光一年封闭运作混合型基金中基金（FOF-LOF）上市交易公告书》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10、法律法规：指中国现行有效并公布实施的法律、行政法规、规范性文件、</w:t>
      </w:r>
      <w:r>
        <w:rPr>
          <w:rFonts w:ascii="宋体" w:hAnsi="宋体"/>
          <w:sz w:val="24"/>
        </w:rPr>
        <w:lastRenderedPageBreak/>
        <w:t>司法解释、行政规章以及其他对基金合同当事人有约束力的决定、决议、通知等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11、《基金法》：指《中华人民共和国证券投资基金法》及颁布机关对其不时做出的修订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12、《销售办法》：指《公开募集证券投资基金销售机构监督管理办法》及颁布机关对其不时做出的修订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13、《信息披露办法》：指《公开募集证券投资基金信息披露管理办法》及颁布机关对其不时做出的修订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14、《运作办法》：指《公开募集证券投资基金运作管理办法》及颁布机关对其不时做出的修订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15、《流动性风险管理规定》：指《公开募集开放式证券投资基金流动性风险管理规定》及颁布机关对其不时做出的修订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22、投资人、投资者：指个人投资者、机构投资者、合格境外投资者以及法律法规或中国证监会允许购买证券投资基金的其他投资人的合称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证监会规定的其他条件，取得基金销售业务资格并与基金管理人签订了基金销售服务协议，办理基金销售业务的机构以及可通过上海证券交易所交易系统办理基金销售业务的会员单位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26、会员单位：指上海证券交易所会员单位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场外：指不通过上海证券交易所交易系统，而通过直销机构和其他场外销售机构的柜台系统或其他交易系统办理基金份额认购、申购和赎回等业务的场所。通过该等场所办理基金份额的认购、申购和赎回也称为场外认购、场外申购和场外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场内：指通过上海证券交易所内具有相应业务资格的会员单位利用上海证券交易所交易系统办理基金份额认购、申购、赎回和上市交易等业务的场所。通过该等场所办理基金份额的认购、申购和赎回也称为场内认购、场内申购和场内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29、注册登记系统：指中国证券登记结算有限责任公司开放式基金登记结算系统，通过场外认购、申购的基金份额登记在注册登记系统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30、证券登记结算系统：指中国证券登记结算有限责任公司上海分公司证券登记结算系统，通过场内认购、申购的基金份额或买入的基金份额登记在证券登记结算系统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31、场外份额：指登记在注册登记系统下的基金份额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32、场内份额：指登记在证券登记结算系统下的基金份额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登记业务：指基金登记、存管、过户、清算和结算业务，具体内容包括投资人开放式基金账户和/或上海证券账户的建立和管理、基金份额登记、基金销售业务的确认、清算和结算、代理发放红利、建立并保管基金份额持有人名册和办理非交易过户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34、登记机构：指办理登记业务的机构。基金的登记机构为交银施罗德基金管理有限公司或接受交银施罗德基金管理有限公司委托代为办理登记业务的机构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36、上海证券账户：指在中国证券登记结算有限责任公司上海分公司开设的上海证券交易所人民币普通股票账户或证券投资基金账户。基金投资者通过上海证券</w:t>
      </w:r>
      <w:r>
        <w:rPr>
          <w:rFonts w:ascii="宋体" w:hAnsi="宋体"/>
          <w:sz w:val="24"/>
        </w:rPr>
        <w:lastRenderedPageBreak/>
        <w:t>交易所交易系统办理基金交易、场内认购、场内申购和场内赎回等业务时需持有上海证券账户，记录在该账户下的基金份额登记在登记机构的证券登记结算系统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37、基金交易账户：指销售机构为投资人开立的、记录投资人通过该销售机构办理认购、申购、赎回、转换及转托管等业务而引起的基金份额变动及结余情况的账户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38、基金合同生效日：指基金募集达到法律法规规定及基金合同规定的条件，基金管理人向中国证监会办理基金备案手续完毕，并获得中国证监会书面确认的日期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39、基金合同终止日：指基金合同规定的基金合同终止事由出现后，基金财产清算完毕，清算结果报中国证监会备案并予以公告的日期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40、基金募集期：指自基金份额发售之日起至发售结束之日止的期间，最长不得超过3个月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41、存续期：指基金合同生效至终止之间的不定期期限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42、工作日：指上海证券交易所、深圳证券交易所的正常交易日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43、T日：指销售机构在规定时间受理投资人申购、赎回或其他业务申请的开放日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44、T+n日：指自T日起第n个工作日（不包含T日）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45、开放日：指本基金封闭期结束转为开放式运作后，为投资人办理基金份额申购、赎回或其他业务的工作日（若该工作日为非港股通交易日，则本基金可不开放）</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封闭期：本基金封闭期为一年（含一年），自基金合同生效之日起至一年后对应日前一日（含该日）止，若该日历年度中不存在对应日期的，则该对应日为该特定日期所在月度的最后一日。如该对应日为非工作日的，则顺延至下一个工作日。在封闭期内，本基金不办理申购、赎回业务，但投资人可在本基金上市交易后通过上海证券交易所转让基金份额。封闭期届满后，本基金转为上市开放式基金中基金，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中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47、开放时间：指开放日基金接受申购、赎回或其他交易的时间段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48、《业务规则》：指本基金管理人、上海证券交易所、中国证券登记结算有限</w:t>
      </w:r>
      <w:r>
        <w:rPr>
          <w:rFonts w:ascii="宋体" w:hAnsi="宋体"/>
          <w:sz w:val="24"/>
        </w:rPr>
        <w:lastRenderedPageBreak/>
        <w:t>责任公司及其他销售机构的相关业务规则及其不时做出的修订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49、认购：指在基金募集期内，投资人根据基金合同和招募说明书的规定申请购买基金份额的行为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50、申购：指本基金封闭期结束转为开放式运作后，投资人根据基金合同和招募说明书的规定申请购买基金份额的行为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51、赎回：指本基金封闭期结束转为开放式运作后，基金份额持有人按基金合同和招募说明书规定的条件要求将基金份额兑换为现金的行为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转换：指基金份额持有人封闭期结束、转为开放式运作后按照基金合同和基金管理人届时有效公告规定的条件，申请将其持有基金管理人管理的、某一基金的基金份额转换为基金管理人管理的其他基金基金份额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53、转托管：指基金份额持有人在本基金的不同销售机构之间实施的变更所持基金份额销售机构的操作，包括系统内转托管和跨系统转托管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54、系统内转托管：指基金份额持有人将持有的基金份额在注册登记系统内不同销售机构之间或证券登记结算系统内不同会员单位之间进行转登记的行为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55、跨系统转托管：指基金份额持有人将持有的A类基金份额在注册登记系统和证券登记结算系统间进行转登记的行为。除经基金管理人另行公告，C类基金份额不能进行跨系统转托管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巨额赎回：指本基金封闭期结束转为开放式运作后，在单个开放日，基金净赎回申请（赎回申请份额总数加上基金转换中转出申请份额总数后扣除申购申请份额总数及基金转换中转入申请份额总数后的余额）超过上一工作日基金总份额的10%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58、元：指人民币元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59、基金收益：指基金投资所得红利、股息、债券利息、买卖证券价差、银行存款利息、已实现的其他合法收入及因运用基金财产带来的成本和费用的节约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60、基金资产总值：指基金拥有的各类有价证券、证券投资基金份额、银行存款本息、基金应收款项及其他资产的价值总和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61、基金资产净值：指基金资产总值减去基金负债后的价值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62、基金份额净值：指计算日基金资产净值除以计算日基金份额总数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63、基金资产估值：指计算评估基金资产和负债的价值，以确定基金资产净值和基金份额净值的过程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64、港股通：指内地投资者委托内地证券公司，经由内地证券交易所在香港设立的证券交易服务公司，向香港联合交易所进行申报，买卖规定范围内的香港联合交易所上市的股票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65、规定媒介：指符合中国证监会规定条件的用以进行信息披露的全国性报刊及《信息披露办法》规定的互联网网站（包括基金管理人网站、基金托管人网站、中国证监会基金电子披露网站）等媒介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66、销售服务费：指从基金财产中计提的，用于本基金市场推广、销售以及基金份额持有人服务的费用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67、A类基金份额：指在投资人认购/申购时收取认购/申购费用且不从本类别基金资产中计提销售服务费的基金份额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68、C类基金份额：指在投资人认购/申购时不收取认购/申购费用，并从本类别基金资产中计提销售服务费的基金份额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72、特定资产：包括：（一）无可参考的活跃市场价格且采用估值技术仍导致公允价值存在重大不确定性的资产；（二）按摊余成本计量且计提资产减值准备仍</w:t>
      </w:r>
      <w:r>
        <w:rPr>
          <w:rFonts w:ascii="宋体" w:hAnsi="宋体"/>
          <w:sz w:val="24"/>
        </w:rPr>
        <w:lastRenderedPageBreak/>
        <w:t>导致资产价值存在重大不确定性的资产；（三）其他资产价值存在重大不确定性的资产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73、不可抗力：指基金合同当事人不能预见、不能避免且不能克服的客观事件</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6" w:name="_Toc237437883"/>
      <w:r>
        <w:rPr>
          <w:rFonts w:ascii="Times New Roman" w:hAnsi="Times New Roman"/>
          <w:sz w:val="30"/>
        </w:rPr>
        <w:lastRenderedPageBreak/>
        <w:t>三、基金管理人</w:t>
      </w:r>
      <w:bookmarkEnd w:id="6"/>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倩旖女士:基金经理。复旦大学金融学硕士、中南财经政法大学经济学学士。4年证券投资行业从业经验。2022年加入交银施罗德基金管理有限公司，历任多元资产管理部研究员，现任多资产管理部基金经理。现任交银施罗德智选进取三个月持有期混合型发起式基金中基金（FOF）(2026年07月16日至今)、交银施罗德智选星光混合型基金中基金（FOF-LOF）(2026年07月16日至今)的基金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刘兵先生(2021年11月10日至2026年08月10日)。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7" w:name="_Toc237437884"/>
      <w:r>
        <w:rPr>
          <w:rFonts w:ascii="Times New Roman" w:hAnsi="Times New Roman"/>
          <w:sz w:val="30"/>
        </w:rPr>
        <w:lastRenderedPageBreak/>
        <w:t>四、基金托管人</w:t>
      </w:r>
      <w:bookmarkEnd w:id="7"/>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（一）基本情况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住所及办公地址：北京市西城区太平桥大街25 号、甲25 号中国光大中心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注册资本：590.85551亿元人民币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法定代表人：吴利军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基金托管业务批准文号：中国证监会证监基字【2002】75号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 63636363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 63639132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董事长吴利军先生，自2020年3月起任本行副董事长、2024年1月起任本行董事长。现任中国光大集团股份公司党委书记、董事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资产托管部总经理贾光华先生，1994年7月在光大银行总行营业部参加工作，2005年10月调入同业机构部（后更名为金融同业部）后，先后任处长、总经理助</w:t>
      </w:r>
      <w:r>
        <w:rPr>
          <w:rFonts w:ascii="宋体" w:hAnsi="宋体"/>
          <w:sz w:val="24"/>
        </w:rPr>
        <w:lastRenderedPageBreak/>
        <w:t>理、副总经理、副总经理（主持工作），2018年5月任金融同业部总经理，2025年1月任资产托管部总经理。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中国光大银行股份有限公司托管公开募集证券投资基金共346只，托管基金资产规模6,427.91亿元。同时，开展了证券公司资产管理计划、基金公司客户资产管理计划、职业年金、企业年金、QDII、QFII、银行理财、保险债权投资计划等资产的托管及信托公司资金信托计划、产业投资基金、股权基金等产品的保管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（四）托管业务的内部控制制度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（1）全面性原则。内部控制必须渗透到基金托管业务的各个操作环节，覆盖所有的岗位，不留任何死角。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（2）预防性原则。树立“预防为主”的管理理念，从风险发生的源头加强内部控制，防患于未然，尽量避免业务操作中各种问题的产生。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（3）及时性原则。建立健全各项规章制度，采取有效措施加强内部控制。发现问题，及时处理，堵塞漏洞。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（4）独立性原则。基金托管业务内部控制机构独立于基金托管业务执行机构，业务操作人员和内控人员分开，以保证内控机构的工作不受干扰。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中国光大银行股份有限公司资产托管部自成立以来严格遵照《基金法》、《中华</w:t>
      </w:r>
      <w:r>
        <w:rPr>
          <w:rFonts w:ascii="宋体" w:hAnsi="宋体"/>
          <w:sz w:val="24"/>
        </w:rPr>
        <w:lastRenderedPageBreak/>
        <w:t>人民共和国商业银行法》、《信息披露管理办法》、《运作办法》、《销售办法》等法律、法规的要求，并根据相关法律法规制订、完善了《中国光大银行资产托管业务内部控制管理办法》、《中国光大银行资产托管业务保密办法》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和基金合同等的要求，基金托管人主要通过定性和定量相结合、事前事中和事后监督相结合、技术与人工监督相结合等方式方法，对基金投资范围、投资组合比例等每日进行监督；同时，对基金管理人就基金资产净值的计算、基金管理人和基金托管人报酬的计提和支付、基金收益分配、基金费用支付等行为的合法性、合规性进行监督和核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会。</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8" w:name="_Toc237437885"/>
      <w:r>
        <w:rPr>
          <w:rFonts w:ascii="Times New Roman" w:hAnsi="Times New Roman"/>
          <w:sz w:val="30"/>
        </w:rPr>
        <w:lastRenderedPageBreak/>
        <w:t>五、相关服务机构</w:t>
      </w:r>
      <w:bookmarkEnd w:id="8"/>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个人投资者可以通过基金管理人网上直销交易平台办理开户，本基金的申购、赎回、定期定额投资等业务，具体交易细则请参阅本公司网站。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2、场内销售机构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3、其他销售机构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联系人：范瑞波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（3）名称：江苏银行股份有限公司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（5）名称：中信银行股份有限公司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（6）名称：中国光大银行股份有限公司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（8）名称：万联证券股份有限公司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 系 人：丁思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（9）名称：光大证券股份有限公司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（10）名称：天风证券股份有限公司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住所：深圳市福田区益田路与福中路交界处荣超商务中心A栋第18层-21层及第04层01.02.03.05.11.12.13.15.16.18.19.20.21.22.23单元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（16）名称：五矿证券有限公司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（17）名称：东莞证券股份有限公司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（18）名称：中航证券有限公司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（19）名称：财通证券股份有限公司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沈继宁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（20）名称：中信建投证券股份有限公司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（21）名称：中原证券股份有限公司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（22）名称：东方财富证券股份有限公司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（23）名称：国信证券股份有限公司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（24）名称：华泰证券股份有限公司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（25）名称：兴业证券股份有限公司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（26）名称：广发证券股份有限公司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电话：（020）66338888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（28）名称：长城国瑞证券有限公司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（29）名称：大同证券有限责任公司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客服电话：4007121212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（30）名称：招商证券股份有限公司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（31）名称：国泰海通证券股份有限公司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（32）名称：中信证券华南股份有限公司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住所：深圳市罗湖区笋岗路12号中民时代广场 B 座25、26层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（34）名称：华西证券股份有限公司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（35）名称：国新证券股份有限公司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（36）名称：渤海证券股份有限公司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电话：（022）28451991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（37）名称：国金证券股份有限公司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（38）名称：长城证券有限责任公司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（39）名称：华鑫证券有限责任公司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（40）名称：江海证券有限公司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传真：（0451）82287211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（41）名称：中国银河证券股份有限公司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（43）名称：平安证券股份有限公司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（44）名称：中信证券（山东）有限责任公司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住所：青岛市崂山区深圳路222号1号楼2001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（45）名称：申万宏源西部证券有限公司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（46）名称：中泰证券股份有限公司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（47）名称：民生证券股份有限公司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电话：（010）85127561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（48）名称：深圳市新兰德证券投资咨询有限公司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（50）名称：阳光人寿保险股份有限公司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（51）名称：京东肯特瑞基金销售有限公司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（52）名称：和耕传承基金销售有限公司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（53）名称：腾安基金销售（深圳）有限公司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（55）名称：北京度小满基金销售有限公司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（56）名称：南京苏宁基金销售有限公司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（57）名称：嘉实财富管理有限公司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（58）名称：北京汇成基金销售有限公司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（60）名称：北京虹点基金销售有限公司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传真：（010）65951887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（61）名称：上海陆金所基金销售有限公司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（63）名称：万家财富基金销售（天津）有限公司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客户服务电话：010-59013895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（64）名称：上海万得基金销售有限公司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注册地址：北京市海淀区东北旺西路中关村软件园二期（西扩）N-1、N-2地块新浪总部科研楼5层518室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（68）名称：上海证达通基金销售有限公司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（69）名称：北京创金启富基金销售有限公司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（70）名称：奕丰基金销售有限公司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办公地址：深圳市南山区海德三道航天科技广场A座17楼1704室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（71）名称：上海天天基金销售有限公司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（72）名称：诺亚正行基金销售有限公司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（73）名称：上海好买基金销售有限公司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联系人：薛年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（74）名称：上海长量基金销售有限公司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（75）名称：深圳众禄基金销售股份有限公司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（76）名称：蚂蚁（杭州）基金销售有限公司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（77）名称：中信期货有限公司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（78）名称：上海基煜基金销售有限公司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（79）名称：浙江同花顺基金销售有限公司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（80）名称：宜信普泽（北京）基金销售有限公司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（83）名称：北京展恒基金销售股份有限公司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法定代表人：闫振杰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（84）名称：济安财富（北京）基金销售有限公司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（85）名称：上海华夏财富投资管理有限公司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（86）名称：博时财富基金销售有限公司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（87）名称：深圳前海微众银行股份有限公司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9" w:name="_Toc237437886"/>
      <w:r>
        <w:rPr>
          <w:rFonts w:ascii="Times New Roman" w:hAnsi="Times New Roman"/>
          <w:sz w:val="30"/>
        </w:rPr>
        <w:lastRenderedPageBreak/>
        <w:t>六、基金的募集</w:t>
      </w:r>
      <w:bookmarkEnd w:id="9"/>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本基金由基金管理人依照《基金法》、《运作办法》、《销售办法》、基金合同及其他有关规定，并经中国证监会2021年9月16日证监许可【2021】3049号文准予募集注册。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本基金于2021年10月25日至2021年11月5日进行发售，本基金设立募集期共募集3,467,806,315.75份基金份额，有效认购户数为28,878户。</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0" w:name="_Toc237437887"/>
      <w:r>
        <w:rPr>
          <w:rFonts w:ascii="Times New Roman" w:hAnsi="Times New Roman"/>
          <w:sz w:val="30"/>
        </w:rPr>
        <w:lastRenderedPageBreak/>
        <w:t>七、基金合同的生效</w:t>
      </w:r>
      <w:bookmarkEnd w:id="10"/>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根据有关规定，本基金满足基金合同生效条件，基金合同已于2021年11月10日正式生效。自基金合同生效之日起，本基金管理人正式开始管理本基金。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1" w:name="_Toc237437888"/>
      <w:r>
        <w:rPr>
          <w:rFonts w:ascii="Times New Roman" w:hAnsi="Times New Roman"/>
          <w:sz w:val="30"/>
        </w:rPr>
        <w:lastRenderedPageBreak/>
        <w:t>八、基金份额的上市交易</w:t>
      </w:r>
      <w:bookmarkEnd w:id="11"/>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合同生效后，具备上市条件，本基金A类基金份额于2021年11月19日起在上海证券交易所上市交易。（A类基金份额场内简称：智选FOF，A类基金份额场内扩位简称：交银智选星光FOF，代码：501210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中基金后，登记在证券登记结算系统中的A类基金份额仍将在上海证券交易所上市交易。本基金A类基金份额在上海证券交易所上市交易的相关事项并不因基金转换运作方式而发生调整。本基金在转型前后可根据实际情况申请停牌暂停上市交易，停复牌时间以基金管理人公告为准。本基金C类基金份额仅在场外销售，不申请上市交易。</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未来，基金管理人在符合法律法规的情况下也可申请本基金C类基金份额的上市交易，基金管理人可根据需要修改基金合同相关内容，但应在实施日前依照《信息披露办法》的有关规定在规定媒介上公告。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一、上市交易的地点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本基金A类基金份额上市交易的地点为上海证券交易所。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二、上市交易的时间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基金合同生效后，具备下列条件的，基金管理人可依据《上海证券交易所证券投资基金上市规则》及相关法律法规，向上海证券交易所申请A类基金份额上市交易：</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1、本基金A类基金份额场内募集金额不少于2亿元人民币；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2、本基金A类基金份额场内持有人不少于1000人；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3、上海证券交易所规定的其他条件。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A类基金份额上市前，基金管理人应与上海证券交易所签订上市协议书。在确定上市交易的时间后，基金管理人应依照《信息披露办法》的有关规定在规定媒介上刊登上市交易公告书。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三、上市交易的规则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本基金A类基金份额在上海证券交易所的上市交易需遵循《上海证券交易所证券投资基金上市规则》、《上海证券交易所交易规则》等有关规定。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四、上市交易的费用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本基金上市交易的费用按照上海证券交易所有关规定办理。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五、上市交易的行情揭示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本基金A类基金份额在上海证券交易所挂牌交易，交易行情通过行情发布系统揭示。行情发布系统同时揭示基金管理人最近公布并向上海证券交易所提供的A类基金份额净值。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六、上市交易的停复牌和终止上市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本基金A类基金份额的停复牌和终止上市按照相关法律法规和上海证券交易所的相关规定执行。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发生《上海证券交易所证券投资基金上市规则》规定的因不再具备上市条件而应当终止上市的情形时，本基金将变更为非上市开放式基金中基金并相应修订基金合同，无需召开基金份额持有人大会。A类基金份额终止上市后，对于本基金场内A类基金份额的处理规则由基金管理人提前制定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七、相关法律法规、中国证监会及上海证券交易所对基金上市交易的规则等相关规定内容进行调整的，按调整后的规定执行，无须召开基金份额持有人大会。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八、若上海证券交易所、中国证券登记结算有限责任公司增加了基金场内交易的新业务，基金管理人可以在履行适当的程序后为本基金增加办理相应的新业务。</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2" w:name="_Toc237437889"/>
      <w:r>
        <w:rPr>
          <w:rFonts w:ascii="Times New Roman" w:hAnsi="Times New Roman"/>
          <w:sz w:val="30"/>
        </w:rPr>
        <w:lastRenderedPageBreak/>
        <w:t>九、基金份额的申购与赎回</w:t>
      </w:r>
      <w:bookmarkEnd w:id="12"/>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 A 类基金份额可通过场内或场外两种方式办理申购与赎回，C 类基金份额仅可通过场外方式办理申购与赎回。投资人可通过下述场所按照规定的方式进行申购或赎回：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2、场内销售机构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3、除本基金管理人之外的其他场外销售机构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本基金除基金管理人之外的其他场外销售机构参见本招募说明书“五、相关服务机构”章节或拨打本公司客户服务电话进行咨询。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投资人应通过上述销售机构办理基金申购、赎回业务的营业场所或按上述销售机构提供的其他方式进行申购或赎回。本基金管理人可根据情况变更或增减基金场外销售机构，并在基金管理人网站公示。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w:t>
      </w:r>
      <w:r>
        <w:rPr>
          <w:rFonts w:ascii="宋体" w:hAnsi="宋体"/>
          <w:sz w:val="24"/>
        </w:rPr>
        <w:lastRenderedPageBreak/>
        <w:t>可以通过上述方式进行申购与赎回。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基金合同生效后一年之内（含一年）为封闭期，在此期间投资者不能申购、赎回A类/C类基金份额，但投资人可在A类基金份额上市交易后通过上海证券交易所转让A类基金份额。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A类/C类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若出现新的证券交易市场、证券交易所交易时间变更或其他特殊情况，基金管理人将视情况对前述开放日及开放时间进行相应的调整，但应在实施日前依照《信息披露办法》的有关规定在规定媒介上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本基金已于2022年11月10日起开放申购、赎回业务。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本基金封闭期结束转为开放式运作后，投资人在基金合同约定之外的日期和时间提出申购、赎回或转换申请且登记机构确认接受的，其基金份额申购、赎回或转换价格为下一开放日该类基金份额申购、赎回或转换的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4、投资者办理基金份额场外申购、赎回应使用开放式基金账户，办理基金份额场内申购、赎回应使用上海证券账户；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5、基金份额持有人申请场外赎回时，除指定赎回外，基金管理人按“先进先</w:t>
      </w:r>
      <w:r>
        <w:rPr>
          <w:rFonts w:ascii="宋体" w:hAnsi="宋体"/>
          <w:sz w:val="24"/>
        </w:rPr>
        <w:lastRenderedPageBreak/>
        <w:t>出”的原则，对该持有人账户在该销售机构托管的基金份额进行处理，即登记确认日期在先的基金份额先赎回，登记确认日期在后的基金份额后赎回，以确定被赎回基金份额的持有期限和所适用的赎回费率；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者通过上海证券交易所交易系统办理场内申购、赎回业务时，需遵守上海证券交易所和中国证券登记结算有限责任公司的相关业务规则。若相关法律法规、中国证监会、上海证券交易所或中国证券登记结算有限责任公司对场内申购、赎回业务规则有新的规定，按新规定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7、办理申购、赎回业务时，应当遵循基金份额持有人利益优先原则，确保投资者的合法权益不受损害并得到公平对待。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对于场内申购及持有场内份额的数量限制，上海证券交易所和中国证券登记结算有限责任公司的相关业务规则有规定的，从其最新规定办理。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对于场内赎回的数量限制，上海证券交易所和中国证券登记结算有限责任公司的相关业务规则有规定的，从其最新规定办理。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w:t>
      </w:r>
      <w:r>
        <w:rPr>
          <w:rFonts w:ascii="宋体" w:hAnsi="宋体"/>
          <w:sz w:val="24"/>
        </w:rPr>
        <w:lastRenderedPageBreak/>
        <w:t>权将投资人在该账户保留的本基金份额一次性全部赎回。场内赎回发生上述情形时，需遵守上海证券交易所及中国证券登记结算有限责任公司的相关业务规则。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如遇证券交易所或交易市场数据传输延迟、通讯系统故障、银行交换系统故障、港股通交易系统、港股通资金交收规则限制或其他非基金管理人及基金托管人所能控制的因素影响了业务流程，则赎回款项划付时间相应顺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基金管理人或基金管理人委托的登记机构应以开放日规定的交易时间结束前受理有效申购和赎回申请的当天作为申购或赎回申请日（T日），在正常情况下，本基</w:t>
      </w:r>
      <w:r>
        <w:rPr>
          <w:rFonts w:ascii="宋体" w:hAnsi="宋体"/>
          <w:sz w:val="24"/>
        </w:rPr>
        <w:lastRenderedPageBreak/>
        <w:t>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基金管理人可在法律法规允许的范围内，依法对上述申购和赎回申请的确认时间进行调整，并必须在调整实施日前依照《信息披露办法》的有关规定在规定媒介上公告。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且不从该类别基金资产中计提销售服务费；申购C类基金份额不支付申购费用，并从该类别基金资产中计提销售服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本基金A类基金份额（非养老金客户）的场外申购费率如下：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本基金A类基金份额的场内申购费率由场内销售机构参照上表场外申购费率设定。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w:t>
      </w:r>
      <w:r>
        <w:rPr>
          <w:rFonts w:ascii="宋体" w:hAnsi="宋体"/>
          <w:sz w:val="24"/>
        </w:rPr>
        <w:lastRenderedPageBreak/>
        <w:t>购费率。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有时间递减。本基金A类基金份额和C类基金份额的赎回费用由赎回该类基金份额的基金份额持有人承担，在基金份额持有人赎回基金份额时收取。对持续持有期少于30日的投资人所收取的赎回费，将赎回费全额计入基金财产；对持续持有期大于等于30日但少于3个月的投资人所收取的赎回费，将赎回费总额的75%计入基金财产；对持续持有期大于等于3个月但少于6个月的投资人所收取的赎回费，将赎回费总额的50%计入基金财产；对持续持有期大于等于6个月的投资人所收取的赎回费，将赎回费总额的25%计入基金财产。上述“月”指的是30个自然日。其余用于支付登记费和其他必要的手续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本基金A类基金份额的场外赎回费率如下：</w:t>
      </w:r>
    </w:p>
    <w:tbl>
      <w:tblPr>
        <w:tblW w:w="5000" w:type="pct"/>
        <w:tblCellMar>
          <w:left w:w="0" w:type="dxa"/>
          <w:right w:w="0" w:type="dxa"/>
        </w:tblCellMar>
        <w:tblLook w:val="0000" w:firstRow="0" w:lastRow="0" w:firstColumn="0" w:lastColumn="0" w:noHBand="0" w:noVBand="0"/>
      </w:tblPr>
      <w:tblGrid>
        <w:gridCol w:w="2167"/>
        <w:gridCol w:w="650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本基金A类基金份额的场内赎回费率参照场外赎回费率执行。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场内申购、赎回业务应遵守上海证券交易所及中国证券登记结算有限责任公司的有关业务规则。若相关法律法规、中国证监会、上海证券交易所或中国证券登记结算有限责任公司对场内申购、赎回业务规则有新的规定，基金合同相应予以修改，并按照新规定执行，且此项修改无需召开基金份额持有人大会审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场外申购涉及金额、份额的计算结果保留到小数点后两位，小数点后两位以后的部分四舍五入， 由此产生的收益或损失由基金财产承担。场内申购份额先按四舍五入的原则保留到小数点后两位，再</w:t>
      </w:r>
      <w:r>
        <w:rPr>
          <w:rFonts w:ascii="宋体" w:hAnsi="宋体"/>
          <w:sz w:val="24"/>
        </w:rPr>
        <w:lastRenderedPageBreak/>
        <w:t>按截位法保留到整数位，小数部分对应的金额退还投资者；场内申购涉及金额的计算按四舍五入方法，保留到小数点后两位，由此误差产生的收益或损失由基金资产承担。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例：本基金封闭期结束转为开放式运作后，某投资人（非养老金客户）投资4万元场内申购本基金A类基金份额，对应费率为1.2%，假设申购当日A类基金份额净值为1.0400元，则其可得到的申购份额为：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净申购金额=40,000/（1+1.2%）=39,525.69元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申购费用=40,000-39,525.69=474.31元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申购份额=（40,000-474.31）/1.0400=38,005.47份（先按四舍五入的原则保留到小数点后两位）=38,005份（再按截位法保留到整数位）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退回资金=0.47*1.0400=0.49元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即：本基金封闭期结束转为开放式运作后，某投资人（非养老金客户）投资4万元场内申购本基金A类基金份额，对应费率为1.2%，假设申购当日A类基金份额净值为1.0400元，则其可得到38,005份A类基金份额。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例：本基金封闭期结束转为开放式运作后，某投资人（非养老金客户）投资4万元场外申购本基金A类基金份额，对应费率为1.2%，假设申购当日A类基金份额的</w:t>
      </w:r>
      <w:r>
        <w:rPr>
          <w:rFonts w:ascii="宋体" w:hAnsi="宋体"/>
          <w:sz w:val="24"/>
        </w:rPr>
        <w:lastRenderedPageBreak/>
        <w:t>份额净值为1.0400元，则其可得到的申购份额为：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净申购金额=40,000/（1+1.2%）=39,525.69元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申购费用=40,000-39,525.69=474.31元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申购份额=（40,000-474.31）/1.0400=38,005.47份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即：本基金封闭期结束转为开放式运作后，某投资人（非养老金客户）投资4万元场外申购本基金A类基金份额，对应费率为1.2%，假设申购当日A类基金份额的份额净值为1.0400元，则其可得到38,005.47份A类基金份额。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本基金封闭期结束转为开放式运作后，如果投资者选择申购C类基金份额，则申购份额的计算方法如下：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例：本基金封闭期结束转为开放式运作后，某投资者投资100,000元申购本基金的C类基金份额，假设申购当日C类基金份额净值为1.0400元，则其可得到的申购份额为：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例：本基金封闭期结束转为开放式运作后，某投资者在持有期限超过30日、少于1年时赎回100,000份A类基金份额，对应的赎回费率为0.5%，假设赎回当日A类基金份额净值是1.0160元，则其可得到的赎回金额为：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即：本基金封闭期结束转为开放式运作后，投资者在持有期限超过30日、少于</w:t>
      </w:r>
      <w:r>
        <w:rPr>
          <w:rFonts w:ascii="宋体" w:hAnsi="宋体"/>
          <w:sz w:val="24"/>
        </w:rPr>
        <w:lastRenderedPageBreak/>
        <w:t>1年时赎回100,000份A类基金份额，对应的赎回费率为0.5%，假设赎回当日A类基金份额净值是1.0160元，则其可得到的赎回金额为101,092.00元。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例：本基金封闭期结束转为开放式运作后，某投资者在持有期限超过7日、少于30日时赎回100,000份C类基金份额，对应的赎回费率为0.5%，假设赎回当日C类基金份额净值是1.0160元，则其可得到的赎回金额为：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赎回费用=100,000×1.0160×0.5%＝508.00元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赎回金额=100,000×1.0160-508.00＝101,092.00元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即：本基金封闭期结束转为开放式运作后，投资者在持有期限超过7日、少于30日时赎回100,000份C类基金份额，对应的赎回费率为0.5%，假设赎回当日C类基金份额净值是1.0160元，则其可得到的赎回金额为101,092.00元。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A类基金份额上市交易或开始办理基金份额申购或者赎回前，基金管理人应当至少每周在规定网站披露一次A类基金份额和C类基金份额所对应的基金份额净值和基金份额累计净值。在A类基金份额上市交易或开始办理基金份额申购或者赎回后，T日的各类基金份额净值在所投资基金披露净值或万份收益当日（法定节假日顺延至第一个交易日）计算，并在T+2日（包括该日）内披露。遇特殊情况，经履行适当程序，可以适当延迟计算或公告。本基金A类基金份额和C类基金份额的基金份额净值的计算，均保留到小数点后4位，小数点后第5位四舍五入，由此产生的收益或损失由基金财产承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本基金封闭期结束转为开放式运作后，发生下列情况时，基金管理人可拒绝或暂停接受投资人的申购申请：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1、因不可抗力导致基金无法正常运作。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3、证券交易所交易时间非正常停市或者港股通临时停市，导致基金管理人无法计算当日基金资产净值。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10、港股通交易每日额度不足。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9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本基金封闭期结束转为开放式运作后，发生下列情形时，基金管理人可暂停接受投资人的赎回申请或延缓支付赎回款项：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3、证券交易所交易时间非正常停市或者港股通临时停市，导致基金管理人无法计算当日基金资产净值。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对于场外赎回申请，应将可支付部分按单个账户申请量占申请总量的比例分配给赎回申请人，未支付部分可延期支付。出现暂停赎回或延缓支付赎回款项时，场内赎回申请按照上海证券交易所及中国证券登记结算有限责任公司的有关业务规则办理。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封闭期结束转为开放式运作后，在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2、巨额赎回的场外处理方式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w:t>
      </w:r>
      <w:r>
        <w:rPr>
          <w:rFonts w:ascii="宋体" w:hAnsi="宋体"/>
          <w:sz w:val="24"/>
        </w:rPr>
        <w:lastRenderedPageBreak/>
        <w:t>认为有必要，可暂停接受基金的赎回申请；已经接受的赎回申请可以延缓支付赎回款项，但不得超过20个工作日，并应当在规定媒介上进行公告。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3、巨额赎回的场内处理方式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w:t>
      </w:r>
      <w:r>
        <w:rPr>
          <w:rFonts w:ascii="宋体" w:hAnsi="宋体"/>
          <w:sz w:val="24"/>
        </w:rPr>
        <w:lastRenderedPageBreak/>
        <w:t>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（十四）基金份额的登记和转托管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A类基金份额和C类基金份额，登记在注册登记系统中基金份额持有人的开放式基金账户下；场内认购、申购的A类基金份额，以及上市交易的A类基金份额，登记在证券登记结算系统基金份额持有人的上海证券账户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A类基金份额，可以在上海证券交易所上市交易，也可以在本基金转为上市开放式基金中基金后，直接申请场内赎回，或经跨系统转托管至注册登记系统，在本基金转为上市开放式基金中基金后，申请场外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A类基金份额和C类基金份额，可以在本基金转为上市开放式基金中基金后，直接申请场外赎回；登记在注册登记系统中的A类基金份额可经跨系统转托管至证券登记结算系统后，在上海证券交易所上市交易，或在本基金转为上市开放式基金中基金后，申请场内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（1）系统内转托管是指基金份额持有人将持有的基金份额在注册登记系统内不同销售机构之间，或在证券登记结算系统内不同会员单位之间进行转登记的行为。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（2）基金份额登记在注册登记系统的基金份额持有人在变更办理基金份额场外赎回业务的销售机构时，需办理已持有基金份额的系统内转托管。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（3）基金份额登记在证券登记结算系统的基金份额持有人在变更办理基金份额场内赎回的会员单位时，需办理已持有基金份额的系统内转托管。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（1）跨系统转托管是指基金份额持有人将持有的A类基金份额在注册登记系统和证券登记结算系统之间进行转登记的行为。除经基金管理人另行公告，C类基金份额不能进行跨系统转托管。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（2）本基金跨系统转托管的具体业务按照中国证券登记结算有限责任公司及上海证券交易所的相关规定办理。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本基金2022年11月7日刊登公告自2022年11月10日起开通定期定额投资计划业务，具体开通销售机构名单和业务规则参见相关公告。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3" w:name="_Toc237437890"/>
      <w:r>
        <w:rPr>
          <w:rFonts w:ascii="Times New Roman" w:hAnsi="Times New Roman"/>
          <w:sz w:val="30"/>
        </w:rPr>
        <w:lastRenderedPageBreak/>
        <w:t>十、基金的投资</w:t>
      </w:r>
      <w:bookmarkEnd w:id="13"/>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本基金主要投资于经中国证监会依法核准或注册的公开募集证券投资基金的基金份额，在严格控制风险的前提下，充分发挥专业研究与管理能力，力争为投资者提供长期稳健的投资回报。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w:t>
      </w:r>
      <w:r>
        <w:rPr>
          <w:rFonts w:ascii="宋体" w:hAnsi="宋体"/>
          <w:sz w:val="24"/>
        </w:rPr>
        <w:lastRenderedPageBreak/>
        <w:t>实的基本面分析和深入的实地调研，以定性与定量相结合的方法对公司价值进行综合评估。通过对重点上市公司进行内在价值的评估和成长性跟踪研究，在明确的价值评估基础上精选优秀质地的投资标的。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w:t>
      </w:r>
      <w:r>
        <w:rPr>
          <w:rFonts w:ascii="宋体" w:hAnsi="宋体"/>
          <w:sz w:val="24"/>
        </w:rPr>
        <w:lastRenderedPageBreak/>
        <w:t>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（7）本基金封闭期结束转为开放式运作后，投资于封闭运作基金、定期开放基金等流通受限基金的，其公允价值不得超过本基金资产净值的10%；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封闭期结束转为开放式运作后，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封闭期内，本基金债券正回购资金余额或逆回购资金余额不得超过其上一日基金资产净值的100%；本基金封闭期结束转为开放式运作后，本基金债券正回购资金余额或逆回购资金余额不得超过其上一日基金资产净值的 40%。本基金进入全国银行间同业市场进行债券回购的最长期限为1年，债券回购到期后不得展期；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（21）封闭期内，本基金资产总值不得超过基金资产净值的200%；本基金封闭</w:t>
      </w:r>
      <w:r>
        <w:rPr>
          <w:rFonts w:ascii="宋体" w:hAnsi="宋体"/>
          <w:sz w:val="24"/>
        </w:rPr>
        <w:lastRenderedPageBreak/>
        <w:t>期结束转为开放式运作后，基金资产总值不得超过基金资产净值的140%；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（24）法律法规及中国证监会规定的和《基金合同》约定的其他投资限制。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90%×中证偏股型基金指数收益率+10%×中债综合全价指数收益率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本基金为混合型基金中基金，其预期风险与预期收益高于债券型基金、债券型基金中基金、货币市场基金和货币型基金中基金，低于股票型基金和股票型基金中基金。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本基金托管人中国光大银行股份有限公司根据本基金合同规定，于2026年04月20日复核了本报告中的财务指标、净值表现和投资组合报告等内容，保证复核内容不存在虚假记载、误导性陈述或者重大遗漏。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686,444,179.00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76.84</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6,024,343.41</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842,253.13</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893,285,564.30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118,381,685.14</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14.01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2,400,145.00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1,679,628.00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2,417,465.00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16,585,673.00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1.96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1,096,903.00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2,303,096.00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7,806,269.32</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1,273,450.00</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154,153,493.51</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600549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厦门钨业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8,899,200.00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688498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源杰科技</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8,043,520.00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0.95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002497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雅化集团</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293,400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6,806,880.00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0.81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300442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润泽科技</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6,464,000.00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300409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道氏技术</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236,962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5,824,525.96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9,800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5,580,218.00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002602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世纪华通</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348,600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5,563,656.00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4,444,000.00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000792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盐湖股份</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98,100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3,629,700.00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34,700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3,404,070.00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44,697,049.38</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5.29</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1,124,245.87</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1,124,245.87</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45,821,295.25</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17,225,666.85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102298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2508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8,106,196.16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69,000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6,965,616.16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3,022,655.34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2513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27,000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2,725,675.89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90,080.74</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112,022.29</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597,915.82</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42,234.28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842,253.13</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4" w:name="_Toc237437891"/>
      <w:r>
        <w:rPr>
          <w:rFonts w:ascii="Times New Roman" w:hAnsi="Times New Roman"/>
          <w:sz w:val="30"/>
        </w:rPr>
        <w:lastRenderedPageBreak/>
        <w:t>十一、基金的业绩</w:t>
      </w:r>
      <w:bookmarkEnd w:id="14"/>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（1）交银智选星光一年封闭运作混合（FOF-LOF）A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3.70%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40.89%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26.96%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13.93%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-2.95%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-10.23%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3.18%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-14.16%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-17.37%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（2）交银智选星光一年封闭运作混合（FOF-LOF）C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2.17%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40.04%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26.96%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13.08%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-7.86%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-10.77%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-14.67%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-17.37%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8558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bl>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注：本基金业绩比较基准自2023年2月7日起，由“80%×沪深300指数收益率+20%×中债综合全价指数收益率”变更为“90%×中证偏股型基金指数收益率+10%×中债综合全价指数收益率”，下图同。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E85587" w:rsidRDefault="00346AE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交银施罗德智选星光一年混合型（FOF-LOF）证券投资基金</w:t>
      </w:r>
    </w:p>
    <w:p w:rsidR="00E85587" w:rsidRDefault="00346AE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E85587" w:rsidRDefault="00346AE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（2021年11月10日至2026年03月31日）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（1）交银智选星光一年封闭运作混合（FOF-LOF）A</w:t>
      </w:r>
    </w:p>
    <w:p w:rsidR="00E85587" w:rsidRDefault="005A792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（2）交银智选星光一年封闭运作混合（FOF-LOF）C</w:t>
      </w:r>
    </w:p>
    <w:p w:rsidR="00E85587" w:rsidRDefault="005A792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5" w:name="_Toc237437892"/>
      <w:r>
        <w:rPr>
          <w:rFonts w:ascii="Times New Roman" w:hAnsi="Times New Roman"/>
          <w:sz w:val="30"/>
        </w:rPr>
        <w:lastRenderedPageBreak/>
        <w:t>十二、基金的财产</w:t>
      </w:r>
      <w:bookmarkEnd w:id="15"/>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证券投资基金账户以及投资所需的其他专用账户。开立的基金专用账户与基金管理人、基金托管人、基金销售机构和基金登记机构自有的财产账户以及其他基金财产账户相独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6" w:name="_Toc237437893"/>
      <w:r>
        <w:rPr>
          <w:rFonts w:ascii="Times New Roman" w:hAnsi="Times New Roman"/>
          <w:sz w:val="30"/>
        </w:rPr>
        <w:lastRenderedPageBreak/>
        <w:t>十三、基金资产的估值</w:t>
      </w:r>
      <w:bookmarkEnd w:id="16"/>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6、估值计算中涉及港币对人民币汇率的，将依据下列信息提供机构所提供的汇率为基准：当日中国人民银行公布的人民币与港币的中间价。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对基金资产估值后，将各类基金份额净值结果发送基金托管人，经基金托管人复核无误后，由基金管理人依据基金合同和相关法律法规的规定对外公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 发生估值错误时，视为基金份额净值错误。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7" w:name="_Toc237437894"/>
      <w:r>
        <w:rPr>
          <w:rFonts w:ascii="Times New Roman" w:hAnsi="Times New Roman"/>
          <w:sz w:val="30"/>
        </w:rPr>
        <w:lastRenderedPageBreak/>
        <w:t>十四、基金收益与分配</w:t>
      </w:r>
      <w:bookmarkEnd w:id="17"/>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登记在基金份额持有人上海证券账户下的基金份额，只能选择现金分红的方式，具体权益分配程序等有关事项遵循上海证券交易所及中国证券登记结算有限责任公司的相关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3、基金收益分配后各类基金份额净值不能低于面值；即基金收益分配基准日的各类基金份额净值减去每单位该类基金份额收益分配金额后不能低于面值；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本基金收益分配方案由基金管理人拟定，并由基金托管人复核，依照《信息披露办法》的有关规定在规定媒介公告。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外份额，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对于场内份额，现金分红的计算方法等有关事项遵循上海证券交易所及中国证券登记结算有限责任公司的相关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8" w:name="_Toc237437895"/>
      <w:r>
        <w:rPr>
          <w:rFonts w:ascii="Times New Roman" w:hAnsi="Times New Roman"/>
          <w:sz w:val="30"/>
        </w:rPr>
        <w:lastRenderedPageBreak/>
        <w:t>十五、基金的费用与税收</w:t>
      </w:r>
      <w:bookmarkEnd w:id="18"/>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9、从A类基金份额的基金财产中计提的基金上市费用；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10、从C类基金份额的基金财产中计提的销售服务费；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11、本基金投资其他基金产生的其他基金的销售费用（如申购费、赎回费、销售服务费等），但法律法规禁止从基金财产中列支的除外；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12、因投资港股通标的股票而产生的各项合理费用；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13、按照国家有关规定和《基金合同》约定，可以在基金财产中列支的其他费用。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1%年费率计提。管理费的计算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H＝E×1%÷当年天数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基金管理费每日计提，按月支付，经管理人授权后，由基金托管人根据与基金管理人核对一致的财务数据，自动在月初5个工作日内、按照指定的账户路径进行</w:t>
      </w:r>
      <w:r>
        <w:rPr>
          <w:rFonts w:ascii="宋体" w:hAnsi="宋体"/>
          <w:sz w:val="24"/>
        </w:rPr>
        <w:lastRenderedPageBreak/>
        <w:t>资金支付，基金管理人无需再出具资金划拨指令。若遇法定节假日、休息日等，支付日期顺延。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0.2%的年费率计提。托管费的计算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经管理人授权后，由基金托管人根据与基金管理人核对一致的财务数据，自动在月初5个工作日内、按照指定的账户路径进行资金支付，基金管理人无需再出具资金划拨指令。若遇法定节假日、休息日等，支付日期顺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每日计提，按月支付，经管理人授权后，由基金托管人根据与基金管理人核对一致的财务数据，自动在月初5个工作日内、按照指定的账户路径进行资金支付，基金管理人无需再出具资金划拨指令。若遇法定节假日、休息日等，支付日期顺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（4）上述“（一）基金费用的种类”中第3－9、11-13项费用，根据有关法规及相应协议规定，按费用实际支出金额列入当期费用，由基金托管人从基金财产中支付。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w:t>
      </w:r>
      <w:r>
        <w:rPr>
          <w:rFonts w:ascii="宋体" w:hAnsi="宋体"/>
          <w:sz w:val="24"/>
        </w:rPr>
        <w:lastRenderedPageBreak/>
        <w:t>应当通过直销渠道申购且不得收取申购费、赎回费（按照相关法规、基金招募说明书约定应当收取，并计入基金财产的赎回费用除外）、销售服务费（如有）等销售费用。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19" w:name="_Toc237437896"/>
      <w:r>
        <w:rPr>
          <w:rFonts w:ascii="Times New Roman" w:hAnsi="Times New Roman"/>
          <w:sz w:val="30"/>
        </w:rPr>
        <w:lastRenderedPageBreak/>
        <w:t>十六、基金的会计与审计</w:t>
      </w:r>
      <w:bookmarkEnd w:id="19"/>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3、基金管理人认为有充足理由更换会计师事务所，须通报基金托管人。更换会计师事务所需依照《信息披露办法》的有关规定在规定媒介公告。</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0" w:name="_Toc237437897"/>
      <w:r>
        <w:rPr>
          <w:rFonts w:ascii="Times New Roman" w:hAnsi="Times New Roman"/>
          <w:sz w:val="30"/>
        </w:rPr>
        <w:lastRenderedPageBreak/>
        <w:t>十七、基金的信息披露</w:t>
      </w:r>
      <w:bookmarkEnd w:id="20"/>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4、上市交易公告书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基金份额获准在证券交易所上市交易的，基金管理人应当在基金份额上市交易的三个工作日前，将基金份额上市交易公告书登载在规定网站上，并将上市交易公告书提示性公告登载在规定报刊上。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5、基金净值信息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《基金合同》生效后，在A类基金份额上市交易或开始办理基金份额申购或者赎回前，基金管理人应当至少每周在规定网站披露一次A类基金份额和C类基金份额所对应的基金份额净值和基金份额累计净值。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A类基金份额上市交易或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w:t>
      </w:r>
      <w:r>
        <w:rPr>
          <w:rFonts w:ascii="宋体" w:hAnsi="宋体"/>
          <w:sz w:val="24"/>
        </w:rPr>
        <w:lastRenderedPageBreak/>
        <w:t>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（21）基金管理人采用摆动定价机制进行估值；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（22）本基金A类基金份额停复牌或终止上市；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（23）本基金封闭期结束转为开放式运作后，发生涉及基金申购、赎回事项调整或潜在影响投资者赎回等重大事项时；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（24）本基金增加或调整基金份额类别；</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（25）本基金推出新业务或服务；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（26）《基金合同》生效后，连续30个工作日、40个工作日、45个工作日出现基金份额持有人数量不满200人或者基金资产净值低于5000万元情形的，基金管理人应当发布提示性公告；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（27）基金信息披露义务人认为可能对基金份额持有人权益或者基金份额的价格产生重大影响的其他事项或中国证监会规定的其他事项。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及基金上市交易的证券交易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12、清算报告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13、基金投资资产支持证券情况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14、基金投资证券投资基金情况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15、基金投资港股通标的股票情况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16、参与所持有基金的份额持有人大会表决意见的信息披露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基金管理人代表份额持有人的利益参与所持有基金的份额持有人大会，需将表</w:t>
      </w:r>
      <w:r>
        <w:rPr>
          <w:rFonts w:ascii="宋体" w:hAnsi="宋体"/>
          <w:sz w:val="24"/>
        </w:rPr>
        <w:lastRenderedPageBreak/>
        <w:t>决意见事先征求基金托管人的意见，并将表决意见在定期报告中予以披露。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17、中国证监会规定的其他信息。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依法必须披露的信息发布后，基金管理人、基金托管人应当按照相关法律法规规定将信息置备于各自办公场所和基金上市交易的证券交易所网站，供社会公众查阅、复制。</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1" w:name="_Toc237437898"/>
      <w:r>
        <w:rPr>
          <w:rFonts w:ascii="Times New Roman" w:hAnsi="Times New Roman"/>
          <w:sz w:val="30"/>
        </w:rPr>
        <w:lastRenderedPageBreak/>
        <w:t>十八、侧袋机制</w:t>
      </w:r>
      <w:bookmarkEnd w:id="21"/>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工作日主袋账户总份额的10%认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85587" w:rsidRDefault="00346AE7">
      <w:pPr>
        <w:pStyle w:val="1"/>
        <w:snapToGrid w:val="0"/>
        <w:spacing w:beforeLines="0" w:before="240" w:after="240"/>
        <w:rPr>
          <w:rFonts w:ascii="宋体" w:hAnsi="宋体"/>
          <w:szCs w:val="30"/>
        </w:rPr>
      </w:pPr>
      <w:bookmarkStart w:id="22" w:name="_Toc237437899"/>
      <w:r>
        <w:rPr>
          <w:rFonts w:ascii="Times New Roman" w:hAnsi="Times New Roman"/>
          <w:sz w:val="30"/>
        </w:rPr>
        <w:lastRenderedPageBreak/>
        <w:t>十九、风险揭示</w:t>
      </w:r>
      <w:bookmarkEnd w:id="22"/>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本基金封闭期结束转为开放式运作后，在单个开放日基金的净赎回申请（赎回申请份额总数加上基金转换中转出申请份额总数后扣除申购申请份额总数及基金转换中转入申请份额总数后的余额）超过上一工作日基金总份额的百分之十时，投资人将可能无法及时赎回持有的全部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因市场交易量不足，导致证券不能迅速、低成本地转变为现金的风险。流动性</w:t>
      </w:r>
      <w:r>
        <w:rPr>
          <w:rFonts w:ascii="宋体" w:hAnsi="宋体"/>
          <w:sz w:val="24"/>
        </w:rPr>
        <w:lastRenderedPageBreak/>
        <w:t>风险还包括由于本基金封闭期结束转为开放式运作后出现投资者大额或巨额赎回，致使本基金没有足够的现金应付基金赎回支付的要求所导致的风险和本基金在封闭期内无法赎回的风险，但本基金A类基金份额上市交易后，可通过二级市场进行份额转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本基金合同生效后，前一年封闭运作，在封闭期内，本基金不办理申购、赎回业务，但投资人可在本基金A类基金份额上市交易后通过上海证券交易所转让A类基金份额。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A类/C类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在确定申购开始与赎回开始时间后，基金管理人应在申购、赎回开放日前依照《信息披露办法》的有关规定在规定媒介上公告申购与赎回的开始时间。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封闭期结束转为开放式运作后，在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本基金在面临大规模赎回的情况下有可能因为无法变现造成流动性风险。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1、基金上市交易的风险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本基金A类基金份额在符合相关法律法规要求的前提下将申请在上海证券交易</w:t>
      </w:r>
      <w:r>
        <w:rPr>
          <w:rFonts w:ascii="宋体" w:hAnsi="宋体"/>
          <w:sz w:val="24"/>
        </w:rPr>
        <w:lastRenderedPageBreak/>
        <w:t>所挂牌上市，由于上市期间可能因信息披露导致基金停牌，投资者在停牌期间不能买卖本基金上市交易份额，产生风险；同时，可能因上市后交易对手不足而产生流动性风险。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2、基金份额二级市场交易价格折溢价的风险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本基金将通过有效的套利机制使A类基金份额二级市场交易价格的折溢价控制在一定范围内，但A类基金份额在证券交易所的交易价格受诸多因素影响，存在不同于A类基金份额净值的情形，即存在价格折溢价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因本基金A类基金份额不再符合证券交易所上市条件被终止上市，或被基金份额持有人大会决议提前终止上市，导致A类基金份额不能继续进行二级市场交易的风险。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一年之内（含一年）为封闭期，在此期间投资者不能申购、赎回基金份额，但可在A类基金份额上市交易后通过上海证券交易所转让A类基金份额。本基金封闭期结束转为开放式运作后，投资人方可进行A类/C类基金份额的申购与赎回。投资者将面临封闭期内无法赎回基金份额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10、本基金可投资创业板股票，创业板个股上市后的前五个交易日不设价格涨跌幅限制，第六个交易日开始涨跌幅限制比例为20%。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（九）投资港股通标的股票的特定风险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w:t>
      </w:r>
      <w:r>
        <w:rPr>
          <w:rFonts w:ascii="宋体" w:hAnsi="宋体"/>
          <w:sz w:val="24"/>
        </w:rPr>
        <w:lastRenderedPageBreak/>
        <w:t>开市交易中集中体现市场反应而造成其价格波动骤然增大，进而导致本基金所持港股组合在资产估值上出现波动增大的风险；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3" w:name="_Toc237437900"/>
      <w:r>
        <w:rPr>
          <w:rFonts w:ascii="Times New Roman" w:hAnsi="Times New Roman"/>
          <w:sz w:val="30"/>
        </w:rPr>
        <w:lastRenderedPageBreak/>
        <w:t>二十、基金合同的变更、终止与基金财产的清算</w:t>
      </w:r>
      <w:bookmarkEnd w:id="23"/>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4" w:name="_Toc237437901"/>
      <w:r>
        <w:rPr>
          <w:rFonts w:ascii="Times New Roman" w:hAnsi="Times New Roman"/>
          <w:sz w:val="30"/>
        </w:rPr>
        <w:lastRenderedPageBreak/>
        <w:t>二十一、基金合同内容摘要</w:t>
      </w:r>
      <w:bookmarkEnd w:id="24"/>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w:t>
      </w:r>
      <w:r>
        <w:rPr>
          <w:rFonts w:ascii="宋体" w:hAnsi="宋体"/>
          <w:sz w:val="24"/>
        </w:rPr>
        <w:lastRenderedPageBreak/>
        <w:t>但不限于：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4）根据相关市场规则，为基金开设资金账户、证券账户、证券投资基金账户等投资所需账户，为基金办理基金、证券交易资金清算；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6）按规定开设基金财产的资金账户、证券账户、证券投资基金账户等投资所需账户，按照《基金合同》的约定，根据基金管理人的投资指令，及时办理清算、交割事宜；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11）终止基金份额上市，但因基金不再具备上市条件而被上海证券交易所终止上市的或基金合同另有约定的除外；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4）因相应的法律法规、上海证券交易所或登记机构的相关业务规则发生变动而应当对《基金合同》进行修改；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8）在不违反法律法规及对基金份额持有人利益无实质性不利影响的前提下，基金管理人、登记机构、销售机构调整有关基金认购、申购、赎回、转换、收益分配、非交易过户、转托管、上市交易等业务的规则；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案。基金份额持有人大会的决议自表决通过之日起生效。法律法规另有规定的，从其规定。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w:t>
      </w:r>
      <w:r>
        <w:rPr>
          <w:rFonts w:ascii="宋体" w:hAnsi="宋体"/>
          <w:sz w:val="24"/>
        </w:rPr>
        <w:lastRenderedPageBreak/>
        <w:t>应当有代表三分之一以上（含三分之一）相关基金份额的持有人参与或授权他人参与基金份额持有人大会投票；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（5）相关法律法规和中国证监会规定的其他情况。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w:t>
      </w:r>
      <w:r>
        <w:rPr>
          <w:rFonts w:ascii="宋体" w:hAnsi="宋体"/>
          <w:sz w:val="24"/>
        </w:rPr>
        <w:lastRenderedPageBreak/>
        <w:t>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5" w:name="_Toc237437902"/>
      <w:r>
        <w:rPr>
          <w:rFonts w:ascii="Times New Roman" w:hAnsi="Times New Roman"/>
          <w:sz w:val="30"/>
        </w:rPr>
        <w:lastRenderedPageBreak/>
        <w:t>二十二、托管协议的内容摘要</w:t>
      </w:r>
      <w:bookmarkEnd w:id="25"/>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注册资本：466.79095亿元人民币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基金托管资格批文及文号：中国证监会证监基金字[2002]75号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基金托管人根据有关法律法规的规定及基金合同的约定，对基金投资范围、投资比例进行监督。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w:t>
      </w:r>
      <w:r>
        <w:rPr>
          <w:rFonts w:ascii="宋体" w:hAnsi="宋体"/>
          <w:sz w:val="24"/>
        </w:rPr>
        <w:lastRenderedPageBreak/>
        <w:t>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管理人在首次投资港股通前，需通知托管人相关投资事宜。</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w:t>
      </w:r>
      <w:r>
        <w:rPr>
          <w:rFonts w:ascii="宋体" w:hAnsi="宋体"/>
          <w:sz w:val="24"/>
        </w:rPr>
        <w:lastRenderedPageBreak/>
        <w:t>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（7）本基金封闭期结束转为开放式运作后，投资于封闭运作基金、定期开放基金等流通受限基金的，其公允价值不得超过本基金资产净值的10%；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封闭期结束转为开放式运作后，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封闭期内，本基金债券正回购资金余额或逆回购资金余额不得超过其上一日基金资产净值的100%；本基金封闭期结束转为开放式运作后，本基金债券正回购资金余额或逆回购资金余额不得超过其上一日基金资产净值的 40%。本基金进入全国银行间同业市场进行债券回购的最长期限为1年，债券回购到期后不得展期；</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（21）封闭期内，本基金资产总值不得超过基金资产净值的200%；本基金封闭期结束转为开放式运作后，基金资产总值不得超过基金资产净值的140%；</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（23）本基金投资于货币市场基金的比例不得超过基金资产的15%；</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（24）法律法规及中国证监会规定的和《基金合同》约定的其他投资限制。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3、基金托管人根据有关法律法规的规定及基金合同的约定，对本托管协议第十五条第（十二）款基金投资禁止行为进行监督。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w:t>
      </w:r>
      <w:r>
        <w:rPr>
          <w:rFonts w:ascii="宋体" w:hAnsi="宋体"/>
          <w:sz w:val="24"/>
        </w:rPr>
        <w:lastRenderedPageBreak/>
        <w:t>券市场交易对手名单进行交易。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基金托管人则根据银行间债券市场成交单对合同履行情况进行监督，不承担交易对手不履行合同造成的损失。如基金托管人事后发现基金管理人没有按照事先约定的交易对手进行交易时，基金托管人应及时提醒基金管理人，基金托管人不承担由此造成的任何损失和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5、基金托管人根据有关法律法规的规定及基金合同的约定，对基金投资流通受限证券进行监督。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等规章制度。基金管理人应当根据基金的投资风格和流动性的需要合理安排流通受限证券的投资比例，并在相关制度中明确具体比例，避免基金出现流动性风险。基金投资非公开发行股票，基金管理人还应提供流动性风险处置预案。上述资料应包括但不限于基金投资流通受限证券的投资额度和投资比例控制情况。</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上述规章制度须经基金管理人董事会批准。上述规章制度经董事会通过之后，基金管理人应至少于首次投资流通受限证券之前两个工作日将上述资料书面发至基金托管人，保证基金托管人有足够的时间进行审核。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按约定时间向基金托管人提供符合法律法规要求的有关流通受限证券的信息，具体应当包括但不限于如下文件（如有）：拟发行证券主体的中国证监会批准文件、拟发行数量、定价依据、锁定期、基金拟认购的数量、价格、总成本、总成本占基金资产净值的比例、已持有流</w:t>
      </w:r>
      <w:r>
        <w:rPr>
          <w:rFonts w:ascii="宋体" w:hAnsi="宋体"/>
          <w:sz w:val="24"/>
        </w:rPr>
        <w:lastRenderedPageBreak/>
        <w:t>通受限证券市值占基金资产净值的比例、划款账号、划款金额、划款时间文件等。基金管理人应保证上述信息的真实、完整。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流通受限证券，基金管理人应根据本协议的规定与基金托管银行签订风险控制补充协议。协议应包括基金托管人对于基金管理人是否遵守相关制度、流动性风险处置预案以及相关投资额度和比例的情况进行监督等内容。</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基金投资非公开发行股票后两个交易日内，在中国证监会规定媒介披露所投资非公开发行股票的名称、数量、总成本、账面价值，以及总成本和账面价值占基金资产净值的比例、锁定期等信息。</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在力所能及的范围内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任何责任。开立定期存款账户时，定期存款账户的户名应与托管账户户名一致。对于跨行定期存款投资，基金管理人必须和存款机构签订定期存款协议，约定双方的权利和义务，该协议作为划款指令附件。该协议中必须体现如下明确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对于跨行存款，基金管理人需提前与基金托管人就定期存款协议及存单交接流程进行沟通。在取得存款证实书后，基金托管人保管证实书正本。基金托管人不对跨行存款的利率政策风险、存款行的选择及存款协议承担责任，基金管理人指定专人在核实存款行授权人员身份信息后，负责印鉴卡与存款证实书等凭证的监交或交接，以确保与基金托管人所交接凭证的真实性、准确性和完整性。基金托管人对投资后处于基金托管人实际控</w:t>
      </w:r>
      <w:r>
        <w:rPr>
          <w:rFonts w:ascii="宋体" w:hAnsi="宋体"/>
          <w:sz w:val="24"/>
        </w:rPr>
        <w:lastRenderedPageBreak/>
        <w:t>制之外的资产不承担保管责任。跨行定期存款账户的预留印鉴为基金托管人托管业务专用章与托管业务授权人名章。</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基金管理人无正当理由，拒绝、阻挠对方根据本托管协议规定行使监督权，或采取拖延、欺诈等手段妨碍对方进行有效监督，情节严重或经基金托管人提出警告</w:t>
      </w:r>
      <w:r>
        <w:rPr>
          <w:rFonts w:ascii="宋体" w:hAnsi="宋体"/>
          <w:sz w:val="24"/>
        </w:rPr>
        <w:lastRenderedPageBreak/>
        <w:t>仍不改正的，基金托管人应报告中国证监会。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证券投资基金账户以及投资所需的其他专用账户、复核基金管理人计算的各类基金份额的基金资产净值和基金份额净值、根据基金管理人指令办理清算交收、相关信息披露和监督基金投资运作等行为。</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基金托管人无正当理由，拒绝、阻挠对方根据本协议规定行使监督权，或采取拖延、欺诈等手段妨碍对方进行有效监督，情节严重或经基金管理人提出警告仍不改正的，基金管理人应报告中国证监会。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（3）基金托管人按照规定开设基金财产的资金账户、证券账户、证券投资基金账户以及投资所需的其他专用账户；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（1）基金募集期间募集的资金应存于基金管理人开立的“基金募集专户”。该账户由基金管理人开立并管理。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托管专户，同时在规定时间内，聘请符合《中华人民共和国证券法》规定的会计师事务所进行验资，出具验资报告。出具的验资报告由参加验资的2名或2名以上中国注册会计师签字方为有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（3）若基金募集期限届满或基金停止募集时，未能达到基金合同生效的条件，由基金管理人按规定办理退款等事宜，基金托管人应提供充分协助。</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（1）基金托管人以基金的名义在其营业机构开设基金托管专户，保管基金的银行存款。本基金的一切货币收支活动，包括但不限于投资、支付赎回金额、支付</w:t>
      </w:r>
      <w:r>
        <w:rPr>
          <w:rFonts w:ascii="宋体" w:hAnsi="宋体"/>
          <w:sz w:val="24"/>
        </w:rPr>
        <w:lastRenderedPageBreak/>
        <w:t>基金收益、收取申购款，均需通过基金托管专户进行。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（2）基金托管专户的开立和使用，限于满足开展本基金业务的需要。基金托管人和基金管理人不得假借本基金的名义开立任何其他银行账户；亦不得使用基金的任何账户进行本基金业务以外的活动。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（3）基金托管专户的开立和管理应符合有关法律法规以及银行业监督管理机构的其他有关规定。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5、银行间债券托管专户的开设和管理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负责根据中国人民银行、银行间市场登记结算机构的有关规定，以本基金的名义在中央国债登记结算有限责任公司和银行间市场清算所股份有限公司开设银行间债券市场债券托管账户、持有人账户和资金结算账户，并代表基金进行银行间市场债券的结算。基金管理人和基金托管人共同代表基金签订全国银行间债券市场债券回购主协议，基金托管人保管协议正本，基金管理人保存协议副本。</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法律法规等有关规定对相关账户的开立和管理另有规定的，从其规定办理。</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不低于法律法规规定的最低期限。</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对于无法取得二份以上正本的，基金管理人应向基金托管人提供与合同原件核对一致的加盖公章的合同传真件或复印件，未经双方协商一致或未在合同约定范围内，合同原件不得转移。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基金资产净值是指基金资产总值减去负债后的价值。各类基金份额净值是指计算日该类基金资产净值除以计算日该类基金份额总数后的数值。</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各类基金份额的基金份额净值是按照每个估值日，基金资产净值除以当日该类</w:t>
      </w:r>
      <w:r>
        <w:rPr>
          <w:rFonts w:ascii="宋体" w:hAnsi="宋体"/>
          <w:sz w:val="24"/>
        </w:rPr>
        <w:lastRenderedPageBreak/>
        <w:t>估值日基金份额的余额数量计算，精确到0.0001元，小数点后第5位四舍五入。基金管理人可以设立大额赎回情形下的净值精度应急调整机制，具体可参见相关公告。国家另有规定的，从其规定。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基金管理人于每个工作日分别计算A类基金份额、C类基金份额的基金资产净值及基金份额净值，并按规定公告。如遇特殊情况，经履行适当程序，可以适当延迟计算或公告。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低于法律法规规定的最低期限。如不能妥善保管，则按相关法规承担责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法律法规另有规定或有权机关另有要求的除外。</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双方当事人同意，因基金合同及本协议而产生的或与基金合同或本协议有关的一切争议，如经友好协商未能解决的，任何一方均有权将争议提交中国国际经济贸</w:t>
      </w:r>
      <w:r>
        <w:rPr>
          <w:rFonts w:ascii="宋体" w:hAnsi="宋体"/>
          <w:sz w:val="24"/>
        </w:rPr>
        <w:lastRenderedPageBreak/>
        <w:t>易仲裁委员会，按照该会届时有效的仲裁规则进行仲裁。仲裁地点为北京市。仲裁裁决是终局的，对双方当事人均有约束力，仲裁费用由败诉方承担，除非仲裁裁决另有规定。</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本协议受中国法律（不含港澳台地区法律）管辖并从其解释。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6" w:name="_Toc237437903"/>
      <w:r>
        <w:rPr>
          <w:rFonts w:ascii="Times New Roman" w:hAnsi="Times New Roman"/>
          <w:sz w:val="30"/>
        </w:rPr>
        <w:lastRenderedPageBreak/>
        <w:t>二十三、对基金份额持有人的服务</w:t>
      </w:r>
      <w:bookmarkEnd w:id="26"/>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等业务。通过网上直销交易平台办理本基金的申购和定期定额投资业务的个人投资者将享受申购费率的优惠。具体优惠费率请参见公司网站列示的网上直销交易平台申购、定期定额投资及转换费率表或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本基金还未开通转换业务，具体实施方法请参见相关公告。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7" w:name="_Toc237437904"/>
      <w:r>
        <w:rPr>
          <w:rFonts w:ascii="Times New Roman" w:hAnsi="Times New Roman"/>
          <w:sz w:val="30"/>
        </w:rPr>
        <w:lastRenderedPageBreak/>
        <w:t>二十四、其他应披露事项</w:t>
      </w:r>
      <w:bookmarkEnd w:id="27"/>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2025-06-25</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交银施罗德基金管理有限公司关于增加上海中欧财富基金销售有限公司为旗下基金的销售机构的公告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类基金份额午间收盘溢价风险提示公告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r w:rsidR="00E8558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交银施罗德基金管理有限公司关于交银施罗德智选星光混合型基金中基金（</w:t>
            </w:r>
            <w:r>
              <w:rPr>
                <w:rFonts w:ascii="Times New Roman" w:hAnsi="Times New Roman"/>
                <w:color w:val="000000"/>
                <w:kern w:val="0"/>
                <w:sz w:val="25"/>
                <w:szCs w:val="24"/>
              </w:rPr>
              <w:t>FOF-LOF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类基金份额午间收盘溢价风险提示公告</w:t>
            </w:r>
          </w:p>
        </w:tc>
        <w:tc>
          <w:tcPr>
            <w:tcW w:w="75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85587" w:rsidRDefault="00346AE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2026-06-16</w:t>
            </w:r>
          </w:p>
        </w:tc>
      </w:tr>
    </w:tbl>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8" w:name="_Toc237437905"/>
      <w:r>
        <w:rPr>
          <w:rFonts w:ascii="Times New Roman" w:hAnsi="Times New Roman"/>
          <w:sz w:val="30"/>
        </w:rPr>
        <w:lastRenderedPageBreak/>
        <w:t>二十五、招募说明书的存放及查阅方式</w:t>
      </w:r>
      <w:bookmarkEnd w:id="28"/>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46AE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85587" w:rsidRDefault="00346AE7">
      <w:pPr>
        <w:pStyle w:val="1"/>
        <w:snapToGrid w:val="0"/>
        <w:spacing w:beforeLines="0" w:before="240" w:after="240"/>
        <w:rPr>
          <w:rFonts w:ascii="宋体" w:hAnsi="宋体"/>
          <w:szCs w:val="30"/>
        </w:rPr>
      </w:pPr>
      <w:bookmarkStart w:id="29" w:name="_Toc237437906"/>
      <w:r>
        <w:rPr>
          <w:rFonts w:ascii="Times New Roman" w:hAnsi="Times New Roman"/>
          <w:sz w:val="30"/>
        </w:rPr>
        <w:lastRenderedPageBreak/>
        <w:t>二十六、备查文件</w:t>
      </w:r>
      <w:bookmarkEnd w:id="29"/>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（一）中国证监会准予交银施罗德智选星光一年封闭运作混合型基金中基金（FOF-LOF）募集注册的文件</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（二）《交银施罗德智选星光混合型基金中基金（FOF-LOF）基金合同》</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（三）《交银施罗德智选星光混合型基金中基金（FOF-LOF）托管协议》</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E85587" w:rsidRDefault="00346AE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（六）关于申请募集注册交银施罗德智选星光一年封闭运作混合型基金中基金（FOF-LOF）的法律意见书</w:t>
      </w:r>
    </w:p>
    <w:sectPr w:rsidR="00E8558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D7A" w:rsidRDefault="00346AE7">
      <w:r>
        <w:separator/>
      </w:r>
    </w:p>
  </w:endnote>
  <w:endnote w:type="continuationSeparator" w:id="0">
    <w:p w:rsidR="00FA5D7A" w:rsidRDefault="00346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E8558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5A792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E85587" w:rsidRDefault="00346AE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A792D">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E8558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5A792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E85587" w:rsidRDefault="00346AE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A792D">
                  <w:rPr>
                    <w:rFonts w:ascii="Times New Roman" w:hAnsi="Times New Roman"/>
                    <w:noProof/>
                    <w:kern w:val="0"/>
                    <w:sz w:val="18"/>
                    <w:szCs w:val="18"/>
                  </w:rPr>
                  <w:t>159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D7A" w:rsidRDefault="00346AE7">
      <w:r>
        <w:separator/>
      </w:r>
    </w:p>
  </w:footnote>
  <w:footnote w:type="continuationSeparator" w:id="0">
    <w:p w:rsidR="00FA5D7A" w:rsidRDefault="00346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E8558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346AE7">
    <w:pPr>
      <w:pStyle w:val="a3"/>
      <w:jc w:val="right"/>
      <w:rPr>
        <w:rFonts w:ascii="宋体" w:hAnsi="宋体"/>
      </w:rPr>
    </w:pPr>
    <w:r>
      <w:rPr>
        <w:rFonts w:ascii="宋体" w:hAnsi="宋体" w:hint="eastAsia"/>
      </w:rPr>
      <w:t>交银施罗德智选星光混合型基金中基金（FOF-LOF）招募说明书更新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E85587">
    <w:pPr>
      <w:pStyle w:val="10"/>
      <w:jc w:val="right"/>
    </w:pPr>
  </w:p>
  <w:p w:rsidR="00E85587" w:rsidRDefault="00E85587">
    <w:pPr>
      <w:pStyle w:val="10"/>
      <w:jc w:val="right"/>
    </w:pPr>
  </w:p>
  <w:p w:rsidR="00E85587" w:rsidRDefault="00E85587">
    <w:pPr>
      <w:pStyle w:val="a3"/>
      <w:jc w:val="right"/>
    </w:pPr>
  </w:p>
  <w:p w:rsidR="00E85587" w:rsidRDefault="00346AE7">
    <w:pPr>
      <w:pStyle w:val="a3"/>
      <w:jc w:val="right"/>
      <w:rPr>
        <w:rFonts w:ascii="宋体" w:hAnsi="宋体"/>
      </w:rPr>
    </w:pPr>
    <w:r>
      <w:rPr>
        <w:rFonts w:ascii="宋体" w:hAnsi="宋体" w:hint="eastAsia"/>
      </w:rPr>
      <w:t>交银施罗德智选星光混合型基金中基金（FOF-LOF）招募说明书更新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87" w:rsidRDefault="00E85587">
    <w:pPr>
      <w:pStyle w:val="a3"/>
      <w:jc w:val="right"/>
    </w:pPr>
  </w:p>
  <w:p w:rsidR="00E85587" w:rsidRDefault="00E85587">
    <w:pPr>
      <w:pStyle w:val="a3"/>
      <w:jc w:val="right"/>
    </w:pPr>
  </w:p>
  <w:p w:rsidR="00E85587" w:rsidRDefault="00E85587">
    <w:pPr>
      <w:pStyle w:val="a3"/>
      <w:jc w:val="right"/>
    </w:pPr>
  </w:p>
  <w:p w:rsidR="00E85587" w:rsidRDefault="00346AE7">
    <w:pPr>
      <w:pStyle w:val="a3"/>
      <w:jc w:val="right"/>
      <w:rPr>
        <w:rFonts w:ascii="宋体" w:hAnsi="宋体"/>
      </w:rPr>
    </w:pPr>
    <w:r>
      <w:rPr>
        <w:rFonts w:ascii="宋体" w:hAnsi="宋体" w:hint="eastAsia"/>
      </w:rPr>
      <w:t>交银施罗德智选星光混合型基金中基金（FOF-LOF）招募说明书更新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6AE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92D"/>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8558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5D7A"/>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A4D1F626-4BF5-4E53-BDD3-E835CC5C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160</Pages>
  <Words>16995</Words>
  <Characters>96872</Characters>
  <Application>Microsoft Office Word</Application>
  <DocSecurity>0</DocSecurity>
  <Lines>807</Lines>
  <Paragraphs>227</Paragraphs>
  <ScaleCrop>false</ScaleCrop>
  <Company>Microsoft</Company>
  <LinksUpToDate>false</LinksUpToDate>
  <CharactersWithSpaces>113640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2026-08-12T06:37:00Z</dcterms:created>
  <dcterms:modified xsi:type="dcterms:W3CDTF">2026-08-12T06:37:00Z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