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交银施罗德优择回报灵活配置混合型证券投资基金（C类份额）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2026-07-25</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2026-07-29</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交银优择回报灵活配置混合C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519771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2016-04-22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高扬</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2026-07-25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周珊珊</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2024-12-10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提前终止基金合同，按照相关法律法规和基金合同的约定进入清算程序，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本基金在控制风险并保持基金资产良好的流动性的前提下，通过灵活的资产配置策略和积极主动的投资管理，力争为投资者提供长期稳健的投资回报。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含国债、央行票据、金融债、地方政府债、企业债、公司债、可转债（含可分离交易可转换债券）、可交换公司债、次级债、中期票据、短期融资券、超级短期融资券、中小企业私募债等）、资产支持证券、货币市场工具、银行存款、股指期货、权证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基金在任何交易日日终，持有的买入股指期货合约价值，不得超过基金资产净值的10%；基金在任何交易日日终，持有的卖出期货合约价值不得超过基金持有的股票总市值的20%。</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自上而下灵活调整基金大类资产配置比例和股票行业配置比例，确定债券组合久期和债券类别配置；在严谨深入的股票和债券研究分析基础上，自下而上精选股票和债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1、大类资产配置；2、股票投资策略；3、债券投资策略；4、权证投资；5、股指期货投资。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50%×沪深300指数收益率+50%×中债综合全价指数收益率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详见《交银施罗德优择回报灵活配置混合型证券投资基金招募说明书》第十部分“基金的投资”。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2、本基金合同于2016年4月22日生效，合同生效当年净值增长率按实际存续期计算。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1.04%</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7、基金合同提前终止风险</w:t>
      </w:r>
    </w:p>
    <w:p>
      <w:pPr>
        <w:ind w:firstLine="420"/>
        <w:jc w:val="left"/>
        <w:rPr>
          <w:rFonts w:ascii="仿宋_GB2312" w:eastAsia="仿宋_GB2312"/>
          <w:szCs w:val="21"/>
        </w:rPr>
      </w:pPr>
      <w:r>
        <w:rPr>
          <w:rFonts w:hint="eastAsia" w:ascii="仿宋_GB2312" w:eastAsia="仿宋_GB2312"/>
          <w:szCs w:val="21"/>
        </w:rPr>
        <w:t>连续六十个工作日出现基金份额持有人数量不满200人或者基金资产净值低于5000万元情形的，基金管理人将提前终止基金合同，按照相关法律法规和基金合同的约定进入清算程序，不需召开基金份额持有人大会。</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11、其他风险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●《交银施罗德优择回报灵活配置混合型证券投资基金基金合同》、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《交银施罗德优择回报灵活配置混合型证券投资基金托管协议》、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《交银施罗德优择回报灵活配置混合型证券投资基金招募说明书》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BF7A45"/>
    <w:rsid w:val="00C0525C"/>
    <w:rsid w:val="00CD7637"/>
    <w:rsid w:val="00D04A15"/>
    <w:rsid w:val="00D373CC"/>
    <w:rsid w:val="00DB319C"/>
    <w:rsid w:val="00E51B6D"/>
    <w:rsid w:val="00F75715"/>
    <w:rsid w:val="00F811C4"/>
    <w:rsid w:val="00FC2918"/>
    <w:rsid w:val="42D915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760</Words>
  <Characters>4336</Characters>
  <Lines>36</Lines>
  <Paragraphs>10</Paragraphs>
  <TotalTime>2</TotalTime>
  <ScaleCrop>false</ScaleCrop>
  <LinksUpToDate>false</LinksUpToDate>
  <CharactersWithSpaces>5086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2026-07-28T00:58:00Z</dcterms:created>
  <dc:creator>Cc</dc:creator>
  <cp:lastModifiedBy>haotingting</cp:lastModifiedBy>
  <dcterms:modified xsi:type="dcterms:W3CDTF">2026-07-28T01:07:29Z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6A14258C91C647C7A2CD0F2322DB0B1F</vt:lpwstr>
  </property>
</Properties>
</file>