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交银施罗德优择回报灵活配置混合型证券投资基金（A类份额）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2026-07-25</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2026-07-29</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交银优择回报灵活配置混合A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519770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中信银行股份有限公司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2016-04-22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高扬</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2026-07-25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2016-07-11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周珊珊</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2024-12-10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2008-07-01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本基金在控制风险并保持基金资产良好的流动性的前提下，通过灵活的资产配置策略和积极主动的投资管理，力争为投资者提供长期稳健的投资回报。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1、大类资产配置；2、股票投资策略；3、债券投资策略；4、权证投资；5、股指期货投资。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50%×沪深300指数收益率+50%×中债综合全价指数收益率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详见《交银施罗德优择回报灵活配置混合型证券投资基金招募说明书》第十部分“基金的投资”。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2、本基金合同于2016年4月22日生效，合同生效当年净值增长率按实际存续期计算。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0.3%</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30天≤N＜180天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180天≤N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0.60%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0.84%</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7、基金合同提前终止风险</w:t>
      </w:r>
    </w:p>
    <w:p>
      <w:pPr>
        <w:ind w:firstLine="420"/>
        <w:jc w:val="left"/>
        <w:rPr>
          <w:rFonts w:ascii="仿宋_GB2312" w:eastAsia="仿宋_GB2312"/>
          <w:szCs w:val="21"/>
        </w:rPr>
      </w:pPr>
      <w:r>
        <w:rPr>
          <w:rFonts w:hint="eastAsia" w:ascii="仿宋_GB2312" w:eastAsia="仿宋_GB2312"/>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●《交银施罗德优择回报灵活配置混合型证券投资基金基金合同》、</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《交银施罗德优择回报灵活配置混合型证券投资基金托管协议》、</w:t>
      </w:r>
    </w:p>
    <w:p>
      <w:pPr>
        <w:ind w:firstLine="420"/>
        <w:jc w:val="left"/>
        <w:rPr>
          <w:rFonts w:ascii="仿宋_GB2312" w:eastAsia="仿宋_GB2312"/>
          <w:szCs w:val="21"/>
        </w:rPr>
      </w:pPr>
      <w:r>
        <w:rPr>
          <w:rFonts w:hint="eastAsia" w:ascii="仿宋_GB2312" w:eastAsia="仿宋_GB2312"/>
          <w:szCs w:val="21"/>
        </w:rPr>
        <w:t>《交银施罗德优择回报灵活配置混合型证券投资基金招募说明书》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0FF3058"/>
    <w:rsid w:val="1EF17F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784</Words>
  <Characters>4470</Characters>
  <Lines>37</Lines>
  <Paragraphs>10</Paragraphs>
  <TotalTime>1</TotalTime>
  <ScaleCrop>false</ScaleCrop>
  <LinksUpToDate>false</LinksUpToDate>
  <CharactersWithSpaces>5244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2026-07-28T00:58:00Z</dcterms:created>
  <dc:creator>Cc</dc:creator>
  <cp:lastModifiedBy>haotingting</cp:lastModifiedBy>
  <dcterms:modified xsi:type="dcterms:W3CDTF">2026-07-28T01:04:58Z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B15BA5075E3E4CFEA7603DB50D1A64C4</vt:lpwstr>
  </property>
</Properties>
</file>