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382FA6">
      <w:pPr>
        <w:rPr>
          <w:sz w:val="32"/>
        </w:rPr>
      </w:pPr>
    </w:p>
    <w:p w:rsidR="00C92FC0" w:rsidRPr="00EB07BC" w:rsidRDefault="00382FA6">
      <w:pPr>
        <w:rPr>
          <w:sz w:val="32"/>
        </w:rPr>
      </w:pPr>
    </w:p>
    <w:p w:rsidR="00C92FC0" w:rsidRPr="00EB07BC" w:rsidRDefault="00382FA6">
      <w:pPr>
        <w:rPr>
          <w:sz w:val="32"/>
        </w:rPr>
      </w:pPr>
    </w:p>
    <w:p w:rsidR="005A47C9" w:rsidRDefault="005A47C9">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5A47C9" w:rsidRDefault="005A47C9">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5A47C9" w:rsidRDefault="005A47C9">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5A47C9" w:rsidRDefault="00DB33E2">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交银施罗德智选星光混合型基金中基金（</w:t>
      </w:r>
      <w:r>
        <w:rPr>
          <w:rFonts w:ascii="Times New Roman" w:hAnsi="Times New Roman"/>
          <w:b/>
          <w:spacing w:val="2"/>
          <w:w w:val="99"/>
          <w:kern w:val="0"/>
          <w:position w:val="-4"/>
          <w:sz w:val="44"/>
          <w:szCs w:val="44"/>
        </w:rPr>
        <w:t>FOF-LOF</w:t>
      </w:r>
      <w:r>
        <w:rPr>
          <w:rFonts w:ascii="Times New Roman" w:hAnsi="Times New Roman"/>
          <w:b/>
          <w:spacing w:val="2"/>
          <w:w w:val="99"/>
          <w:kern w:val="0"/>
          <w:position w:val="-4"/>
          <w:sz w:val="44"/>
          <w:szCs w:val="44"/>
        </w:rPr>
        <w:t>）</w:t>
      </w:r>
    </w:p>
    <w:p w:rsidR="005A47C9" w:rsidRDefault="00DB33E2">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5A47C9" w:rsidRDefault="005A47C9">
      <w:pPr>
        <w:snapToGrid w:val="0"/>
        <w:spacing w:line="360" w:lineRule="auto"/>
        <w:jc w:val="center"/>
        <w:rPr>
          <w:rFonts w:ascii="宋体" w:hAnsi="宋体"/>
          <w:b/>
          <w:sz w:val="30"/>
          <w:szCs w:val="30"/>
        </w:rPr>
      </w:pPr>
    </w:p>
    <w:p w:rsidR="005A47C9" w:rsidRDefault="005A47C9">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5A47C9" w:rsidRDefault="005A47C9">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5A47C9" w:rsidRDefault="005A47C9">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5A47C9" w:rsidRDefault="005A47C9">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5A47C9" w:rsidRDefault="005A47C9">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5A47C9" w:rsidRDefault="005A47C9">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5A47C9" w:rsidRDefault="00DB33E2">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5A47C9" w:rsidRDefault="00DB33E2">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基金托管人：中国光大银行股份有限公司</w:t>
      </w:r>
    </w:p>
    <w:p w:rsidR="005A47C9" w:rsidRDefault="005A47C9">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5A47C9" w:rsidRDefault="005A47C9">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5A47C9" w:rsidRDefault="00DB33E2">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二〇二六年七月</w:t>
      </w:r>
    </w:p>
    <w:p w:rsidR="005A47C9" w:rsidRDefault="005A47C9">
      <w:pPr>
        <w:autoSpaceDE w:val="0"/>
        <w:autoSpaceDN w:val="0"/>
        <w:adjustRightInd w:val="0"/>
        <w:snapToGrid w:val="0"/>
        <w:spacing w:line="360" w:lineRule="auto"/>
        <w:ind w:left="1347" w:rightChars="6" w:right="13"/>
        <w:rPr>
          <w:rFonts w:ascii="宋体" w:hAnsi="宋体"/>
          <w:kern w:val="0"/>
          <w:sz w:val="32"/>
          <w:szCs w:val="32"/>
        </w:rPr>
        <w:sectPr w:rsidR="005A47C9">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5A47C9" w:rsidRDefault="00DB33E2">
      <w:pPr>
        <w:pStyle w:val="1"/>
        <w:snapToGrid w:val="0"/>
        <w:spacing w:beforeLines="0" w:before="240" w:after="240"/>
        <w:rPr>
          <w:rFonts w:ascii="宋体" w:hAnsi="宋体"/>
          <w:kern w:val="0"/>
        </w:rPr>
      </w:pPr>
      <w:bookmarkStart w:id="0" w:name="_Toc324920538"/>
      <w:bookmarkStart w:id="1" w:name="_Toc496884613"/>
      <w:bookmarkStart w:id="2" w:name="_Toc235443124"/>
      <w:r>
        <w:rPr>
          <w:rFonts w:ascii="Times New Roman" w:hAnsi="Times New Roman"/>
          <w:kern w:val="0"/>
        </w:rPr>
        <w:lastRenderedPageBreak/>
        <w:t>重要提示</w:t>
      </w:r>
      <w:bookmarkEnd w:id="0"/>
      <w:bookmarkEnd w:id="1"/>
      <w:bookmarkEnd w:id="2"/>
    </w:p>
    <w:p w:rsidR="005A47C9" w:rsidRDefault="00DB33E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交银施罗德智选星光混合型基金中基金（</w:t>
      </w:r>
      <w:r>
        <w:rPr>
          <w:rFonts w:ascii="Times New Roman" w:hAnsi="Times New Roman"/>
          <w:kern w:val="0"/>
          <w:sz w:val="24"/>
        </w:rPr>
        <w:t>FOF-LOF</w:t>
      </w:r>
      <w:r>
        <w:rPr>
          <w:rFonts w:ascii="Times New Roman" w:hAnsi="Times New Roman"/>
          <w:kern w:val="0"/>
          <w:sz w:val="24"/>
        </w:rPr>
        <w:t>）由交银施罗德智选星光一年封闭运作混合型基金中基金（</w:t>
      </w:r>
      <w:r>
        <w:rPr>
          <w:rFonts w:ascii="Times New Roman" w:hAnsi="Times New Roman"/>
          <w:kern w:val="0"/>
          <w:sz w:val="24"/>
        </w:rPr>
        <w:t>FOF-LOF</w:t>
      </w:r>
      <w:r>
        <w:rPr>
          <w:rFonts w:ascii="Times New Roman" w:hAnsi="Times New Roman"/>
          <w:kern w:val="0"/>
          <w:sz w:val="24"/>
        </w:rPr>
        <w:t>）封闭期届满后更名而来。交银施罗德智选星光一年封闭运作混合型基金中基金（</w:t>
      </w:r>
      <w:r>
        <w:rPr>
          <w:rFonts w:ascii="Times New Roman" w:hAnsi="Times New Roman"/>
          <w:kern w:val="0"/>
          <w:sz w:val="24"/>
        </w:rPr>
        <w:t>FOF-LOF</w:t>
      </w:r>
      <w:r>
        <w:rPr>
          <w:rFonts w:ascii="Times New Roman" w:hAnsi="Times New Roman"/>
          <w:kern w:val="0"/>
          <w:sz w:val="24"/>
        </w:rPr>
        <w:t>）（以下与交银施罗德智选星光混合型基金中基金（</w:t>
      </w:r>
      <w:r>
        <w:rPr>
          <w:rFonts w:ascii="Times New Roman" w:hAnsi="Times New Roman"/>
          <w:kern w:val="0"/>
          <w:sz w:val="24"/>
        </w:rPr>
        <w:t>FOF-LOF</w:t>
      </w:r>
      <w:r>
        <w:rPr>
          <w:rFonts w:ascii="Times New Roman" w:hAnsi="Times New Roman"/>
          <w:kern w:val="0"/>
          <w:sz w:val="24"/>
        </w:rPr>
        <w:t>）简称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2021</w:t>
      </w:r>
      <w:r>
        <w:rPr>
          <w:rFonts w:ascii="Times New Roman" w:hAnsi="Times New Roman"/>
          <w:kern w:val="0"/>
          <w:sz w:val="24"/>
        </w:rPr>
        <w:t>年</w:t>
      </w:r>
      <w:r>
        <w:rPr>
          <w:rFonts w:ascii="Times New Roman" w:hAnsi="Times New Roman"/>
          <w:kern w:val="0"/>
          <w:sz w:val="24"/>
        </w:rPr>
        <w:t>9</w:t>
      </w:r>
      <w:r>
        <w:rPr>
          <w:rFonts w:ascii="Times New Roman" w:hAnsi="Times New Roman"/>
          <w:kern w:val="0"/>
          <w:sz w:val="24"/>
        </w:rPr>
        <w:t>月</w:t>
      </w:r>
      <w:r>
        <w:rPr>
          <w:rFonts w:ascii="Times New Roman" w:hAnsi="Times New Roman"/>
          <w:kern w:val="0"/>
          <w:sz w:val="24"/>
        </w:rPr>
        <w:t>16</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2021</w:t>
      </w:r>
      <w:r>
        <w:rPr>
          <w:rFonts w:ascii="Times New Roman" w:hAnsi="Times New Roman"/>
          <w:kern w:val="0"/>
          <w:sz w:val="24"/>
        </w:rPr>
        <w:t>】</w:t>
      </w:r>
      <w:r>
        <w:rPr>
          <w:rFonts w:ascii="Times New Roman" w:hAnsi="Times New Roman"/>
          <w:kern w:val="0"/>
          <w:sz w:val="24"/>
        </w:rPr>
        <w:t>3049</w:t>
      </w:r>
      <w:r>
        <w:rPr>
          <w:rFonts w:ascii="Times New Roman" w:hAnsi="Times New Roman"/>
          <w:kern w:val="0"/>
          <w:sz w:val="24"/>
        </w:rPr>
        <w:t>号文准予募集注册。本基金基金合同于</w:t>
      </w:r>
      <w:r>
        <w:rPr>
          <w:rFonts w:ascii="Times New Roman" w:hAnsi="Times New Roman"/>
          <w:kern w:val="0"/>
          <w:sz w:val="24"/>
        </w:rPr>
        <w:t>2021</w:t>
      </w:r>
      <w:r>
        <w:rPr>
          <w:rFonts w:ascii="Times New Roman" w:hAnsi="Times New Roman"/>
          <w:kern w:val="0"/>
          <w:sz w:val="24"/>
        </w:rPr>
        <w:t>年</w:t>
      </w:r>
      <w:r>
        <w:rPr>
          <w:rFonts w:ascii="Times New Roman" w:hAnsi="Times New Roman"/>
          <w:kern w:val="0"/>
          <w:sz w:val="24"/>
        </w:rPr>
        <w:t>11</w:t>
      </w:r>
      <w:r>
        <w:rPr>
          <w:rFonts w:ascii="Times New Roman" w:hAnsi="Times New Roman"/>
          <w:kern w:val="0"/>
          <w:sz w:val="24"/>
        </w:rPr>
        <w:t>月</w:t>
      </w:r>
      <w:r>
        <w:rPr>
          <w:rFonts w:ascii="Times New Roman" w:hAnsi="Times New Roman"/>
          <w:kern w:val="0"/>
          <w:sz w:val="24"/>
        </w:rPr>
        <w:t>10</w:t>
      </w:r>
      <w:r>
        <w:rPr>
          <w:rFonts w:ascii="Times New Roman" w:hAnsi="Times New Roman"/>
          <w:kern w:val="0"/>
          <w:sz w:val="24"/>
        </w:rPr>
        <w:t>日正式生效。</w:t>
      </w:r>
    </w:p>
    <w:p w:rsidR="005A47C9" w:rsidRDefault="00DB33E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投资价值和市场前景作出实质性判断或保证，也不表明投资于本基金没有风险。</w:t>
      </w:r>
    </w:p>
    <w:p w:rsidR="005A47C9" w:rsidRDefault="00DB33E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谨慎勤勉的原则管理和运用基金财产，但不保证投资本基金一定盈利，也不保证基金份额持有人的最低收益；因基金价格可升可跌，亦不保证基金份额持有人能全数取回其原本投资。</w:t>
      </w:r>
    </w:p>
    <w:p w:rsidR="005A47C9" w:rsidRDefault="00DB33E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本基金为基金中基金，由于本基金主要投资于经中国证监会依法核准或注册的公开募集证券投资基金的基金份额，投资本基金可能遇到的风险包括：因受到经济因素、政治因素、投资心理和交易制度等各种因素的影响而引起的市场风险；基金管理人在基金管理运作过程中产生的基金管理风险；流动性风险（包括实施侧袋机制时的特定风险）；信用风险；基金中基金的特有风险；投资资产支持证券的特定风险；投资流通受限证券的特定风险；投资科创板股票的特定风险；连续</w:t>
      </w:r>
      <w:r>
        <w:rPr>
          <w:rFonts w:ascii="Times New Roman" w:hAnsi="Times New Roman"/>
          <w:kern w:val="0"/>
          <w:sz w:val="24"/>
        </w:rPr>
        <w:t>50</w:t>
      </w:r>
      <w:r>
        <w:rPr>
          <w:rFonts w:ascii="Times New Roman" w:hAnsi="Times New Roman"/>
          <w:kern w:val="0"/>
          <w:sz w:val="24"/>
        </w:rPr>
        <w:t>个工作日出现基金份额持有人数量不满</w:t>
      </w:r>
      <w:r>
        <w:rPr>
          <w:rFonts w:ascii="Times New Roman" w:hAnsi="Times New Roman"/>
          <w:kern w:val="0"/>
          <w:sz w:val="24"/>
        </w:rPr>
        <w:t>200</w:t>
      </w:r>
      <w:r>
        <w:rPr>
          <w:rFonts w:ascii="Times New Roman" w:hAnsi="Times New Roman"/>
          <w:kern w:val="0"/>
          <w:sz w:val="24"/>
        </w:rPr>
        <w:t>人或基金资产净值低于</w:t>
      </w:r>
      <w:r>
        <w:rPr>
          <w:rFonts w:ascii="Times New Roman" w:hAnsi="Times New Roman"/>
          <w:kern w:val="0"/>
          <w:sz w:val="24"/>
        </w:rPr>
        <w:t>5000</w:t>
      </w:r>
      <w:r>
        <w:rPr>
          <w:rFonts w:ascii="Times New Roman" w:hAnsi="Times New Roman"/>
          <w:kern w:val="0"/>
          <w:sz w:val="24"/>
        </w:rPr>
        <w:t>万元情形时，基金合同提前终止的风险；基金上市交易的风险；基金份额二级市场交易价格折溢价的风险；退市风险；投资本基金特有的其他风险等等。本基金为混合型基金中基金，其预期风险与预期收益高于债券型基金、债券型基金中基金、货币市场基金和货币型基金中基金，低于股票型基金和股票型基金中基金。</w:t>
      </w:r>
    </w:p>
    <w:p w:rsidR="005A47C9" w:rsidRDefault="00DB33E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lastRenderedPageBreak/>
        <w:t>基金合同生效后，前一年封闭运作，在封闭期内，本基金不办理申购、赎回业务，但投资人可在本基金</w:t>
      </w:r>
      <w:r>
        <w:rPr>
          <w:rFonts w:ascii="Times New Roman" w:hAnsi="Times New Roman"/>
          <w:kern w:val="0"/>
          <w:sz w:val="24"/>
        </w:rPr>
        <w:t>A</w:t>
      </w:r>
      <w:r>
        <w:rPr>
          <w:rFonts w:ascii="Times New Roman" w:hAnsi="Times New Roman"/>
          <w:kern w:val="0"/>
          <w:sz w:val="24"/>
        </w:rPr>
        <w:t>类基金份额上市交易后通过上海证券交易所转让</w:t>
      </w:r>
      <w:r>
        <w:rPr>
          <w:rFonts w:ascii="Times New Roman" w:hAnsi="Times New Roman"/>
          <w:kern w:val="0"/>
          <w:sz w:val="24"/>
        </w:rPr>
        <w:t>A</w:t>
      </w:r>
      <w:r>
        <w:rPr>
          <w:rFonts w:ascii="Times New Roman" w:hAnsi="Times New Roman"/>
          <w:kern w:val="0"/>
          <w:sz w:val="24"/>
        </w:rPr>
        <w:t>类基金份额。本基金封闭期结束转为开放式运作后，投资人方可进行</w:t>
      </w:r>
      <w:r>
        <w:rPr>
          <w:rFonts w:ascii="Times New Roman" w:hAnsi="Times New Roman"/>
          <w:kern w:val="0"/>
          <w:sz w:val="24"/>
        </w:rPr>
        <w:t>A</w:t>
      </w:r>
      <w:r>
        <w:rPr>
          <w:rFonts w:ascii="Times New Roman" w:hAnsi="Times New Roman"/>
          <w:kern w:val="0"/>
          <w:sz w:val="24"/>
        </w:rPr>
        <w:t>类</w:t>
      </w:r>
      <w:r>
        <w:rPr>
          <w:rFonts w:ascii="Times New Roman" w:hAnsi="Times New Roman"/>
          <w:kern w:val="0"/>
          <w:sz w:val="24"/>
        </w:rPr>
        <w:t>/C</w:t>
      </w:r>
      <w:r>
        <w:rPr>
          <w:rFonts w:ascii="Times New Roman" w:hAnsi="Times New Roman"/>
          <w:kern w:val="0"/>
          <w:sz w:val="24"/>
        </w:rPr>
        <w:t>类基金份额的申购与赎回。投资者将面临封闭期内无法赎回基金份额的风险。</w:t>
      </w:r>
    </w:p>
    <w:p w:rsidR="005A47C9" w:rsidRDefault="00DB33E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5A47C9" w:rsidRDefault="00DB33E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本基金投资内地与香港股票市场交易互联互通机制允许买卖的规定范围内的香港联合交易所有限公司（以下简称</w:t>
      </w:r>
      <w:r>
        <w:rPr>
          <w:rFonts w:ascii="Times New Roman" w:hAnsi="Times New Roman"/>
          <w:kern w:val="0"/>
          <w:sz w:val="24"/>
        </w:rPr>
        <w:t>“</w:t>
      </w:r>
      <w:r>
        <w:rPr>
          <w:rFonts w:ascii="Times New Roman" w:hAnsi="Times New Roman"/>
          <w:kern w:val="0"/>
          <w:sz w:val="24"/>
        </w:rPr>
        <w:t>香港联合交易所</w:t>
      </w:r>
      <w:r>
        <w:rPr>
          <w:rFonts w:ascii="Times New Roman" w:hAnsi="Times New Roman"/>
          <w:kern w:val="0"/>
          <w:sz w:val="24"/>
        </w:rPr>
        <w:t>”</w:t>
      </w:r>
      <w:r>
        <w:rPr>
          <w:rFonts w:ascii="Times New Roman" w:hAnsi="Times New Roman"/>
          <w:kern w:val="0"/>
          <w:sz w:val="24"/>
        </w:rPr>
        <w:t>）上市的股票（以下简称</w:t>
      </w:r>
      <w:r>
        <w:rPr>
          <w:rFonts w:ascii="Times New Roman" w:hAnsi="Times New Roman"/>
          <w:kern w:val="0"/>
          <w:sz w:val="24"/>
        </w:rPr>
        <w:t>“</w:t>
      </w:r>
      <w:r>
        <w:rPr>
          <w:rFonts w:ascii="Times New Roman" w:hAnsi="Times New Roman"/>
          <w:kern w:val="0"/>
          <w:sz w:val="24"/>
        </w:rPr>
        <w:t>港股通标的股票</w:t>
      </w:r>
      <w:r>
        <w:rPr>
          <w:rFonts w:ascii="Times New Roman" w:hAnsi="Times New Roman"/>
          <w:kern w:val="0"/>
          <w:sz w:val="24"/>
        </w:rPr>
        <w:t>”</w:t>
      </w:r>
      <w:r>
        <w:rPr>
          <w:rFonts w:ascii="Times New Roman" w:hAnsi="Times New Roman"/>
          <w:kern w:val="0"/>
          <w:sz w:val="24"/>
        </w:rPr>
        <w:t>）的，会面临港股通机制下因投资环境、投资标的、市场制度以及交易规则等差异带来的特有风险，包括港股市场股价波动较大的风险（港股市场实行</w:t>
      </w:r>
      <w:r>
        <w:rPr>
          <w:rFonts w:ascii="Times New Roman" w:hAnsi="Times New Roman"/>
          <w:kern w:val="0"/>
          <w:sz w:val="24"/>
        </w:rPr>
        <w:t>T+0</w:t>
      </w:r>
      <w:r>
        <w:rPr>
          <w:rFonts w:ascii="Times New Roman" w:hAnsi="Times New Roman"/>
          <w:kern w:val="0"/>
          <w:sz w:val="24"/>
        </w:rPr>
        <w:t>回转交易，且对个股不设涨跌幅限制，港股股价可能表现出比</w:t>
      </w:r>
      <w:r>
        <w:rPr>
          <w:rFonts w:ascii="Times New Roman" w:hAnsi="Times New Roman"/>
          <w:kern w:val="0"/>
          <w:sz w:val="24"/>
        </w:rPr>
        <w:t>A</w:t>
      </w:r>
      <w:r>
        <w:rPr>
          <w:rFonts w:ascii="Times New Roman" w:hAnsi="Times New Roman"/>
          <w:kern w:val="0"/>
          <w:sz w:val="24"/>
        </w:rPr>
        <w:t>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具体风险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章节的具体内容。</w:t>
      </w:r>
    </w:p>
    <w:p w:rsidR="005A47C9" w:rsidRDefault="00DB33E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基金可根据投资策略需要或不同配置地市场环境的变化，选择将部分基金资产投资于港股或选择不将基金资产投资于港股，基金资产并非必然投资港股。</w:t>
      </w:r>
    </w:p>
    <w:p w:rsidR="005A47C9" w:rsidRDefault="00DB33E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5A47C9" w:rsidRDefault="00DB33E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rsidR="005A47C9" w:rsidRDefault="00DB33E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根据基金合同的约定，基金合同生效后，前一年封闭运作，在封闭期内，本基金不办理申购、赎回业务，但投资人可在本基金上市交易后通过上海证券交易所转让基金份额。封闭期届满后，本基金转为上市开放式基金中基金，基金名称相应变更为</w:t>
      </w:r>
      <w:r>
        <w:rPr>
          <w:rFonts w:ascii="Times New Roman" w:hAnsi="Times New Roman"/>
          <w:kern w:val="0"/>
          <w:sz w:val="24"/>
        </w:rPr>
        <w:t>“</w:t>
      </w:r>
      <w:r>
        <w:rPr>
          <w:rFonts w:ascii="Times New Roman" w:hAnsi="Times New Roman"/>
          <w:kern w:val="0"/>
          <w:sz w:val="24"/>
        </w:rPr>
        <w:t>交银施罗德智选星光混合型基金中基金（</w:t>
      </w:r>
      <w:r>
        <w:rPr>
          <w:rFonts w:ascii="Times New Roman" w:hAnsi="Times New Roman"/>
          <w:kern w:val="0"/>
          <w:sz w:val="24"/>
        </w:rPr>
        <w:t>FOF-LOF</w:t>
      </w:r>
      <w:r>
        <w:rPr>
          <w:rFonts w:ascii="Times New Roman" w:hAnsi="Times New Roman"/>
          <w:kern w:val="0"/>
          <w:sz w:val="24"/>
        </w:rPr>
        <w:t>）</w:t>
      </w:r>
      <w:r>
        <w:rPr>
          <w:rFonts w:ascii="Times New Roman" w:hAnsi="Times New Roman"/>
          <w:kern w:val="0"/>
          <w:sz w:val="24"/>
        </w:rPr>
        <w:t>”</w:t>
      </w:r>
      <w:r>
        <w:rPr>
          <w:rFonts w:ascii="Times New Roman" w:hAnsi="Times New Roman"/>
          <w:kern w:val="0"/>
          <w:sz w:val="24"/>
        </w:rPr>
        <w:t>，可办理场</w:t>
      </w:r>
      <w:r>
        <w:rPr>
          <w:rFonts w:ascii="Times New Roman" w:hAnsi="Times New Roman"/>
          <w:kern w:val="0"/>
          <w:sz w:val="24"/>
        </w:rPr>
        <w:lastRenderedPageBreak/>
        <w:t>外、场内申购赎回，并继续在上海证券交易所上市交易。但若本基金在封闭期内出现上海证券交易所相关业务规则规定的因不再具备上市条件而应当终止上市的情形，则本基金封闭期届满后将转为非上市的开放式基金中基金。</w:t>
      </w:r>
    </w:p>
    <w:p w:rsidR="005A47C9" w:rsidRDefault="00DB33E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交银施罗德智选星光一年封闭运作混合型基金中基金（</w:t>
      </w:r>
      <w:r>
        <w:rPr>
          <w:rFonts w:ascii="Times New Roman" w:hAnsi="Times New Roman"/>
          <w:kern w:val="0"/>
          <w:sz w:val="24"/>
        </w:rPr>
        <w:t>FOF-LOF</w:t>
      </w:r>
      <w:r>
        <w:rPr>
          <w:rFonts w:ascii="Times New Roman" w:hAnsi="Times New Roman"/>
          <w:kern w:val="0"/>
          <w:sz w:val="24"/>
        </w:rPr>
        <w:t>）的封闭期自</w:t>
      </w:r>
      <w:r>
        <w:rPr>
          <w:rFonts w:ascii="Times New Roman" w:hAnsi="Times New Roman"/>
          <w:kern w:val="0"/>
          <w:sz w:val="24"/>
        </w:rPr>
        <w:t>2021</w:t>
      </w:r>
      <w:r>
        <w:rPr>
          <w:rFonts w:ascii="Times New Roman" w:hAnsi="Times New Roman"/>
          <w:kern w:val="0"/>
          <w:sz w:val="24"/>
        </w:rPr>
        <w:t>年</w:t>
      </w:r>
      <w:r>
        <w:rPr>
          <w:rFonts w:ascii="Times New Roman" w:hAnsi="Times New Roman"/>
          <w:kern w:val="0"/>
          <w:sz w:val="24"/>
        </w:rPr>
        <w:t>11</w:t>
      </w:r>
      <w:r>
        <w:rPr>
          <w:rFonts w:ascii="Times New Roman" w:hAnsi="Times New Roman"/>
          <w:kern w:val="0"/>
          <w:sz w:val="24"/>
        </w:rPr>
        <w:t>月</w:t>
      </w:r>
      <w:r>
        <w:rPr>
          <w:rFonts w:ascii="Times New Roman" w:hAnsi="Times New Roman"/>
          <w:kern w:val="0"/>
          <w:sz w:val="24"/>
        </w:rPr>
        <w:t>10</w:t>
      </w:r>
      <w:r>
        <w:rPr>
          <w:rFonts w:ascii="Times New Roman" w:hAnsi="Times New Roman"/>
          <w:kern w:val="0"/>
          <w:sz w:val="24"/>
        </w:rPr>
        <w:t>日起至</w:t>
      </w:r>
      <w:r>
        <w:rPr>
          <w:rFonts w:ascii="Times New Roman" w:hAnsi="Times New Roman"/>
          <w:kern w:val="0"/>
          <w:sz w:val="24"/>
        </w:rPr>
        <w:t>2022</w:t>
      </w:r>
      <w:r>
        <w:rPr>
          <w:rFonts w:ascii="Times New Roman" w:hAnsi="Times New Roman"/>
          <w:kern w:val="0"/>
          <w:sz w:val="24"/>
        </w:rPr>
        <w:t>年</w:t>
      </w:r>
      <w:r>
        <w:rPr>
          <w:rFonts w:ascii="Times New Roman" w:hAnsi="Times New Roman"/>
          <w:kern w:val="0"/>
          <w:sz w:val="24"/>
        </w:rPr>
        <w:t>11</w:t>
      </w:r>
      <w:r>
        <w:rPr>
          <w:rFonts w:ascii="Times New Roman" w:hAnsi="Times New Roman"/>
          <w:kern w:val="0"/>
          <w:sz w:val="24"/>
        </w:rPr>
        <w:t>月</w:t>
      </w:r>
      <w:r>
        <w:rPr>
          <w:rFonts w:ascii="Times New Roman" w:hAnsi="Times New Roman"/>
          <w:kern w:val="0"/>
          <w:sz w:val="24"/>
        </w:rPr>
        <w:t>9</w:t>
      </w:r>
      <w:r>
        <w:rPr>
          <w:rFonts w:ascii="Times New Roman" w:hAnsi="Times New Roman"/>
          <w:kern w:val="0"/>
          <w:sz w:val="24"/>
        </w:rPr>
        <w:t>日止。自</w:t>
      </w:r>
      <w:r>
        <w:rPr>
          <w:rFonts w:ascii="Times New Roman" w:hAnsi="Times New Roman"/>
          <w:kern w:val="0"/>
          <w:sz w:val="24"/>
        </w:rPr>
        <w:t>2022</w:t>
      </w:r>
      <w:r>
        <w:rPr>
          <w:rFonts w:ascii="Times New Roman" w:hAnsi="Times New Roman"/>
          <w:kern w:val="0"/>
          <w:sz w:val="24"/>
        </w:rPr>
        <w:t>年</w:t>
      </w:r>
      <w:r>
        <w:rPr>
          <w:rFonts w:ascii="Times New Roman" w:hAnsi="Times New Roman"/>
          <w:kern w:val="0"/>
          <w:sz w:val="24"/>
        </w:rPr>
        <w:t>11</w:t>
      </w:r>
      <w:r>
        <w:rPr>
          <w:rFonts w:ascii="Times New Roman" w:hAnsi="Times New Roman"/>
          <w:kern w:val="0"/>
          <w:sz w:val="24"/>
        </w:rPr>
        <w:t>月</w:t>
      </w:r>
      <w:r>
        <w:rPr>
          <w:rFonts w:ascii="Times New Roman" w:hAnsi="Times New Roman"/>
          <w:kern w:val="0"/>
          <w:sz w:val="24"/>
        </w:rPr>
        <w:t>10</w:t>
      </w:r>
      <w:r>
        <w:rPr>
          <w:rFonts w:ascii="Times New Roman" w:hAnsi="Times New Roman"/>
          <w:kern w:val="0"/>
          <w:sz w:val="24"/>
        </w:rPr>
        <w:t>日起，本基金的基金名称变更为</w:t>
      </w:r>
      <w:r>
        <w:rPr>
          <w:rFonts w:ascii="Times New Roman" w:hAnsi="Times New Roman"/>
          <w:kern w:val="0"/>
          <w:sz w:val="24"/>
        </w:rPr>
        <w:t>“</w:t>
      </w:r>
      <w:r>
        <w:rPr>
          <w:rFonts w:ascii="Times New Roman" w:hAnsi="Times New Roman"/>
          <w:kern w:val="0"/>
          <w:sz w:val="24"/>
        </w:rPr>
        <w:t>交银施罗德智选星光混合型基金中基金（</w:t>
      </w:r>
      <w:r>
        <w:rPr>
          <w:rFonts w:ascii="Times New Roman" w:hAnsi="Times New Roman"/>
          <w:kern w:val="0"/>
          <w:sz w:val="24"/>
        </w:rPr>
        <w:t>FOF-LOF</w:t>
      </w:r>
      <w:r>
        <w:rPr>
          <w:rFonts w:ascii="Times New Roman" w:hAnsi="Times New Roman"/>
          <w:kern w:val="0"/>
          <w:sz w:val="24"/>
        </w:rPr>
        <w:t>）</w:t>
      </w:r>
      <w:r>
        <w:rPr>
          <w:rFonts w:ascii="Times New Roman" w:hAnsi="Times New Roman"/>
          <w:kern w:val="0"/>
          <w:sz w:val="24"/>
        </w:rPr>
        <w:t>”</w:t>
      </w:r>
      <w:r>
        <w:rPr>
          <w:rFonts w:ascii="Times New Roman" w:hAnsi="Times New Roman"/>
          <w:kern w:val="0"/>
          <w:sz w:val="24"/>
        </w:rPr>
        <w:t>，并适用《基金合同》中关于封闭期届满后运作的有关规定。</w:t>
      </w:r>
    </w:p>
    <w:p w:rsidR="005A47C9" w:rsidRDefault="00DB33E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基金合同、基金产品资料概要等信息披露文件，自主判断基金的投资价值，自主作出投资决策，自行承担投资风险。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5A47C9" w:rsidRDefault="00DB33E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本基金单一投资者持有基金份额数不得超过基金份额总数的</w:t>
      </w:r>
      <w:r>
        <w:rPr>
          <w:rFonts w:ascii="Times New Roman" w:hAnsi="Times New Roman"/>
          <w:kern w:val="0"/>
          <w:sz w:val="24"/>
        </w:rPr>
        <w:t>50%</w:t>
      </w:r>
      <w:r>
        <w:rPr>
          <w:rFonts w:ascii="Times New Roman" w:hAnsi="Times New Roman"/>
          <w:kern w:val="0"/>
          <w:sz w:val="24"/>
        </w:rPr>
        <w:t>，但在基金运作过程中因基金份额赎回等情形导致被动超过前述</w:t>
      </w:r>
      <w:r>
        <w:rPr>
          <w:rFonts w:ascii="Times New Roman" w:hAnsi="Times New Roman"/>
          <w:kern w:val="0"/>
          <w:sz w:val="24"/>
        </w:rPr>
        <w:t>50%</w:t>
      </w:r>
      <w:r>
        <w:rPr>
          <w:rFonts w:ascii="Times New Roman" w:hAnsi="Times New Roman"/>
          <w:kern w:val="0"/>
          <w:sz w:val="24"/>
        </w:rPr>
        <w:t>比例的除外。</w:t>
      </w:r>
    </w:p>
    <w:p w:rsidR="005A47C9" w:rsidRDefault="00DB33E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本次更新招募说明书主要对基金经理变更相关事项进行了相应更新，更新截止日为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07</w:t>
      </w:r>
      <w:r>
        <w:rPr>
          <w:rFonts w:ascii="Times New Roman" w:hAnsi="Times New Roman"/>
          <w:kern w:val="0"/>
          <w:sz w:val="24"/>
        </w:rPr>
        <w:t>月</w:t>
      </w:r>
      <w:r>
        <w:rPr>
          <w:rFonts w:ascii="Times New Roman" w:hAnsi="Times New Roman"/>
          <w:kern w:val="0"/>
          <w:sz w:val="24"/>
        </w:rPr>
        <w:t>16</w:t>
      </w:r>
      <w:r>
        <w:rPr>
          <w:rFonts w:ascii="Times New Roman" w:hAnsi="Times New Roman"/>
          <w:kern w:val="0"/>
          <w:sz w:val="24"/>
        </w:rPr>
        <w:t>日，除非另有说明，本招募说明书其他所载内容截止日为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06</w:t>
      </w:r>
      <w:r>
        <w:rPr>
          <w:rFonts w:ascii="Times New Roman" w:hAnsi="Times New Roman"/>
          <w:kern w:val="0"/>
          <w:sz w:val="24"/>
        </w:rPr>
        <w:t>月</w:t>
      </w:r>
      <w:r>
        <w:rPr>
          <w:rFonts w:ascii="Times New Roman" w:hAnsi="Times New Roman"/>
          <w:kern w:val="0"/>
          <w:sz w:val="24"/>
        </w:rPr>
        <w:t>17</w:t>
      </w:r>
      <w:r>
        <w:rPr>
          <w:rFonts w:ascii="Times New Roman" w:hAnsi="Times New Roman"/>
          <w:kern w:val="0"/>
          <w:sz w:val="24"/>
        </w:rPr>
        <w:t>日，有关财务数据和净值表现截止日为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03</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日。本招募说明书所载的财务数据未经审计。</w:t>
      </w:r>
    </w:p>
    <w:p w:rsidR="005A47C9" w:rsidRDefault="005A47C9">
      <w:pPr>
        <w:autoSpaceDE w:val="0"/>
        <w:autoSpaceDN w:val="0"/>
        <w:adjustRightInd w:val="0"/>
        <w:snapToGrid w:val="0"/>
        <w:spacing w:before="51" w:line="360" w:lineRule="auto"/>
        <w:ind w:left="120" w:rightChars="6" w:right="13" w:firstLine="480"/>
        <w:rPr>
          <w:rFonts w:ascii="宋体" w:hAnsi="宋体"/>
          <w:kern w:val="0"/>
          <w:szCs w:val="24"/>
        </w:rPr>
        <w:sectPr w:rsidR="005A47C9">
          <w:headerReference w:type="default" r:id="rId14"/>
          <w:pgSz w:w="11920" w:h="16840"/>
          <w:pgMar w:top="1440" w:right="1680" w:bottom="280" w:left="1680" w:header="0" w:footer="1073" w:gutter="0"/>
          <w:pgNumType w:start="1"/>
          <w:cols w:space="720"/>
        </w:sectPr>
      </w:pPr>
    </w:p>
    <w:p w:rsidR="00382FA6" w:rsidRPr="00382FA6" w:rsidRDefault="00DB33E2" w:rsidP="00382FA6">
      <w:pPr>
        <w:pStyle w:val="ad"/>
        <w:snapToGrid w:val="0"/>
        <w:spacing w:after="240" w:line="360" w:lineRule="auto"/>
        <w:jc w:val="center"/>
        <w:rPr>
          <w:rFonts w:ascii="宋体" w:hAnsi="宋体"/>
          <w:noProof/>
          <w:sz w:val="24"/>
        </w:rPr>
      </w:pPr>
      <w:r w:rsidRPr="00382FA6">
        <w:rPr>
          <w:rFonts w:ascii="宋体" w:hAnsi="宋体"/>
          <w:color w:val="000000"/>
          <w:position w:val="-4"/>
          <w:sz w:val="24"/>
          <w:szCs w:val="30"/>
        </w:rPr>
        <w:lastRenderedPageBreak/>
        <w:t>目</w:t>
      </w:r>
      <w:r w:rsidRPr="00382FA6">
        <w:rPr>
          <w:rFonts w:ascii="宋体" w:hAnsi="宋体"/>
          <w:color w:val="000000"/>
          <w:position w:val="-4"/>
          <w:sz w:val="24"/>
          <w:szCs w:val="30"/>
        </w:rPr>
        <w:tab/>
        <w:t>录</w:t>
      </w:r>
      <w:r w:rsidR="00382FA6" w:rsidRPr="00382FA6">
        <w:rPr>
          <w:rFonts w:ascii="宋体" w:hAnsi="宋体"/>
          <w:color w:val="000000"/>
          <w:position w:val="-4"/>
          <w:sz w:val="24"/>
          <w:szCs w:val="30"/>
        </w:rPr>
        <w:fldChar w:fldCharType="begin"/>
      </w:r>
      <w:r w:rsidR="00382FA6" w:rsidRPr="00382FA6">
        <w:rPr>
          <w:rFonts w:ascii="宋体" w:hAnsi="宋体"/>
          <w:color w:val="000000"/>
          <w:position w:val="-4"/>
          <w:sz w:val="24"/>
          <w:szCs w:val="30"/>
        </w:rPr>
        <w:instrText xml:space="preserve"> TOC \o "1-3" \f - \h \t "-1" </w:instrText>
      </w:r>
      <w:r w:rsidR="00382FA6" w:rsidRPr="00382FA6">
        <w:rPr>
          <w:rFonts w:ascii="宋体" w:hAnsi="宋体"/>
          <w:color w:val="000000"/>
          <w:position w:val="-4"/>
          <w:sz w:val="24"/>
          <w:szCs w:val="30"/>
        </w:rPr>
        <w:fldChar w:fldCharType="separate"/>
      </w:r>
    </w:p>
    <w:p w:rsidR="00382FA6" w:rsidRPr="00382FA6" w:rsidRDefault="00382FA6" w:rsidP="00382FA6">
      <w:pPr>
        <w:pStyle w:val="10"/>
        <w:tabs>
          <w:tab w:val="right" w:leader="dot" w:pos="8550"/>
        </w:tabs>
        <w:spacing w:line="360" w:lineRule="auto"/>
        <w:rPr>
          <w:rFonts w:ascii="宋体" w:hAnsi="宋体" w:cstheme="minorBidi"/>
          <w:noProof/>
          <w:sz w:val="24"/>
        </w:rPr>
      </w:pPr>
      <w:hyperlink w:anchor="_Toc235443124" w:history="1">
        <w:r w:rsidRPr="00382FA6">
          <w:rPr>
            <w:rStyle w:val="aa"/>
            <w:rFonts w:ascii="宋体" w:hAnsi="宋体" w:hint="eastAsia"/>
            <w:noProof/>
            <w:kern w:val="0"/>
            <w:sz w:val="24"/>
          </w:rPr>
          <w:t>重要提示</w:t>
        </w:r>
        <w:r w:rsidRPr="00382FA6">
          <w:rPr>
            <w:rFonts w:ascii="宋体" w:hAnsi="宋体"/>
            <w:noProof/>
            <w:sz w:val="24"/>
          </w:rPr>
          <w:tab/>
        </w:r>
        <w:r w:rsidRPr="00382FA6">
          <w:rPr>
            <w:rFonts w:ascii="宋体" w:hAnsi="宋体"/>
            <w:noProof/>
            <w:sz w:val="24"/>
          </w:rPr>
          <w:fldChar w:fldCharType="begin"/>
        </w:r>
        <w:r w:rsidRPr="00382FA6">
          <w:rPr>
            <w:rFonts w:ascii="宋体" w:hAnsi="宋体"/>
            <w:noProof/>
            <w:sz w:val="24"/>
          </w:rPr>
          <w:instrText xml:space="preserve"> PAGEREF _Toc235443124 \h </w:instrText>
        </w:r>
        <w:r w:rsidRPr="00382FA6">
          <w:rPr>
            <w:rFonts w:ascii="宋体" w:hAnsi="宋体"/>
            <w:noProof/>
            <w:sz w:val="24"/>
          </w:rPr>
        </w:r>
        <w:r w:rsidRPr="00382FA6">
          <w:rPr>
            <w:rFonts w:ascii="宋体" w:hAnsi="宋体"/>
            <w:noProof/>
            <w:sz w:val="24"/>
          </w:rPr>
          <w:fldChar w:fldCharType="separate"/>
        </w:r>
        <w:r w:rsidRPr="00382FA6">
          <w:rPr>
            <w:rFonts w:ascii="宋体" w:hAnsi="宋体"/>
            <w:noProof/>
            <w:sz w:val="24"/>
          </w:rPr>
          <w:t>1</w:t>
        </w:r>
        <w:r w:rsidRPr="00382FA6">
          <w:rPr>
            <w:rFonts w:ascii="宋体" w:hAnsi="宋体"/>
            <w:noProof/>
            <w:sz w:val="24"/>
          </w:rPr>
          <w:fldChar w:fldCharType="end"/>
        </w:r>
      </w:hyperlink>
    </w:p>
    <w:p w:rsidR="00382FA6" w:rsidRPr="00382FA6" w:rsidRDefault="00382FA6" w:rsidP="00382FA6">
      <w:pPr>
        <w:pStyle w:val="10"/>
        <w:tabs>
          <w:tab w:val="right" w:leader="dot" w:pos="8550"/>
        </w:tabs>
        <w:spacing w:line="360" w:lineRule="auto"/>
        <w:rPr>
          <w:rFonts w:ascii="宋体" w:hAnsi="宋体" w:cstheme="minorBidi"/>
          <w:noProof/>
          <w:sz w:val="24"/>
        </w:rPr>
      </w:pPr>
      <w:hyperlink w:anchor="_Toc235443125" w:history="1">
        <w:r w:rsidRPr="00382FA6">
          <w:rPr>
            <w:rStyle w:val="aa"/>
            <w:rFonts w:ascii="宋体" w:hAnsi="宋体" w:hint="eastAsia"/>
            <w:noProof/>
            <w:sz w:val="24"/>
          </w:rPr>
          <w:t>一、绪言</w:t>
        </w:r>
        <w:r w:rsidRPr="00382FA6">
          <w:rPr>
            <w:rFonts w:ascii="宋体" w:hAnsi="宋体"/>
            <w:noProof/>
            <w:sz w:val="24"/>
          </w:rPr>
          <w:tab/>
        </w:r>
        <w:r w:rsidRPr="00382FA6">
          <w:rPr>
            <w:rFonts w:ascii="宋体" w:hAnsi="宋体"/>
            <w:noProof/>
            <w:sz w:val="24"/>
          </w:rPr>
          <w:fldChar w:fldCharType="begin"/>
        </w:r>
        <w:r w:rsidRPr="00382FA6">
          <w:rPr>
            <w:rFonts w:ascii="宋体" w:hAnsi="宋体"/>
            <w:noProof/>
            <w:sz w:val="24"/>
          </w:rPr>
          <w:instrText xml:space="preserve"> PAGEREF _Toc235443125 \h </w:instrText>
        </w:r>
        <w:r w:rsidRPr="00382FA6">
          <w:rPr>
            <w:rFonts w:ascii="宋体" w:hAnsi="宋体"/>
            <w:noProof/>
            <w:sz w:val="24"/>
          </w:rPr>
        </w:r>
        <w:r w:rsidRPr="00382FA6">
          <w:rPr>
            <w:rFonts w:ascii="宋体" w:hAnsi="宋体"/>
            <w:noProof/>
            <w:sz w:val="24"/>
          </w:rPr>
          <w:fldChar w:fldCharType="separate"/>
        </w:r>
        <w:r w:rsidRPr="00382FA6">
          <w:rPr>
            <w:rFonts w:ascii="宋体" w:hAnsi="宋体"/>
            <w:noProof/>
            <w:sz w:val="24"/>
          </w:rPr>
          <w:t>5</w:t>
        </w:r>
        <w:r w:rsidRPr="00382FA6">
          <w:rPr>
            <w:rFonts w:ascii="宋体" w:hAnsi="宋体"/>
            <w:noProof/>
            <w:sz w:val="24"/>
          </w:rPr>
          <w:fldChar w:fldCharType="end"/>
        </w:r>
      </w:hyperlink>
    </w:p>
    <w:p w:rsidR="00382FA6" w:rsidRPr="00382FA6" w:rsidRDefault="00382FA6" w:rsidP="00382FA6">
      <w:pPr>
        <w:pStyle w:val="10"/>
        <w:tabs>
          <w:tab w:val="right" w:leader="dot" w:pos="8550"/>
        </w:tabs>
        <w:spacing w:line="360" w:lineRule="auto"/>
        <w:rPr>
          <w:rFonts w:ascii="宋体" w:hAnsi="宋体" w:cstheme="minorBidi"/>
          <w:noProof/>
          <w:sz w:val="24"/>
        </w:rPr>
      </w:pPr>
      <w:hyperlink w:anchor="_Toc235443126" w:history="1">
        <w:r w:rsidRPr="00382FA6">
          <w:rPr>
            <w:rStyle w:val="aa"/>
            <w:rFonts w:ascii="宋体" w:hAnsi="宋体" w:hint="eastAsia"/>
            <w:noProof/>
            <w:sz w:val="24"/>
          </w:rPr>
          <w:t>二、释义</w:t>
        </w:r>
        <w:r w:rsidRPr="00382FA6">
          <w:rPr>
            <w:rFonts w:ascii="宋体" w:hAnsi="宋体"/>
            <w:noProof/>
            <w:sz w:val="24"/>
          </w:rPr>
          <w:tab/>
        </w:r>
        <w:r w:rsidRPr="00382FA6">
          <w:rPr>
            <w:rFonts w:ascii="宋体" w:hAnsi="宋体"/>
            <w:noProof/>
            <w:sz w:val="24"/>
          </w:rPr>
          <w:fldChar w:fldCharType="begin"/>
        </w:r>
        <w:r w:rsidRPr="00382FA6">
          <w:rPr>
            <w:rFonts w:ascii="宋体" w:hAnsi="宋体"/>
            <w:noProof/>
            <w:sz w:val="24"/>
          </w:rPr>
          <w:instrText xml:space="preserve"> PAGEREF _Toc235443126 \h </w:instrText>
        </w:r>
        <w:r w:rsidRPr="00382FA6">
          <w:rPr>
            <w:rFonts w:ascii="宋体" w:hAnsi="宋体"/>
            <w:noProof/>
            <w:sz w:val="24"/>
          </w:rPr>
        </w:r>
        <w:r w:rsidRPr="00382FA6">
          <w:rPr>
            <w:rFonts w:ascii="宋体" w:hAnsi="宋体"/>
            <w:noProof/>
            <w:sz w:val="24"/>
          </w:rPr>
          <w:fldChar w:fldCharType="separate"/>
        </w:r>
        <w:r w:rsidRPr="00382FA6">
          <w:rPr>
            <w:rFonts w:ascii="宋体" w:hAnsi="宋体"/>
            <w:noProof/>
            <w:sz w:val="24"/>
          </w:rPr>
          <w:t>6</w:t>
        </w:r>
        <w:r w:rsidRPr="00382FA6">
          <w:rPr>
            <w:rFonts w:ascii="宋体" w:hAnsi="宋体"/>
            <w:noProof/>
            <w:sz w:val="24"/>
          </w:rPr>
          <w:fldChar w:fldCharType="end"/>
        </w:r>
      </w:hyperlink>
    </w:p>
    <w:p w:rsidR="00382FA6" w:rsidRPr="00382FA6" w:rsidRDefault="00382FA6" w:rsidP="00382FA6">
      <w:pPr>
        <w:pStyle w:val="10"/>
        <w:tabs>
          <w:tab w:val="right" w:leader="dot" w:pos="8550"/>
        </w:tabs>
        <w:spacing w:line="360" w:lineRule="auto"/>
        <w:rPr>
          <w:rFonts w:ascii="宋体" w:hAnsi="宋体" w:cstheme="minorBidi"/>
          <w:noProof/>
          <w:sz w:val="24"/>
        </w:rPr>
      </w:pPr>
      <w:hyperlink w:anchor="_Toc235443127" w:history="1">
        <w:r w:rsidRPr="00382FA6">
          <w:rPr>
            <w:rStyle w:val="aa"/>
            <w:rFonts w:ascii="宋体" w:hAnsi="宋体" w:hint="eastAsia"/>
            <w:noProof/>
            <w:sz w:val="24"/>
          </w:rPr>
          <w:t>三、基金管理人</w:t>
        </w:r>
        <w:r w:rsidRPr="00382FA6">
          <w:rPr>
            <w:rFonts w:ascii="宋体" w:hAnsi="宋体"/>
            <w:noProof/>
            <w:sz w:val="24"/>
          </w:rPr>
          <w:tab/>
        </w:r>
        <w:r w:rsidRPr="00382FA6">
          <w:rPr>
            <w:rFonts w:ascii="宋体" w:hAnsi="宋体"/>
            <w:noProof/>
            <w:sz w:val="24"/>
          </w:rPr>
          <w:fldChar w:fldCharType="begin"/>
        </w:r>
        <w:r w:rsidRPr="00382FA6">
          <w:rPr>
            <w:rFonts w:ascii="宋体" w:hAnsi="宋体"/>
            <w:noProof/>
            <w:sz w:val="24"/>
          </w:rPr>
          <w:instrText xml:space="preserve"> PAGEREF _Toc235443127 \h </w:instrText>
        </w:r>
        <w:r w:rsidRPr="00382FA6">
          <w:rPr>
            <w:rFonts w:ascii="宋体" w:hAnsi="宋体"/>
            <w:noProof/>
            <w:sz w:val="24"/>
          </w:rPr>
        </w:r>
        <w:r w:rsidRPr="00382FA6">
          <w:rPr>
            <w:rFonts w:ascii="宋体" w:hAnsi="宋体"/>
            <w:noProof/>
            <w:sz w:val="24"/>
          </w:rPr>
          <w:fldChar w:fldCharType="separate"/>
        </w:r>
        <w:r w:rsidRPr="00382FA6">
          <w:rPr>
            <w:rFonts w:ascii="宋体" w:hAnsi="宋体"/>
            <w:noProof/>
            <w:sz w:val="24"/>
          </w:rPr>
          <w:t>13</w:t>
        </w:r>
        <w:r w:rsidRPr="00382FA6">
          <w:rPr>
            <w:rFonts w:ascii="宋体" w:hAnsi="宋体"/>
            <w:noProof/>
            <w:sz w:val="24"/>
          </w:rPr>
          <w:fldChar w:fldCharType="end"/>
        </w:r>
      </w:hyperlink>
    </w:p>
    <w:p w:rsidR="00382FA6" w:rsidRPr="00382FA6" w:rsidRDefault="00382FA6" w:rsidP="00382FA6">
      <w:pPr>
        <w:pStyle w:val="10"/>
        <w:tabs>
          <w:tab w:val="right" w:leader="dot" w:pos="8550"/>
        </w:tabs>
        <w:spacing w:line="360" w:lineRule="auto"/>
        <w:rPr>
          <w:rFonts w:ascii="宋体" w:hAnsi="宋体" w:cstheme="minorBidi"/>
          <w:noProof/>
          <w:sz w:val="24"/>
        </w:rPr>
      </w:pPr>
      <w:hyperlink w:anchor="_Toc235443128" w:history="1">
        <w:r w:rsidRPr="00382FA6">
          <w:rPr>
            <w:rStyle w:val="aa"/>
            <w:rFonts w:ascii="宋体" w:hAnsi="宋体" w:hint="eastAsia"/>
            <w:noProof/>
            <w:sz w:val="24"/>
          </w:rPr>
          <w:t>四、基金托管人</w:t>
        </w:r>
        <w:r w:rsidRPr="00382FA6">
          <w:rPr>
            <w:rFonts w:ascii="宋体" w:hAnsi="宋体"/>
            <w:noProof/>
            <w:sz w:val="24"/>
          </w:rPr>
          <w:tab/>
        </w:r>
        <w:r w:rsidRPr="00382FA6">
          <w:rPr>
            <w:rFonts w:ascii="宋体" w:hAnsi="宋体"/>
            <w:noProof/>
            <w:sz w:val="24"/>
          </w:rPr>
          <w:fldChar w:fldCharType="begin"/>
        </w:r>
        <w:r w:rsidRPr="00382FA6">
          <w:rPr>
            <w:rFonts w:ascii="宋体" w:hAnsi="宋体"/>
            <w:noProof/>
            <w:sz w:val="24"/>
          </w:rPr>
          <w:instrText xml:space="preserve"> PAGEREF _Toc235443128 \h </w:instrText>
        </w:r>
        <w:r w:rsidRPr="00382FA6">
          <w:rPr>
            <w:rFonts w:ascii="宋体" w:hAnsi="宋体"/>
            <w:noProof/>
            <w:sz w:val="24"/>
          </w:rPr>
        </w:r>
        <w:r w:rsidRPr="00382FA6">
          <w:rPr>
            <w:rFonts w:ascii="宋体" w:hAnsi="宋体"/>
            <w:noProof/>
            <w:sz w:val="24"/>
          </w:rPr>
          <w:fldChar w:fldCharType="separate"/>
        </w:r>
        <w:r w:rsidRPr="00382FA6">
          <w:rPr>
            <w:rFonts w:ascii="宋体" w:hAnsi="宋体"/>
            <w:noProof/>
            <w:sz w:val="24"/>
          </w:rPr>
          <w:t>20</w:t>
        </w:r>
        <w:r w:rsidRPr="00382FA6">
          <w:rPr>
            <w:rFonts w:ascii="宋体" w:hAnsi="宋体"/>
            <w:noProof/>
            <w:sz w:val="24"/>
          </w:rPr>
          <w:fldChar w:fldCharType="end"/>
        </w:r>
      </w:hyperlink>
    </w:p>
    <w:p w:rsidR="00382FA6" w:rsidRPr="00382FA6" w:rsidRDefault="00382FA6" w:rsidP="00382FA6">
      <w:pPr>
        <w:pStyle w:val="10"/>
        <w:tabs>
          <w:tab w:val="right" w:leader="dot" w:pos="8550"/>
        </w:tabs>
        <w:spacing w:line="360" w:lineRule="auto"/>
        <w:rPr>
          <w:rFonts w:ascii="宋体" w:hAnsi="宋体" w:cstheme="minorBidi"/>
          <w:noProof/>
          <w:sz w:val="24"/>
        </w:rPr>
      </w:pPr>
      <w:hyperlink w:anchor="_Toc235443129" w:history="1">
        <w:r w:rsidRPr="00382FA6">
          <w:rPr>
            <w:rStyle w:val="aa"/>
            <w:rFonts w:ascii="宋体" w:hAnsi="宋体" w:hint="eastAsia"/>
            <w:noProof/>
            <w:sz w:val="24"/>
          </w:rPr>
          <w:t>五、相关服务机构</w:t>
        </w:r>
        <w:r w:rsidRPr="00382FA6">
          <w:rPr>
            <w:rFonts w:ascii="宋体" w:hAnsi="宋体"/>
            <w:noProof/>
            <w:sz w:val="24"/>
          </w:rPr>
          <w:tab/>
        </w:r>
        <w:r w:rsidRPr="00382FA6">
          <w:rPr>
            <w:rFonts w:ascii="宋体" w:hAnsi="宋体"/>
            <w:noProof/>
            <w:sz w:val="24"/>
          </w:rPr>
          <w:fldChar w:fldCharType="begin"/>
        </w:r>
        <w:r w:rsidRPr="00382FA6">
          <w:rPr>
            <w:rFonts w:ascii="宋体" w:hAnsi="宋体"/>
            <w:noProof/>
            <w:sz w:val="24"/>
          </w:rPr>
          <w:instrText xml:space="preserve"> PAGEREF _Toc235443129 \h </w:instrText>
        </w:r>
        <w:r w:rsidRPr="00382FA6">
          <w:rPr>
            <w:rFonts w:ascii="宋体" w:hAnsi="宋体"/>
            <w:noProof/>
            <w:sz w:val="24"/>
          </w:rPr>
        </w:r>
        <w:r w:rsidRPr="00382FA6">
          <w:rPr>
            <w:rFonts w:ascii="宋体" w:hAnsi="宋体"/>
            <w:noProof/>
            <w:sz w:val="24"/>
          </w:rPr>
          <w:fldChar w:fldCharType="separate"/>
        </w:r>
        <w:r w:rsidRPr="00382FA6">
          <w:rPr>
            <w:rFonts w:ascii="宋体" w:hAnsi="宋体"/>
            <w:noProof/>
            <w:sz w:val="24"/>
          </w:rPr>
          <w:t>23</w:t>
        </w:r>
        <w:r w:rsidRPr="00382FA6">
          <w:rPr>
            <w:rFonts w:ascii="宋体" w:hAnsi="宋体"/>
            <w:noProof/>
            <w:sz w:val="24"/>
          </w:rPr>
          <w:fldChar w:fldCharType="end"/>
        </w:r>
      </w:hyperlink>
    </w:p>
    <w:p w:rsidR="00382FA6" w:rsidRPr="00382FA6" w:rsidRDefault="00382FA6" w:rsidP="00382FA6">
      <w:pPr>
        <w:pStyle w:val="10"/>
        <w:tabs>
          <w:tab w:val="right" w:leader="dot" w:pos="8550"/>
        </w:tabs>
        <w:spacing w:line="360" w:lineRule="auto"/>
        <w:rPr>
          <w:rFonts w:ascii="宋体" w:hAnsi="宋体" w:cstheme="minorBidi"/>
          <w:noProof/>
          <w:sz w:val="24"/>
        </w:rPr>
      </w:pPr>
      <w:hyperlink w:anchor="_Toc235443130" w:history="1">
        <w:r w:rsidRPr="00382FA6">
          <w:rPr>
            <w:rStyle w:val="aa"/>
            <w:rFonts w:ascii="宋体" w:hAnsi="宋体" w:hint="eastAsia"/>
            <w:noProof/>
            <w:sz w:val="24"/>
          </w:rPr>
          <w:t>六、基金的募集</w:t>
        </w:r>
        <w:r w:rsidRPr="00382FA6">
          <w:rPr>
            <w:rFonts w:ascii="宋体" w:hAnsi="宋体"/>
            <w:noProof/>
            <w:sz w:val="24"/>
          </w:rPr>
          <w:tab/>
        </w:r>
        <w:r w:rsidRPr="00382FA6">
          <w:rPr>
            <w:rFonts w:ascii="宋体" w:hAnsi="宋体"/>
            <w:noProof/>
            <w:sz w:val="24"/>
          </w:rPr>
          <w:fldChar w:fldCharType="begin"/>
        </w:r>
        <w:r w:rsidRPr="00382FA6">
          <w:rPr>
            <w:rFonts w:ascii="宋体" w:hAnsi="宋体"/>
            <w:noProof/>
            <w:sz w:val="24"/>
          </w:rPr>
          <w:instrText xml:space="preserve"> PAGEREF _Toc235443130 \h </w:instrText>
        </w:r>
        <w:r w:rsidRPr="00382FA6">
          <w:rPr>
            <w:rFonts w:ascii="宋体" w:hAnsi="宋体"/>
            <w:noProof/>
            <w:sz w:val="24"/>
          </w:rPr>
        </w:r>
        <w:r w:rsidRPr="00382FA6">
          <w:rPr>
            <w:rFonts w:ascii="宋体" w:hAnsi="宋体"/>
            <w:noProof/>
            <w:sz w:val="24"/>
          </w:rPr>
          <w:fldChar w:fldCharType="separate"/>
        </w:r>
        <w:r w:rsidRPr="00382FA6">
          <w:rPr>
            <w:rFonts w:ascii="宋体" w:hAnsi="宋体"/>
            <w:noProof/>
            <w:sz w:val="24"/>
          </w:rPr>
          <w:t>51</w:t>
        </w:r>
        <w:r w:rsidRPr="00382FA6">
          <w:rPr>
            <w:rFonts w:ascii="宋体" w:hAnsi="宋体"/>
            <w:noProof/>
            <w:sz w:val="24"/>
          </w:rPr>
          <w:fldChar w:fldCharType="end"/>
        </w:r>
      </w:hyperlink>
    </w:p>
    <w:p w:rsidR="00382FA6" w:rsidRPr="00382FA6" w:rsidRDefault="00382FA6" w:rsidP="00382FA6">
      <w:pPr>
        <w:pStyle w:val="10"/>
        <w:tabs>
          <w:tab w:val="right" w:leader="dot" w:pos="8550"/>
        </w:tabs>
        <w:spacing w:line="360" w:lineRule="auto"/>
        <w:rPr>
          <w:rFonts w:ascii="宋体" w:hAnsi="宋体" w:cstheme="minorBidi"/>
          <w:noProof/>
          <w:sz w:val="24"/>
        </w:rPr>
      </w:pPr>
      <w:hyperlink w:anchor="_Toc235443131" w:history="1">
        <w:r w:rsidRPr="00382FA6">
          <w:rPr>
            <w:rStyle w:val="aa"/>
            <w:rFonts w:ascii="宋体" w:hAnsi="宋体" w:hint="eastAsia"/>
            <w:noProof/>
            <w:sz w:val="24"/>
          </w:rPr>
          <w:t>七、基金合同的生效</w:t>
        </w:r>
        <w:r w:rsidRPr="00382FA6">
          <w:rPr>
            <w:rFonts w:ascii="宋体" w:hAnsi="宋体"/>
            <w:noProof/>
            <w:sz w:val="24"/>
          </w:rPr>
          <w:tab/>
        </w:r>
        <w:r w:rsidRPr="00382FA6">
          <w:rPr>
            <w:rFonts w:ascii="宋体" w:hAnsi="宋体"/>
            <w:noProof/>
            <w:sz w:val="24"/>
          </w:rPr>
          <w:fldChar w:fldCharType="begin"/>
        </w:r>
        <w:r w:rsidRPr="00382FA6">
          <w:rPr>
            <w:rFonts w:ascii="宋体" w:hAnsi="宋体"/>
            <w:noProof/>
            <w:sz w:val="24"/>
          </w:rPr>
          <w:instrText xml:space="preserve"> PAGEREF _Toc235443131 \h </w:instrText>
        </w:r>
        <w:r w:rsidRPr="00382FA6">
          <w:rPr>
            <w:rFonts w:ascii="宋体" w:hAnsi="宋体"/>
            <w:noProof/>
            <w:sz w:val="24"/>
          </w:rPr>
        </w:r>
        <w:r w:rsidRPr="00382FA6">
          <w:rPr>
            <w:rFonts w:ascii="宋体" w:hAnsi="宋体"/>
            <w:noProof/>
            <w:sz w:val="24"/>
          </w:rPr>
          <w:fldChar w:fldCharType="separate"/>
        </w:r>
        <w:r w:rsidRPr="00382FA6">
          <w:rPr>
            <w:rFonts w:ascii="宋体" w:hAnsi="宋体"/>
            <w:noProof/>
            <w:sz w:val="24"/>
          </w:rPr>
          <w:t>52</w:t>
        </w:r>
        <w:r w:rsidRPr="00382FA6">
          <w:rPr>
            <w:rFonts w:ascii="宋体" w:hAnsi="宋体"/>
            <w:noProof/>
            <w:sz w:val="24"/>
          </w:rPr>
          <w:fldChar w:fldCharType="end"/>
        </w:r>
      </w:hyperlink>
    </w:p>
    <w:p w:rsidR="00382FA6" w:rsidRPr="00382FA6" w:rsidRDefault="00382FA6" w:rsidP="00382FA6">
      <w:pPr>
        <w:pStyle w:val="10"/>
        <w:tabs>
          <w:tab w:val="right" w:leader="dot" w:pos="8550"/>
        </w:tabs>
        <w:spacing w:line="360" w:lineRule="auto"/>
        <w:rPr>
          <w:rFonts w:ascii="宋体" w:hAnsi="宋体" w:cstheme="minorBidi"/>
          <w:noProof/>
          <w:sz w:val="24"/>
        </w:rPr>
      </w:pPr>
      <w:hyperlink w:anchor="_Toc235443132" w:history="1">
        <w:r w:rsidRPr="00382FA6">
          <w:rPr>
            <w:rStyle w:val="aa"/>
            <w:rFonts w:ascii="宋体" w:hAnsi="宋体" w:hint="eastAsia"/>
            <w:noProof/>
            <w:sz w:val="24"/>
          </w:rPr>
          <w:t>八、基金份额的上市交易</w:t>
        </w:r>
        <w:r w:rsidRPr="00382FA6">
          <w:rPr>
            <w:rFonts w:ascii="宋体" w:hAnsi="宋体"/>
            <w:noProof/>
            <w:sz w:val="24"/>
          </w:rPr>
          <w:tab/>
        </w:r>
        <w:r w:rsidRPr="00382FA6">
          <w:rPr>
            <w:rFonts w:ascii="宋体" w:hAnsi="宋体"/>
            <w:noProof/>
            <w:sz w:val="24"/>
          </w:rPr>
          <w:fldChar w:fldCharType="begin"/>
        </w:r>
        <w:r w:rsidRPr="00382FA6">
          <w:rPr>
            <w:rFonts w:ascii="宋体" w:hAnsi="宋体"/>
            <w:noProof/>
            <w:sz w:val="24"/>
          </w:rPr>
          <w:instrText xml:space="preserve"> PAGEREF _Toc235443132 \h </w:instrText>
        </w:r>
        <w:r w:rsidRPr="00382FA6">
          <w:rPr>
            <w:rFonts w:ascii="宋体" w:hAnsi="宋体"/>
            <w:noProof/>
            <w:sz w:val="24"/>
          </w:rPr>
        </w:r>
        <w:r w:rsidRPr="00382FA6">
          <w:rPr>
            <w:rFonts w:ascii="宋体" w:hAnsi="宋体"/>
            <w:noProof/>
            <w:sz w:val="24"/>
          </w:rPr>
          <w:fldChar w:fldCharType="separate"/>
        </w:r>
        <w:r w:rsidRPr="00382FA6">
          <w:rPr>
            <w:rFonts w:ascii="宋体" w:hAnsi="宋体"/>
            <w:noProof/>
            <w:sz w:val="24"/>
          </w:rPr>
          <w:t>53</w:t>
        </w:r>
        <w:r w:rsidRPr="00382FA6">
          <w:rPr>
            <w:rFonts w:ascii="宋体" w:hAnsi="宋体"/>
            <w:noProof/>
            <w:sz w:val="24"/>
          </w:rPr>
          <w:fldChar w:fldCharType="end"/>
        </w:r>
      </w:hyperlink>
    </w:p>
    <w:p w:rsidR="00382FA6" w:rsidRPr="00382FA6" w:rsidRDefault="00382FA6" w:rsidP="00382FA6">
      <w:pPr>
        <w:pStyle w:val="10"/>
        <w:tabs>
          <w:tab w:val="right" w:leader="dot" w:pos="8550"/>
        </w:tabs>
        <w:spacing w:line="360" w:lineRule="auto"/>
        <w:rPr>
          <w:rFonts w:ascii="宋体" w:hAnsi="宋体" w:cstheme="minorBidi"/>
          <w:noProof/>
          <w:sz w:val="24"/>
        </w:rPr>
      </w:pPr>
      <w:hyperlink w:anchor="_Toc235443133" w:history="1">
        <w:r w:rsidRPr="00382FA6">
          <w:rPr>
            <w:rStyle w:val="aa"/>
            <w:rFonts w:ascii="宋体" w:hAnsi="宋体" w:hint="eastAsia"/>
            <w:noProof/>
            <w:sz w:val="24"/>
          </w:rPr>
          <w:t>九、基金份额的申购与赎回</w:t>
        </w:r>
        <w:r w:rsidRPr="00382FA6">
          <w:rPr>
            <w:rFonts w:ascii="宋体" w:hAnsi="宋体"/>
            <w:noProof/>
            <w:sz w:val="24"/>
          </w:rPr>
          <w:tab/>
        </w:r>
        <w:r w:rsidRPr="00382FA6">
          <w:rPr>
            <w:rFonts w:ascii="宋体" w:hAnsi="宋体"/>
            <w:noProof/>
            <w:sz w:val="24"/>
          </w:rPr>
          <w:fldChar w:fldCharType="begin"/>
        </w:r>
        <w:r w:rsidRPr="00382FA6">
          <w:rPr>
            <w:rFonts w:ascii="宋体" w:hAnsi="宋体"/>
            <w:noProof/>
            <w:sz w:val="24"/>
          </w:rPr>
          <w:instrText xml:space="preserve"> PAGEREF _Toc235443133 \h </w:instrText>
        </w:r>
        <w:r w:rsidRPr="00382FA6">
          <w:rPr>
            <w:rFonts w:ascii="宋体" w:hAnsi="宋体"/>
            <w:noProof/>
            <w:sz w:val="24"/>
          </w:rPr>
        </w:r>
        <w:r w:rsidRPr="00382FA6">
          <w:rPr>
            <w:rFonts w:ascii="宋体" w:hAnsi="宋体"/>
            <w:noProof/>
            <w:sz w:val="24"/>
          </w:rPr>
          <w:fldChar w:fldCharType="separate"/>
        </w:r>
        <w:r w:rsidRPr="00382FA6">
          <w:rPr>
            <w:rFonts w:ascii="宋体" w:hAnsi="宋体"/>
            <w:noProof/>
            <w:sz w:val="24"/>
          </w:rPr>
          <w:t>55</w:t>
        </w:r>
        <w:r w:rsidRPr="00382FA6">
          <w:rPr>
            <w:rFonts w:ascii="宋体" w:hAnsi="宋体"/>
            <w:noProof/>
            <w:sz w:val="24"/>
          </w:rPr>
          <w:fldChar w:fldCharType="end"/>
        </w:r>
      </w:hyperlink>
    </w:p>
    <w:p w:rsidR="00382FA6" w:rsidRPr="00382FA6" w:rsidRDefault="00382FA6" w:rsidP="00382FA6">
      <w:pPr>
        <w:pStyle w:val="10"/>
        <w:tabs>
          <w:tab w:val="right" w:leader="dot" w:pos="8550"/>
        </w:tabs>
        <w:spacing w:line="360" w:lineRule="auto"/>
        <w:rPr>
          <w:rFonts w:ascii="宋体" w:hAnsi="宋体" w:cstheme="minorBidi"/>
          <w:noProof/>
          <w:sz w:val="24"/>
        </w:rPr>
      </w:pPr>
      <w:hyperlink w:anchor="_Toc235443134" w:history="1">
        <w:r w:rsidRPr="00382FA6">
          <w:rPr>
            <w:rStyle w:val="aa"/>
            <w:rFonts w:ascii="宋体" w:hAnsi="宋体" w:hint="eastAsia"/>
            <w:noProof/>
            <w:sz w:val="24"/>
          </w:rPr>
          <w:t>十、基金的投资</w:t>
        </w:r>
        <w:r w:rsidRPr="00382FA6">
          <w:rPr>
            <w:rFonts w:ascii="宋体" w:hAnsi="宋体"/>
            <w:noProof/>
            <w:sz w:val="24"/>
          </w:rPr>
          <w:tab/>
        </w:r>
        <w:r w:rsidRPr="00382FA6">
          <w:rPr>
            <w:rFonts w:ascii="宋体" w:hAnsi="宋体"/>
            <w:noProof/>
            <w:sz w:val="24"/>
          </w:rPr>
          <w:fldChar w:fldCharType="begin"/>
        </w:r>
        <w:r w:rsidRPr="00382FA6">
          <w:rPr>
            <w:rFonts w:ascii="宋体" w:hAnsi="宋体"/>
            <w:noProof/>
            <w:sz w:val="24"/>
          </w:rPr>
          <w:instrText xml:space="preserve"> PAGEREF _Toc235443134 \h </w:instrText>
        </w:r>
        <w:r w:rsidRPr="00382FA6">
          <w:rPr>
            <w:rFonts w:ascii="宋体" w:hAnsi="宋体"/>
            <w:noProof/>
            <w:sz w:val="24"/>
          </w:rPr>
        </w:r>
        <w:r w:rsidRPr="00382FA6">
          <w:rPr>
            <w:rFonts w:ascii="宋体" w:hAnsi="宋体"/>
            <w:noProof/>
            <w:sz w:val="24"/>
          </w:rPr>
          <w:fldChar w:fldCharType="separate"/>
        </w:r>
        <w:r w:rsidRPr="00382FA6">
          <w:rPr>
            <w:rFonts w:ascii="宋体" w:hAnsi="宋体"/>
            <w:noProof/>
            <w:sz w:val="24"/>
          </w:rPr>
          <w:t>71</w:t>
        </w:r>
        <w:r w:rsidRPr="00382FA6">
          <w:rPr>
            <w:rFonts w:ascii="宋体" w:hAnsi="宋体"/>
            <w:noProof/>
            <w:sz w:val="24"/>
          </w:rPr>
          <w:fldChar w:fldCharType="end"/>
        </w:r>
      </w:hyperlink>
    </w:p>
    <w:p w:rsidR="00382FA6" w:rsidRPr="00382FA6" w:rsidRDefault="00382FA6" w:rsidP="00382FA6">
      <w:pPr>
        <w:pStyle w:val="10"/>
        <w:tabs>
          <w:tab w:val="right" w:leader="dot" w:pos="8550"/>
        </w:tabs>
        <w:spacing w:line="360" w:lineRule="auto"/>
        <w:rPr>
          <w:rFonts w:ascii="宋体" w:hAnsi="宋体" w:cstheme="minorBidi"/>
          <w:noProof/>
          <w:sz w:val="24"/>
        </w:rPr>
      </w:pPr>
      <w:hyperlink w:anchor="_Toc235443135" w:history="1">
        <w:r w:rsidRPr="00382FA6">
          <w:rPr>
            <w:rStyle w:val="aa"/>
            <w:rFonts w:ascii="宋体" w:hAnsi="宋体" w:hint="eastAsia"/>
            <w:noProof/>
            <w:sz w:val="24"/>
          </w:rPr>
          <w:t>十一、基金的业绩</w:t>
        </w:r>
        <w:r w:rsidRPr="00382FA6">
          <w:rPr>
            <w:rFonts w:ascii="宋体" w:hAnsi="宋体"/>
            <w:noProof/>
            <w:sz w:val="24"/>
          </w:rPr>
          <w:tab/>
        </w:r>
        <w:r w:rsidRPr="00382FA6">
          <w:rPr>
            <w:rFonts w:ascii="宋体" w:hAnsi="宋体"/>
            <w:noProof/>
            <w:sz w:val="24"/>
          </w:rPr>
          <w:fldChar w:fldCharType="begin"/>
        </w:r>
        <w:r w:rsidRPr="00382FA6">
          <w:rPr>
            <w:rFonts w:ascii="宋体" w:hAnsi="宋体"/>
            <w:noProof/>
            <w:sz w:val="24"/>
          </w:rPr>
          <w:instrText xml:space="preserve"> PAGEREF _Toc235443135 \h </w:instrText>
        </w:r>
        <w:r w:rsidRPr="00382FA6">
          <w:rPr>
            <w:rFonts w:ascii="宋体" w:hAnsi="宋体"/>
            <w:noProof/>
            <w:sz w:val="24"/>
          </w:rPr>
        </w:r>
        <w:r w:rsidRPr="00382FA6">
          <w:rPr>
            <w:rFonts w:ascii="宋体" w:hAnsi="宋体"/>
            <w:noProof/>
            <w:sz w:val="24"/>
          </w:rPr>
          <w:fldChar w:fldCharType="separate"/>
        </w:r>
        <w:r w:rsidRPr="00382FA6">
          <w:rPr>
            <w:rFonts w:ascii="宋体" w:hAnsi="宋体"/>
            <w:noProof/>
            <w:sz w:val="24"/>
          </w:rPr>
          <w:t>83</w:t>
        </w:r>
        <w:r w:rsidRPr="00382FA6">
          <w:rPr>
            <w:rFonts w:ascii="宋体" w:hAnsi="宋体"/>
            <w:noProof/>
            <w:sz w:val="24"/>
          </w:rPr>
          <w:fldChar w:fldCharType="end"/>
        </w:r>
      </w:hyperlink>
    </w:p>
    <w:p w:rsidR="00382FA6" w:rsidRPr="00382FA6" w:rsidRDefault="00382FA6" w:rsidP="00382FA6">
      <w:pPr>
        <w:pStyle w:val="10"/>
        <w:tabs>
          <w:tab w:val="right" w:leader="dot" w:pos="8550"/>
        </w:tabs>
        <w:spacing w:line="360" w:lineRule="auto"/>
        <w:rPr>
          <w:rFonts w:ascii="宋体" w:hAnsi="宋体" w:cstheme="minorBidi"/>
          <w:noProof/>
          <w:sz w:val="24"/>
        </w:rPr>
      </w:pPr>
      <w:hyperlink w:anchor="_Toc235443136" w:history="1">
        <w:r w:rsidRPr="00382FA6">
          <w:rPr>
            <w:rStyle w:val="aa"/>
            <w:rFonts w:ascii="宋体" w:hAnsi="宋体" w:hint="eastAsia"/>
            <w:noProof/>
            <w:sz w:val="24"/>
          </w:rPr>
          <w:t>十二、基金的财产</w:t>
        </w:r>
        <w:r w:rsidRPr="00382FA6">
          <w:rPr>
            <w:rFonts w:ascii="宋体" w:hAnsi="宋体"/>
            <w:noProof/>
            <w:sz w:val="24"/>
          </w:rPr>
          <w:tab/>
        </w:r>
        <w:r w:rsidRPr="00382FA6">
          <w:rPr>
            <w:rFonts w:ascii="宋体" w:hAnsi="宋体"/>
            <w:noProof/>
            <w:sz w:val="24"/>
          </w:rPr>
          <w:fldChar w:fldCharType="begin"/>
        </w:r>
        <w:r w:rsidRPr="00382FA6">
          <w:rPr>
            <w:rFonts w:ascii="宋体" w:hAnsi="宋体"/>
            <w:noProof/>
            <w:sz w:val="24"/>
          </w:rPr>
          <w:instrText xml:space="preserve"> PAGEREF _Toc235443136 \h </w:instrText>
        </w:r>
        <w:r w:rsidRPr="00382FA6">
          <w:rPr>
            <w:rFonts w:ascii="宋体" w:hAnsi="宋体"/>
            <w:noProof/>
            <w:sz w:val="24"/>
          </w:rPr>
        </w:r>
        <w:r w:rsidRPr="00382FA6">
          <w:rPr>
            <w:rFonts w:ascii="宋体" w:hAnsi="宋体"/>
            <w:noProof/>
            <w:sz w:val="24"/>
          </w:rPr>
          <w:fldChar w:fldCharType="separate"/>
        </w:r>
        <w:r w:rsidRPr="00382FA6">
          <w:rPr>
            <w:rFonts w:ascii="宋体" w:hAnsi="宋体"/>
            <w:noProof/>
            <w:sz w:val="24"/>
          </w:rPr>
          <w:t>86</w:t>
        </w:r>
        <w:r w:rsidRPr="00382FA6">
          <w:rPr>
            <w:rFonts w:ascii="宋体" w:hAnsi="宋体"/>
            <w:noProof/>
            <w:sz w:val="24"/>
          </w:rPr>
          <w:fldChar w:fldCharType="end"/>
        </w:r>
      </w:hyperlink>
    </w:p>
    <w:p w:rsidR="00382FA6" w:rsidRPr="00382FA6" w:rsidRDefault="00382FA6" w:rsidP="00382FA6">
      <w:pPr>
        <w:pStyle w:val="10"/>
        <w:tabs>
          <w:tab w:val="right" w:leader="dot" w:pos="8550"/>
        </w:tabs>
        <w:spacing w:line="360" w:lineRule="auto"/>
        <w:rPr>
          <w:rFonts w:ascii="宋体" w:hAnsi="宋体" w:cstheme="minorBidi"/>
          <w:noProof/>
          <w:sz w:val="24"/>
        </w:rPr>
      </w:pPr>
      <w:hyperlink w:anchor="_Toc235443137" w:history="1">
        <w:r w:rsidRPr="00382FA6">
          <w:rPr>
            <w:rStyle w:val="aa"/>
            <w:rFonts w:ascii="宋体" w:hAnsi="宋体" w:hint="eastAsia"/>
            <w:noProof/>
            <w:sz w:val="24"/>
          </w:rPr>
          <w:t>十三、基金资产的估值</w:t>
        </w:r>
        <w:r w:rsidRPr="00382FA6">
          <w:rPr>
            <w:rFonts w:ascii="宋体" w:hAnsi="宋体"/>
            <w:noProof/>
            <w:sz w:val="24"/>
          </w:rPr>
          <w:tab/>
        </w:r>
        <w:r w:rsidRPr="00382FA6">
          <w:rPr>
            <w:rFonts w:ascii="宋体" w:hAnsi="宋体"/>
            <w:noProof/>
            <w:sz w:val="24"/>
          </w:rPr>
          <w:fldChar w:fldCharType="begin"/>
        </w:r>
        <w:r w:rsidRPr="00382FA6">
          <w:rPr>
            <w:rFonts w:ascii="宋体" w:hAnsi="宋体"/>
            <w:noProof/>
            <w:sz w:val="24"/>
          </w:rPr>
          <w:instrText xml:space="preserve"> PAGEREF _Toc235443137 \h </w:instrText>
        </w:r>
        <w:r w:rsidRPr="00382FA6">
          <w:rPr>
            <w:rFonts w:ascii="宋体" w:hAnsi="宋体"/>
            <w:noProof/>
            <w:sz w:val="24"/>
          </w:rPr>
        </w:r>
        <w:r w:rsidRPr="00382FA6">
          <w:rPr>
            <w:rFonts w:ascii="宋体" w:hAnsi="宋体"/>
            <w:noProof/>
            <w:sz w:val="24"/>
          </w:rPr>
          <w:fldChar w:fldCharType="separate"/>
        </w:r>
        <w:r w:rsidRPr="00382FA6">
          <w:rPr>
            <w:rFonts w:ascii="宋体" w:hAnsi="宋体"/>
            <w:noProof/>
            <w:sz w:val="24"/>
          </w:rPr>
          <w:t>87</w:t>
        </w:r>
        <w:r w:rsidRPr="00382FA6">
          <w:rPr>
            <w:rFonts w:ascii="宋体" w:hAnsi="宋体"/>
            <w:noProof/>
            <w:sz w:val="24"/>
          </w:rPr>
          <w:fldChar w:fldCharType="end"/>
        </w:r>
      </w:hyperlink>
    </w:p>
    <w:p w:rsidR="00382FA6" w:rsidRPr="00382FA6" w:rsidRDefault="00382FA6" w:rsidP="00382FA6">
      <w:pPr>
        <w:pStyle w:val="10"/>
        <w:tabs>
          <w:tab w:val="right" w:leader="dot" w:pos="8550"/>
        </w:tabs>
        <w:spacing w:line="360" w:lineRule="auto"/>
        <w:rPr>
          <w:rFonts w:ascii="宋体" w:hAnsi="宋体" w:cstheme="minorBidi"/>
          <w:noProof/>
          <w:sz w:val="24"/>
        </w:rPr>
      </w:pPr>
      <w:hyperlink w:anchor="_Toc235443138" w:history="1">
        <w:r w:rsidRPr="00382FA6">
          <w:rPr>
            <w:rStyle w:val="aa"/>
            <w:rFonts w:ascii="宋体" w:hAnsi="宋体" w:hint="eastAsia"/>
            <w:noProof/>
            <w:sz w:val="24"/>
          </w:rPr>
          <w:t>十四、基金收益与分配</w:t>
        </w:r>
        <w:r w:rsidRPr="00382FA6">
          <w:rPr>
            <w:rFonts w:ascii="宋体" w:hAnsi="宋体"/>
            <w:noProof/>
            <w:sz w:val="24"/>
          </w:rPr>
          <w:tab/>
        </w:r>
        <w:r w:rsidRPr="00382FA6">
          <w:rPr>
            <w:rFonts w:ascii="宋体" w:hAnsi="宋体"/>
            <w:noProof/>
            <w:sz w:val="24"/>
          </w:rPr>
          <w:fldChar w:fldCharType="begin"/>
        </w:r>
        <w:r w:rsidRPr="00382FA6">
          <w:rPr>
            <w:rFonts w:ascii="宋体" w:hAnsi="宋体"/>
            <w:noProof/>
            <w:sz w:val="24"/>
          </w:rPr>
          <w:instrText xml:space="preserve"> PAGEREF _Toc235443138 \h </w:instrText>
        </w:r>
        <w:r w:rsidRPr="00382FA6">
          <w:rPr>
            <w:rFonts w:ascii="宋体" w:hAnsi="宋体"/>
            <w:noProof/>
            <w:sz w:val="24"/>
          </w:rPr>
        </w:r>
        <w:r w:rsidRPr="00382FA6">
          <w:rPr>
            <w:rFonts w:ascii="宋体" w:hAnsi="宋体"/>
            <w:noProof/>
            <w:sz w:val="24"/>
          </w:rPr>
          <w:fldChar w:fldCharType="separate"/>
        </w:r>
        <w:r w:rsidRPr="00382FA6">
          <w:rPr>
            <w:rFonts w:ascii="宋体" w:hAnsi="宋体"/>
            <w:noProof/>
            <w:sz w:val="24"/>
          </w:rPr>
          <w:t>94</w:t>
        </w:r>
        <w:r w:rsidRPr="00382FA6">
          <w:rPr>
            <w:rFonts w:ascii="宋体" w:hAnsi="宋体"/>
            <w:noProof/>
            <w:sz w:val="24"/>
          </w:rPr>
          <w:fldChar w:fldCharType="end"/>
        </w:r>
      </w:hyperlink>
    </w:p>
    <w:p w:rsidR="00382FA6" w:rsidRPr="00382FA6" w:rsidRDefault="00382FA6" w:rsidP="00382FA6">
      <w:pPr>
        <w:pStyle w:val="10"/>
        <w:tabs>
          <w:tab w:val="right" w:leader="dot" w:pos="8550"/>
        </w:tabs>
        <w:spacing w:line="360" w:lineRule="auto"/>
        <w:rPr>
          <w:rFonts w:ascii="宋体" w:hAnsi="宋体" w:cstheme="minorBidi"/>
          <w:noProof/>
          <w:sz w:val="24"/>
        </w:rPr>
      </w:pPr>
      <w:hyperlink w:anchor="_Toc235443139" w:history="1">
        <w:r w:rsidRPr="00382FA6">
          <w:rPr>
            <w:rStyle w:val="aa"/>
            <w:rFonts w:ascii="宋体" w:hAnsi="宋体" w:hint="eastAsia"/>
            <w:noProof/>
            <w:sz w:val="24"/>
          </w:rPr>
          <w:t>十五、基金的费用与税收</w:t>
        </w:r>
        <w:r w:rsidRPr="00382FA6">
          <w:rPr>
            <w:rFonts w:ascii="宋体" w:hAnsi="宋体"/>
            <w:noProof/>
            <w:sz w:val="24"/>
          </w:rPr>
          <w:tab/>
        </w:r>
        <w:r w:rsidRPr="00382FA6">
          <w:rPr>
            <w:rFonts w:ascii="宋体" w:hAnsi="宋体"/>
            <w:noProof/>
            <w:sz w:val="24"/>
          </w:rPr>
          <w:fldChar w:fldCharType="begin"/>
        </w:r>
        <w:r w:rsidRPr="00382FA6">
          <w:rPr>
            <w:rFonts w:ascii="宋体" w:hAnsi="宋体"/>
            <w:noProof/>
            <w:sz w:val="24"/>
          </w:rPr>
          <w:instrText xml:space="preserve"> PAGEREF _Toc235443139 \h </w:instrText>
        </w:r>
        <w:r w:rsidRPr="00382FA6">
          <w:rPr>
            <w:rFonts w:ascii="宋体" w:hAnsi="宋体"/>
            <w:noProof/>
            <w:sz w:val="24"/>
          </w:rPr>
        </w:r>
        <w:r w:rsidRPr="00382FA6">
          <w:rPr>
            <w:rFonts w:ascii="宋体" w:hAnsi="宋体"/>
            <w:noProof/>
            <w:sz w:val="24"/>
          </w:rPr>
          <w:fldChar w:fldCharType="separate"/>
        </w:r>
        <w:r w:rsidRPr="00382FA6">
          <w:rPr>
            <w:rFonts w:ascii="宋体" w:hAnsi="宋体"/>
            <w:noProof/>
            <w:sz w:val="24"/>
          </w:rPr>
          <w:t>96</w:t>
        </w:r>
        <w:r w:rsidRPr="00382FA6">
          <w:rPr>
            <w:rFonts w:ascii="宋体" w:hAnsi="宋体"/>
            <w:noProof/>
            <w:sz w:val="24"/>
          </w:rPr>
          <w:fldChar w:fldCharType="end"/>
        </w:r>
      </w:hyperlink>
    </w:p>
    <w:p w:rsidR="00382FA6" w:rsidRPr="00382FA6" w:rsidRDefault="00382FA6" w:rsidP="00382FA6">
      <w:pPr>
        <w:pStyle w:val="10"/>
        <w:tabs>
          <w:tab w:val="right" w:leader="dot" w:pos="8550"/>
        </w:tabs>
        <w:spacing w:line="360" w:lineRule="auto"/>
        <w:rPr>
          <w:rFonts w:ascii="宋体" w:hAnsi="宋体" w:cstheme="minorBidi"/>
          <w:noProof/>
          <w:sz w:val="24"/>
        </w:rPr>
      </w:pPr>
      <w:hyperlink w:anchor="_Toc235443140" w:history="1">
        <w:r w:rsidRPr="00382FA6">
          <w:rPr>
            <w:rStyle w:val="aa"/>
            <w:rFonts w:ascii="宋体" w:hAnsi="宋体" w:hint="eastAsia"/>
            <w:noProof/>
            <w:sz w:val="24"/>
          </w:rPr>
          <w:t>十六、基金的会计与审计</w:t>
        </w:r>
        <w:r w:rsidRPr="00382FA6">
          <w:rPr>
            <w:rFonts w:ascii="宋体" w:hAnsi="宋体"/>
            <w:noProof/>
            <w:sz w:val="24"/>
          </w:rPr>
          <w:tab/>
        </w:r>
        <w:r w:rsidRPr="00382FA6">
          <w:rPr>
            <w:rFonts w:ascii="宋体" w:hAnsi="宋体"/>
            <w:noProof/>
            <w:sz w:val="24"/>
          </w:rPr>
          <w:fldChar w:fldCharType="begin"/>
        </w:r>
        <w:r w:rsidRPr="00382FA6">
          <w:rPr>
            <w:rFonts w:ascii="宋体" w:hAnsi="宋体"/>
            <w:noProof/>
            <w:sz w:val="24"/>
          </w:rPr>
          <w:instrText xml:space="preserve"> PAGEREF _Toc235443140 \h </w:instrText>
        </w:r>
        <w:r w:rsidRPr="00382FA6">
          <w:rPr>
            <w:rFonts w:ascii="宋体" w:hAnsi="宋体"/>
            <w:noProof/>
            <w:sz w:val="24"/>
          </w:rPr>
        </w:r>
        <w:r w:rsidRPr="00382FA6">
          <w:rPr>
            <w:rFonts w:ascii="宋体" w:hAnsi="宋体"/>
            <w:noProof/>
            <w:sz w:val="24"/>
          </w:rPr>
          <w:fldChar w:fldCharType="separate"/>
        </w:r>
        <w:r w:rsidRPr="00382FA6">
          <w:rPr>
            <w:rFonts w:ascii="宋体" w:hAnsi="宋体"/>
            <w:noProof/>
            <w:sz w:val="24"/>
          </w:rPr>
          <w:t>99</w:t>
        </w:r>
        <w:r w:rsidRPr="00382FA6">
          <w:rPr>
            <w:rFonts w:ascii="宋体" w:hAnsi="宋体"/>
            <w:noProof/>
            <w:sz w:val="24"/>
          </w:rPr>
          <w:fldChar w:fldCharType="end"/>
        </w:r>
      </w:hyperlink>
    </w:p>
    <w:p w:rsidR="00382FA6" w:rsidRPr="00382FA6" w:rsidRDefault="00382FA6" w:rsidP="00382FA6">
      <w:pPr>
        <w:pStyle w:val="10"/>
        <w:tabs>
          <w:tab w:val="right" w:leader="dot" w:pos="8550"/>
        </w:tabs>
        <w:spacing w:line="360" w:lineRule="auto"/>
        <w:rPr>
          <w:rFonts w:ascii="宋体" w:hAnsi="宋体" w:cstheme="minorBidi"/>
          <w:noProof/>
          <w:sz w:val="24"/>
        </w:rPr>
      </w:pPr>
      <w:hyperlink w:anchor="_Toc235443141" w:history="1">
        <w:r w:rsidRPr="00382FA6">
          <w:rPr>
            <w:rStyle w:val="aa"/>
            <w:rFonts w:ascii="宋体" w:hAnsi="宋体" w:hint="eastAsia"/>
            <w:noProof/>
            <w:sz w:val="24"/>
          </w:rPr>
          <w:t>十七、基金的信息披露</w:t>
        </w:r>
        <w:r w:rsidRPr="00382FA6">
          <w:rPr>
            <w:rFonts w:ascii="宋体" w:hAnsi="宋体"/>
            <w:noProof/>
            <w:sz w:val="24"/>
          </w:rPr>
          <w:tab/>
        </w:r>
        <w:r w:rsidRPr="00382FA6">
          <w:rPr>
            <w:rFonts w:ascii="宋体" w:hAnsi="宋体"/>
            <w:noProof/>
            <w:sz w:val="24"/>
          </w:rPr>
          <w:fldChar w:fldCharType="begin"/>
        </w:r>
        <w:r w:rsidRPr="00382FA6">
          <w:rPr>
            <w:rFonts w:ascii="宋体" w:hAnsi="宋体"/>
            <w:noProof/>
            <w:sz w:val="24"/>
          </w:rPr>
          <w:instrText xml:space="preserve"> PAGEREF _Toc235443141 \h </w:instrText>
        </w:r>
        <w:r w:rsidRPr="00382FA6">
          <w:rPr>
            <w:rFonts w:ascii="宋体" w:hAnsi="宋体"/>
            <w:noProof/>
            <w:sz w:val="24"/>
          </w:rPr>
        </w:r>
        <w:r w:rsidRPr="00382FA6">
          <w:rPr>
            <w:rFonts w:ascii="宋体" w:hAnsi="宋体"/>
            <w:noProof/>
            <w:sz w:val="24"/>
          </w:rPr>
          <w:fldChar w:fldCharType="separate"/>
        </w:r>
        <w:r w:rsidRPr="00382FA6">
          <w:rPr>
            <w:rFonts w:ascii="宋体" w:hAnsi="宋体"/>
            <w:noProof/>
            <w:sz w:val="24"/>
          </w:rPr>
          <w:t>100</w:t>
        </w:r>
        <w:r w:rsidRPr="00382FA6">
          <w:rPr>
            <w:rFonts w:ascii="宋体" w:hAnsi="宋体"/>
            <w:noProof/>
            <w:sz w:val="24"/>
          </w:rPr>
          <w:fldChar w:fldCharType="end"/>
        </w:r>
      </w:hyperlink>
    </w:p>
    <w:p w:rsidR="00382FA6" w:rsidRPr="00382FA6" w:rsidRDefault="00382FA6" w:rsidP="00382FA6">
      <w:pPr>
        <w:pStyle w:val="10"/>
        <w:tabs>
          <w:tab w:val="right" w:leader="dot" w:pos="8550"/>
        </w:tabs>
        <w:spacing w:line="360" w:lineRule="auto"/>
        <w:rPr>
          <w:rFonts w:ascii="宋体" w:hAnsi="宋体" w:cstheme="minorBidi"/>
          <w:noProof/>
          <w:sz w:val="24"/>
        </w:rPr>
      </w:pPr>
      <w:hyperlink w:anchor="_Toc235443142" w:history="1">
        <w:r w:rsidRPr="00382FA6">
          <w:rPr>
            <w:rStyle w:val="aa"/>
            <w:rFonts w:ascii="宋体" w:hAnsi="宋体" w:hint="eastAsia"/>
            <w:noProof/>
            <w:sz w:val="24"/>
          </w:rPr>
          <w:t>十八、侧袋机制</w:t>
        </w:r>
        <w:r w:rsidRPr="00382FA6">
          <w:rPr>
            <w:rFonts w:ascii="宋体" w:hAnsi="宋体"/>
            <w:noProof/>
            <w:sz w:val="24"/>
          </w:rPr>
          <w:tab/>
        </w:r>
        <w:r w:rsidRPr="00382FA6">
          <w:rPr>
            <w:rFonts w:ascii="宋体" w:hAnsi="宋体"/>
            <w:noProof/>
            <w:sz w:val="24"/>
          </w:rPr>
          <w:fldChar w:fldCharType="begin"/>
        </w:r>
        <w:r w:rsidRPr="00382FA6">
          <w:rPr>
            <w:rFonts w:ascii="宋体" w:hAnsi="宋体"/>
            <w:noProof/>
            <w:sz w:val="24"/>
          </w:rPr>
          <w:instrText xml:space="preserve"> PAGEREF _Toc235443142 \h </w:instrText>
        </w:r>
        <w:r w:rsidRPr="00382FA6">
          <w:rPr>
            <w:rFonts w:ascii="宋体" w:hAnsi="宋体"/>
            <w:noProof/>
            <w:sz w:val="24"/>
          </w:rPr>
        </w:r>
        <w:r w:rsidRPr="00382FA6">
          <w:rPr>
            <w:rFonts w:ascii="宋体" w:hAnsi="宋体"/>
            <w:noProof/>
            <w:sz w:val="24"/>
          </w:rPr>
          <w:fldChar w:fldCharType="separate"/>
        </w:r>
        <w:r w:rsidRPr="00382FA6">
          <w:rPr>
            <w:rFonts w:ascii="宋体" w:hAnsi="宋体"/>
            <w:noProof/>
            <w:sz w:val="24"/>
          </w:rPr>
          <w:t>107</w:t>
        </w:r>
        <w:r w:rsidRPr="00382FA6">
          <w:rPr>
            <w:rFonts w:ascii="宋体" w:hAnsi="宋体"/>
            <w:noProof/>
            <w:sz w:val="24"/>
          </w:rPr>
          <w:fldChar w:fldCharType="end"/>
        </w:r>
      </w:hyperlink>
    </w:p>
    <w:p w:rsidR="00382FA6" w:rsidRPr="00382FA6" w:rsidRDefault="00382FA6" w:rsidP="00382FA6">
      <w:pPr>
        <w:pStyle w:val="10"/>
        <w:tabs>
          <w:tab w:val="right" w:leader="dot" w:pos="8550"/>
        </w:tabs>
        <w:spacing w:line="360" w:lineRule="auto"/>
        <w:rPr>
          <w:rFonts w:ascii="宋体" w:hAnsi="宋体" w:cstheme="minorBidi"/>
          <w:noProof/>
          <w:sz w:val="24"/>
        </w:rPr>
      </w:pPr>
      <w:hyperlink w:anchor="_Toc235443143" w:history="1">
        <w:r w:rsidRPr="00382FA6">
          <w:rPr>
            <w:rStyle w:val="aa"/>
            <w:rFonts w:ascii="宋体" w:hAnsi="宋体" w:hint="eastAsia"/>
            <w:noProof/>
            <w:sz w:val="24"/>
          </w:rPr>
          <w:t>十九、风险揭示</w:t>
        </w:r>
        <w:r w:rsidRPr="00382FA6">
          <w:rPr>
            <w:rFonts w:ascii="宋体" w:hAnsi="宋体"/>
            <w:noProof/>
            <w:sz w:val="24"/>
          </w:rPr>
          <w:tab/>
        </w:r>
        <w:r w:rsidRPr="00382FA6">
          <w:rPr>
            <w:rFonts w:ascii="宋体" w:hAnsi="宋体"/>
            <w:noProof/>
            <w:sz w:val="24"/>
          </w:rPr>
          <w:fldChar w:fldCharType="begin"/>
        </w:r>
        <w:r w:rsidRPr="00382FA6">
          <w:rPr>
            <w:rFonts w:ascii="宋体" w:hAnsi="宋体"/>
            <w:noProof/>
            <w:sz w:val="24"/>
          </w:rPr>
          <w:instrText xml:space="preserve"> PAGEREF _Toc235443143 \h </w:instrText>
        </w:r>
        <w:r w:rsidRPr="00382FA6">
          <w:rPr>
            <w:rFonts w:ascii="宋体" w:hAnsi="宋体"/>
            <w:noProof/>
            <w:sz w:val="24"/>
          </w:rPr>
        </w:r>
        <w:r w:rsidRPr="00382FA6">
          <w:rPr>
            <w:rFonts w:ascii="宋体" w:hAnsi="宋体"/>
            <w:noProof/>
            <w:sz w:val="24"/>
          </w:rPr>
          <w:fldChar w:fldCharType="separate"/>
        </w:r>
        <w:r w:rsidRPr="00382FA6">
          <w:rPr>
            <w:rFonts w:ascii="宋体" w:hAnsi="宋体"/>
            <w:noProof/>
            <w:sz w:val="24"/>
          </w:rPr>
          <w:t>110</w:t>
        </w:r>
        <w:r w:rsidRPr="00382FA6">
          <w:rPr>
            <w:rFonts w:ascii="宋体" w:hAnsi="宋体"/>
            <w:noProof/>
            <w:sz w:val="24"/>
          </w:rPr>
          <w:fldChar w:fldCharType="end"/>
        </w:r>
      </w:hyperlink>
    </w:p>
    <w:p w:rsidR="00382FA6" w:rsidRPr="00382FA6" w:rsidRDefault="00382FA6" w:rsidP="00382FA6">
      <w:pPr>
        <w:pStyle w:val="10"/>
        <w:tabs>
          <w:tab w:val="right" w:leader="dot" w:pos="8550"/>
        </w:tabs>
        <w:spacing w:line="360" w:lineRule="auto"/>
        <w:rPr>
          <w:rFonts w:ascii="宋体" w:hAnsi="宋体" w:cstheme="minorBidi"/>
          <w:noProof/>
          <w:sz w:val="24"/>
        </w:rPr>
      </w:pPr>
      <w:hyperlink w:anchor="_Toc235443144" w:history="1">
        <w:r w:rsidRPr="00382FA6">
          <w:rPr>
            <w:rStyle w:val="aa"/>
            <w:rFonts w:ascii="宋体" w:hAnsi="宋体" w:hint="eastAsia"/>
            <w:noProof/>
            <w:sz w:val="24"/>
          </w:rPr>
          <w:t>二十、基金合同的变更、终止与基金财产的清算</w:t>
        </w:r>
        <w:r w:rsidRPr="00382FA6">
          <w:rPr>
            <w:rFonts w:ascii="宋体" w:hAnsi="宋体"/>
            <w:noProof/>
            <w:sz w:val="24"/>
          </w:rPr>
          <w:tab/>
        </w:r>
        <w:r w:rsidRPr="00382FA6">
          <w:rPr>
            <w:rFonts w:ascii="宋体" w:hAnsi="宋体"/>
            <w:noProof/>
            <w:sz w:val="24"/>
          </w:rPr>
          <w:fldChar w:fldCharType="begin"/>
        </w:r>
        <w:r w:rsidRPr="00382FA6">
          <w:rPr>
            <w:rFonts w:ascii="宋体" w:hAnsi="宋体"/>
            <w:noProof/>
            <w:sz w:val="24"/>
          </w:rPr>
          <w:instrText xml:space="preserve"> PAGEREF _Toc235443144 \h </w:instrText>
        </w:r>
        <w:r w:rsidRPr="00382FA6">
          <w:rPr>
            <w:rFonts w:ascii="宋体" w:hAnsi="宋体"/>
            <w:noProof/>
            <w:sz w:val="24"/>
          </w:rPr>
        </w:r>
        <w:r w:rsidRPr="00382FA6">
          <w:rPr>
            <w:rFonts w:ascii="宋体" w:hAnsi="宋体"/>
            <w:noProof/>
            <w:sz w:val="24"/>
          </w:rPr>
          <w:fldChar w:fldCharType="separate"/>
        </w:r>
        <w:r w:rsidRPr="00382FA6">
          <w:rPr>
            <w:rFonts w:ascii="宋体" w:hAnsi="宋体"/>
            <w:noProof/>
            <w:sz w:val="24"/>
          </w:rPr>
          <w:t>121</w:t>
        </w:r>
        <w:r w:rsidRPr="00382FA6">
          <w:rPr>
            <w:rFonts w:ascii="宋体" w:hAnsi="宋体"/>
            <w:noProof/>
            <w:sz w:val="24"/>
          </w:rPr>
          <w:fldChar w:fldCharType="end"/>
        </w:r>
      </w:hyperlink>
    </w:p>
    <w:p w:rsidR="00382FA6" w:rsidRPr="00382FA6" w:rsidRDefault="00382FA6" w:rsidP="00382FA6">
      <w:pPr>
        <w:pStyle w:val="10"/>
        <w:tabs>
          <w:tab w:val="right" w:leader="dot" w:pos="8550"/>
        </w:tabs>
        <w:spacing w:line="360" w:lineRule="auto"/>
        <w:rPr>
          <w:rFonts w:ascii="宋体" w:hAnsi="宋体" w:cstheme="minorBidi"/>
          <w:noProof/>
          <w:sz w:val="24"/>
        </w:rPr>
      </w:pPr>
      <w:hyperlink w:anchor="_Toc235443145" w:history="1">
        <w:r w:rsidRPr="00382FA6">
          <w:rPr>
            <w:rStyle w:val="aa"/>
            <w:rFonts w:ascii="宋体" w:hAnsi="宋体" w:hint="eastAsia"/>
            <w:noProof/>
            <w:sz w:val="24"/>
          </w:rPr>
          <w:t>二十一、基金合同内容摘要</w:t>
        </w:r>
        <w:r w:rsidRPr="00382FA6">
          <w:rPr>
            <w:rFonts w:ascii="宋体" w:hAnsi="宋体"/>
            <w:noProof/>
            <w:sz w:val="24"/>
          </w:rPr>
          <w:tab/>
        </w:r>
        <w:r w:rsidRPr="00382FA6">
          <w:rPr>
            <w:rFonts w:ascii="宋体" w:hAnsi="宋体"/>
            <w:noProof/>
            <w:sz w:val="24"/>
          </w:rPr>
          <w:fldChar w:fldCharType="begin"/>
        </w:r>
        <w:r w:rsidRPr="00382FA6">
          <w:rPr>
            <w:rFonts w:ascii="宋体" w:hAnsi="宋体"/>
            <w:noProof/>
            <w:sz w:val="24"/>
          </w:rPr>
          <w:instrText xml:space="preserve"> PAGEREF _Toc235443145 \h </w:instrText>
        </w:r>
        <w:r w:rsidRPr="00382FA6">
          <w:rPr>
            <w:rFonts w:ascii="宋体" w:hAnsi="宋体"/>
            <w:noProof/>
            <w:sz w:val="24"/>
          </w:rPr>
        </w:r>
        <w:r w:rsidRPr="00382FA6">
          <w:rPr>
            <w:rFonts w:ascii="宋体" w:hAnsi="宋体"/>
            <w:noProof/>
            <w:sz w:val="24"/>
          </w:rPr>
          <w:fldChar w:fldCharType="separate"/>
        </w:r>
        <w:r w:rsidRPr="00382FA6">
          <w:rPr>
            <w:rFonts w:ascii="宋体" w:hAnsi="宋体"/>
            <w:noProof/>
            <w:sz w:val="24"/>
          </w:rPr>
          <w:t>123</w:t>
        </w:r>
        <w:r w:rsidRPr="00382FA6">
          <w:rPr>
            <w:rFonts w:ascii="宋体" w:hAnsi="宋体"/>
            <w:noProof/>
            <w:sz w:val="24"/>
          </w:rPr>
          <w:fldChar w:fldCharType="end"/>
        </w:r>
      </w:hyperlink>
    </w:p>
    <w:p w:rsidR="00382FA6" w:rsidRPr="00382FA6" w:rsidRDefault="00382FA6" w:rsidP="00382FA6">
      <w:pPr>
        <w:pStyle w:val="10"/>
        <w:tabs>
          <w:tab w:val="right" w:leader="dot" w:pos="8550"/>
        </w:tabs>
        <w:spacing w:line="360" w:lineRule="auto"/>
        <w:rPr>
          <w:rFonts w:ascii="宋体" w:hAnsi="宋体" w:cstheme="minorBidi"/>
          <w:noProof/>
          <w:sz w:val="24"/>
        </w:rPr>
      </w:pPr>
      <w:hyperlink w:anchor="_Toc235443146" w:history="1">
        <w:r w:rsidRPr="00382FA6">
          <w:rPr>
            <w:rStyle w:val="aa"/>
            <w:rFonts w:ascii="宋体" w:hAnsi="宋体" w:hint="eastAsia"/>
            <w:noProof/>
            <w:sz w:val="24"/>
          </w:rPr>
          <w:t>二十二、托管协议的内容摘要</w:t>
        </w:r>
        <w:r w:rsidRPr="00382FA6">
          <w:rPr>
            <w:rFonts w:ascii="宋体" w:hAnsi="宋体"/>
            <w:noProof/>
            <w:sz w:val="24"/>
          </w:rPr>
          <w:tab/>
        </w:r>
        <w:r w:rsidRPr="00382FA6">
          <w:rPr>
            <w:rFonts w:ascii="宋体" w:hAnsi="宋体"/>
            <w:noProof/>
            <w:sz w:val="24"/>
          </w:rPr>
          <w:fldChar w:fldCharType="begin"/>
        </w:r>
        <w:r w:rsidRPr="00382FA6">
          <w:rPr>
            <w:rFonts w:ascii="宋体" w:hAnsi="宋体"/>
            <w:noProof/>
            <w:sz w:val="24"/>
          </w:rPr>
          <w:instrText xml:space="preserve"> PAGEREF _Toc235443146 \h </w:instrText>
        </w:r>
        <w:r w:rsidRPr="00382FA6">
          <w:rPr>
            <w:rFonts w:ascii="宋体" w:hAnsi="宋体"/>
            <w:noProof/>
            <w:sz w:val="24"/>
          </w:rPr>
        </w:r>
        <w:r w:rsidRPr="00382FA6">
          <w:rPr>
            <w:rFonts w:ascii="宋体" w:hAnsi="宋体"/>
            <w:noProof/>
            <w:sz w:val="24"/>
          </w:rPr>
          <w:fldChar w:fldCharType="separate"/>
        </w:r>
        <w:r w:rsidRPr="00382FA6">
          <w:rPr>
            <w:rFonts w:ascii="宋体" w:hAnsi="宋体"/>
            <w:noProof/>
            <w:sz w:val="24"/>
          </w:rPr>
          <w:t>140</w:t>
        </w:r>
        <w:r w:rsidRPr="00382FA6">
          <w:rPr>
            <w:rFonts w:ascii="宋体" w:hAnsi="宋体"/>
            <w:noProof/>
            <w:sz w:val="24"/>
          </w:rPr>
          <w:fldChar w:fldCharType="end"/>
        </w:r>
      </w:hyperlink>
    </w:p>
    <w:p w:rsidR="00382FA6" w:rsidRPr="00382FA6" w:rsidRDefault="00382FA6" w:rsidP="00382FA6">
      <w:pPr>
        <w:pStyle w:val="10"/>
        <w:tabs>
          <w:tab w:val="right" w:leader="dot" w:pos="8550"/>
        </w:tabs>
        <w:spacing w:line="360" w:lineRule="auto"/>
        <w:rPr>
          <w:rFonts w:ascii="宋体" w:hAnsi="宋体" w:cstheme="minorBidi"/>
          <w:noProof/>
          <w:sz w:val="24"/>
        </w:rPr>
      </w:pPr>
      <w:hyperlink w:anchor="_Toc235443147" w:history="1">
        <w:r w:rsidRPr="00382FA6">
          <w:rPr>
            <w:rStyle w:val="aa"/>
            <w:rFonts w:ascii="宋体" w:hAnsi="宋体" w:hint="eastAsia"/>
            <w:noProof/>
            <w:sz w:val="24"/>
          </w:rPr>
          <w:t>二十三、对基金份额持有人的服务</w:t>
        </w:r>
        <w:r w:rsidRPr="00382FA6">
          <w:rPr>
            <w:rFonts w:ascii="宋体" w:hAnsi="宋体"/>
            <w:noProof/>
            <w:sz w:val="24"/>
          </w:rPr>
          <w:tab/>
        </w:r>
        <w:r w:rsidRPr="00382FA6">
          <w:rPr>
            <w:rFonts w:ascii="宋体" w:hAnsi="宋体"/>
            <w:noProof/>
            <w:sz w:val="24"/>
          </w:rPr>
          <w:fldChar w:fldCharType="begin"/>
        </w:r>
        <w:r w:rsidRPr="00382FA6">
          <w:rPr>
            <w:rFonts w:ascii="宋体" w:hAnsi="宋体"/>
            <w:noProof/>
            <w:sz w:val="24"/>
          </w:rPr>
          <w:instrText xml:space="preserve"> PAGEREF _Toc235443147 \h </w:instrText>
        </w:r>
        <w:r w:rsidRPr="00382FA6">
          <w:rPr>
            <w:rFonts w:ascii="宋体" w:hAnsi="宋体"/>
            <w:noProof/>
            <w:sz w:val="24"/>
          </w:rPr>
        </w:r>
        <w:r w:rsidRPr="00382FA6">
          <w:rPr>
            <w:rFonts w:ascii="宋体" w:hAnsi="宋体"/>
            <w:noProof/>
            <w:sz w:val="24"/>
          </w:rPr>
          <w:fldChar w:fldCharType="separate"/>
        </w:r>
        <w:r w:rsidRPr="00382FA6">
          <w:rPr>
            <w:rFonts w:ascii="宋体" w:hAnsi="宋体"/>
            <w:noProof/>
            <w:sz w:val="24"/>
          </w:rPr>
          <w:t>154</w:t>
        </w:r>
        <w:r w:rsidRPr="00382FA6">
          <w:rPr>
            <w:rFonts w:ascii="宋体" w:hAnsi="宋体"/>
            <w:noProof/>
            <w:sz w:val="24"/>
          </w:rPr>
          <w:fldChar w:fldCharType="end"/>
        </w:r>
      </w:hyperlink>
    </w:p>
    <w:p w:rsidR="00382FA6" w:rsidRPr="00382FA6" w:rsidRDefault="00382FA6" w:rsidP="00382FA6">
      <w:pPr>
        <w:pStyle w:val="10"/>
        <w:tabs>
          <w:tab w:val="right" w:leader="dot" w:pos="8550"/>
        </w:tabs>
        <w:spacing w:line="360" w:lineRule="auto"/>
        <w:rPr>
          <w:rFonts w:ascii="宋体" w:hAnsi="宋体" w:cstheme="minorBidi"/>
          <w:noProof/>
          <w:sz w:val="24"/>
        </w:rPr>
      </w:pPr>
      <w:hyperlink w:anchor="_Toc235443148" w:history="1">
        <w:r w:rsidRPr="00382FA6">
          <w:rPr>
            <w:rStyle w:val="aa"/>
            <w:rFonts w:ascii="宋体" w:hAnsi="宋体" w:hint="eastAsia"/>
            <w:noProof/>
            <w:sz w:val="24"/>
          </w:rPr>
          <w:t>二十四、其他应披露事项</w:t>
        </w:r>
        <w:r w:rsidRPr="00382FA6">
          <w:rPr>
            <w:rFonts w:ascii="宋体" w:hAnsi="宋体"/>
            <w:noProof/>
            <w:sz w:val="24"/>
          </w:rPr>
          <w:tab/>
        </w:r>
        <w:r w:rsidRPr="00382FA6">
          <w:rPr>
            <w:rFonts w:ascii="宋体" w:hAnsi="宋体"/>
            <w:noProof/>
            <w:sz w:val="24"/>
          </w:rPr>
          <w:fldChar w:fldCharType="begin"/>
        </w:r>
        <w:r w:rsidRPr="00382FA6">
          <w:rPr>
            <w:rFonts w:ascii="宋体" w:hAnsi="宋体"/>
            <w:noProof/>
            <w:sz w:val="24"/>
          </w:rPr>
          <w:instrText xml:space="preserve"> PAGEREF _Toc235443148 \h </w:instrText>
        </w:r>
        <w:r w:rsidRPr="00382FA6">
          <w:rPr>
            <w:rFonts w:ascii="宋体" w:hAnsi="宋体"/>
            <w:noProof/>
            <w:sz w:val="24"/>
          </w:rPr>
        </w:r>
        <w:r w:rsidRPr="00382FA6">
          <w:rPr>
            <w:rFonts w:ascii="宋体" w:hAnsi="宋体"/>
            <w:noProof/>
            <w:sz w:val="24"/>
          </w:rPr>
          <w:fldChar w:fldCharType="separate"/>
        </w:r>
        <w:r w:rsidRPr="00382FA6">
          <w:rPr>
            <w:rFonts w:ascii="宋体" w:hAnsi="宋体"/>
            <w:noProof/>
            <w:sz w:val="24"/>
          </w:rPr>
          <w:t>156</w:t>
        </w:r>
        <w:r w:rsidRPr="00382FA6">
          <w:rPr>
            <w:rFonts w:ascii="宋体" w:hAnsi="宋体"/>
            <w:noProof/>
            <w:sz w:val="24"/>
          </w:rPr>
          <w:fldChar w:fldCharType="end"/>
        </w:r>
      </w:hyperlink>
    </w:p>
    <w:p w:rsidR="00382FA6" w:rsidRPr="00382FA6" w:rsidRDefault="00382FA6" w:rsidP="00382FA6">
      <w:pPr>
        <w:pStyle w:val="10"/>
        <w:tabs>
          <w:tab w:val="right" w:leader="dot" w:pos="8550"/>
        </w:tabs>
        <w:spacing w:line="360" w:lineRule="auto"/>
        <w:rPr>
          <w:rFonts w:ascii="宋体" w:hAnsi="宋体" w:cstheme="minorBidi"/>
          <w:noProof/>
          <w:sz w:val="24"/>
        </w:rPr>
      </w:pPr>
      <w:hyperlink w:anchor="_Toc235443149" w:history="1">
        <w:r w:rsidRPr="00382FA6">
          <w:rPr>
            <w:rStyle w:val="aa"/>
            <w:rFonts w:ascii="宋体" w:hAnsi="宋体" w:hint="eastAsia"/>
            <w:noProof/>
            <w:sz w:val="24"/>
          </w:rPr>
          <w:t>二十五、招募说明书的存放及查阅方式</w:t>
        </w:r>
        <w:r w:rsidRPr="00382FA6">
          <w:rPr>
            <w:rFonts w:ascii="宋体" w:hAnsi="宋体"/>
            <w:noProof/>
            <w:sz w:val="24"/>
          </w:rPr>
          <w:tab/>
        </w:r>
        <w:r w:rsidRPr="00382FA6">
          <w:rPr>
            <w:rFonts w:ascii="宋体" w:hAnsi="宋体"/>
            <w:noProof/>
            <w:sz w:val="24"/>
          </w:rPr>
          <w:fldChar w:fldCharType="begin"/>
        </w:r>
        <w:r w:rsidRPr="00382FA6">
          <w:rPr>
            <w:rFonts w:ascii="宋体" w:hAnsi="宋体"/>
            <w:noProof/>
            <w:sz w:val="24"/>
          </w:rPr>
          <w:instrText xml:space="preserve"> PAGEREF _Toc235443149 \h </w:instrText>
        </w:r>
        <w:r w:rsidRPr="00382FA6">
          <w:rPr>
            <w:rFonts w:ascii="宋体" w:hAnsi="宋体"/>
            <w:noProof/>
            <w:sz w:val="24"/>
          </w:rPr>
        </w:r>
        <w:r w:rsidRPr="00382FA6">
          <w:rPr>
            <w:rFonts w:ascii="宋体" w:hAnsi="宋体"/>
            <w:noProof/>
            <w:sz w:val="24"/>
          </w:rPr>
          <w:fldChar w:fldCharType="separate"/>
        </w:r>
        <w:r w:rsidRPr="00382FA6">
          <w:rPr>
            <w:rFonts w:ascii="宋体" w:hAnsi="宋体"/>
            <w:noProof/>
            <w:sz w:val="24"/>
          </w:rPr>
          <w:t>158</w:t>
        </w:r>
        <w:r w:rsidRPr="00382FA6">
          <w:rPr>
            <w:rFonts w:ascii="宋体" w:hAnsi="宋体"/>
            <w:noProof/>
            <w:sz w:val="24"/>
          </w:rPr>
          <w:fldChar w:fldCharType="end"/>
        </w:r>
      </w:hyperlink>
    </w:p>
    <w:p w:rsidR="00382FA6" w:rsidRPr="00382FA6" w:rsidRDefault="00382FA6" w:rsidP="00382FA6">
      <w:pPr>
        <w:pStyle w:val="10"/>
        <w:tabs>
          <w:tab w:val="right" w:leader="dot" w:pos="8550"/>
        </w:tabs>
        <w:spacing w:line="360" w:lineRule="auto"/>
        <w:rPr>
          <w:rFonts w:ascii="宋体" w:hAnsi="宋体" w:cstheme="minorBidi"/>
          <w:noProof/>
          <w:sz w:val="24"/>
        </w:rPr>
      </w:pPr>
      <w:hyperlink w:anchor="_Toc235443150" w:history="1">
        <w:r w:rsidRPr="00382FA6">
          <w:rPr>
            <w:rStyle w:val="aa"/>
            <w:rFonts w:ascii="宋体" w:hAnsi="宋体" w:hint="eastAsia"/>
            <w:noProof/>
            <w:sz w:val="24"/>
          </w:rPr>
          <w:t>二十六、备查文件</w:t>
        </w:r>
        <w:r w:rsidRPr="00382FA6">
          <w:rPr>
            <w:rFonts w:ascii="宋体" w:hAnsi="宋体"/>
            <w:noProof/>
            <w:sz w:val="24"/>
          </w:rPr>
          <w:tab/>
        </w:r>
        <w:r w:rsidRPr="00382FA6">
          <w:rPr>
            <w:rFonts w:ascii="宋体" w:hAnsi="宋体"/>
            <w:noProof/>
            <w:sz w:val="24"/>
          </w:rPr>
          <w:fldChar w:fldCharType="begin"/>
        </w:r>
        <w:r w:rsidRPr="00382FA6">
          <w:rPr>
            <w:rFonts w:ascii="宋体" w:hAnsi="宋体"/>
            <w:noProof/>
            <w:sz w:val="24"/>
          </w:rPr>
          <w:instrText xml:space="preserve"> PAGEREF _Toc235443150 \h </w:instrText>
        </w:r>
        <w:r w:rsidRPr="00382FA6">
          <w:rPr>
            <w:rFonts w:ascii="宋体" w:hAnsi="宋体"/>
            <w:noProof/>
            <w:sz w:val="24"/>
          </w:rPr>
        </w:r>
        <w:r w:rsidRPr="00382FA6">
          <w:rPr>
            <w:rFonts w:ascii="宋体" w:hAnsi="宋体"/>
            <w:noProof/>
            <w:sz w:val="24"/>
          </w:rPr>
          <w:fldChar w:fldCharType="separate"/>
        </w:r>
        <w:r w:rsidRPr="00382FA6">
          <w:rPr>
            <w:rFonts w:ascii="宋体" w:hAnsi="宋体"/>
            <w:noProof/>
            <w:sz w:val="24"/>
          </w:rPr>
          <w:t>159</w:t>
        </w:r>
        <w:r w:rsidRPr="00382FA6">
          <w:rPr>
            <w:rFonts w:ascii="宋体" w:hAnsi="宋体"/>
            <w:noProof/>
            <w:sz w:val="24"/>
          </w:rPr>
          <w:fldChar w:fldCharType="end"/>
        </w:r>
      </w:hyperlink>
    </w:p>
    <w:p w:rsidR="005A47C9" w:rsidRPr="00382FA6" w:rsidRDefault="00382FA6" w:rsidP="00382FA6">
      <w:pPr>
        <w:pStyle w:val="ad"/>
        <w:snapToGrid w:val="0"/>
        <w:spacing w:after="240" w:line="360" w:lineRule="auto"/>
        <w:jc w:val="center"/>
        <w:rPr>
          <w:rFonts w:ascii="宋体" w:hAnsi="宋体"/>
          <w:color w:val="000000"/>
          <w:sz w:val="24"/>
        </w:rPr>
      </w:pPr>
      <w:r w:rsidRPr="00382FA6">
        <w:rPr>
          <w:rFonts w:ascii="宋体" w:hAnsi="宋体"/>
          <w:color w:val="000000"/>
          <w:position w:val="-4"/>
          <w:sz w:val="24"/>
          <w:szCs w:val="30"/>
        </w:rPr>
        <w:fldChar w:fldCharType="end"/>
      </w:r>
      <w:bookmarkStart w:id="3" w:name="_GoBack"/>
      <w:bookmarkEnd w:id="3"/>
    </w:p>
    <w:p w:rsidR="005A47C9" w:rsidRDefault="005A47C9">
      <w:pPr>
        <w:autoSpaceDE w:val="0"/>
        <w:autoSpaceDN w:val="0"/>
        <w:adjustRightInd w:val="0"/>
        <w:snapToGrid w:val="0"/>
        <w:spacing w:line="360" w:lineRule="auto"/>
        <w:ind w:left="120" w:rightChars="6" w:right="13"/>
        <w:rPr>
          <w:rFonts w:ascii="宋体" w:hAnsi="宋体"/>
          <w:kern w:val="0"/>
          <w:szCs w:val="24"/>
        </w:rPr>
        <w:sectPr w:rsidR="005A47C9">
          <w:pgSz w:w="11920" w:h="16840"/>
          <w:pgMar w:top="1480" w:right="1680" w:bottom="280" w:left="1680" w:header="0" w:footer="1073" w:gutter="0"/>
          <w:cols w:space="720"/>
        </w:sectPr>
      </w:pPr>
    </w:p>
    <w:p w:rsidR="005A47C9" w:rsidRDefault="00DB33E2">
      <w:pPr>
        <w:pStyle w:val="1"/>
        <w:snapToGrid w:val="0"/>
        <w:spacing w:beforeLines="0" w:before="240" w:after="240"/>
        <w:rPr>
          <w:rFonts w:ascii="宋体" w:hAnsi="宋体"/>
          <w:szCs w:val="30"/>
        </w:rPr>
      </w:pPr>
      <w:bookmarkStart w:id="4" w:name="_Toc235443125"/>
      <w:r>
        <w:rPr>
          <w:rFonts w:ascii="Times New Roman" w:hAnsi="Times New Roman"/>
          <w:sz w:val="30"/>
        </w:rPr>
        <w:lastRenderedPageBreak/>
        <w:t>一、绪言</w:t>
      </w:r>
      <w:bookmarkEnd w:id="4"/>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智选星光混合型基金中基金（FOF-LOF）招募说明书》（以下简称“本招募说明书”）依据《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证券投资基金运作指引第2号——基金中基金指引》、《公开募集开放式证券投资基金流动性风险管理规定》（以下简称“《流动性风险管理规定》”）和其他相关法律法规的规定以及《交银施罗德智选星光混合型基金中基金（FOF-LOF）基金合同》（以下简称“基金合同”）编写。</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DB33E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A47C9" w:rsidRDefault="00DB33E2">
      <w:pPr>
        <w:pStyle w:val="1"/>
        <w:snapToGrid w:val="0"/>
        <w:spacing w:beforeLines="0" w:before="240" w:after="240"/>
        <w:rPr>
          <w:rFonts w:ascii="宋体" w:hAnsi="宋体"/>
          <w:szCs w:val="30"/>
        </w:rPr>
      </w:pPr>
      <w:bookmarkStart w:id="5" w:name="_Toc235443126"/>
      <w:r>
        <w:rPr>
          <w:rFonts w:ascii="Times New Roman" w:hAnsi="Times New Roman"/>
          <w:sz w:val="30"/>
        </w:rPr>
        <w:lastRenderedPageBreak/>
        <w:t>二、释义</w:t>
      </w:r>
      <w:bookmarkEnd w:id="5"/>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智选星光一年封闭运作混合型基金中基金（FOF-LOF）或交银施罗德智选星光混合型基金中基金（FOF-LOF），交银施罗德智选星光混合型基金中基金（FOF-LOF）由交银施罗德智选星光一年封闭运作混合型基金中基金（FOF-LOF）封闭期届满后更名而来</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2、基金管理人或本基金管理人：指交银施罗德基金管理有限公司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3、基金托管人：指中国光大银行股份有限公司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或《基金合同》：指《交银施罗德智选星光一年封闭运作混合型基金中基金（FOF-LOF）基金合同》及对基金合同的任何有效修订和补充；基金更名后，基金合同相应修订为《交银施罗德智选星光混合型基金中基金（FOF-LOF）基金合同》</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智选星光一年封闭运作混合型基金中基金（FOF-LOF）托管协议》及对该托管协议的任何有效修订和补充；基金更名后，托管协议相应修订为《交银施罗德智选星光混合型基金中基金（FOF-LOF）托管协议》</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本招募说明书或《招募说明书》：指《交银施罗德智选星光一年封闭运作混合型基金中基金（FOF-LOF）招募说明书》及其更新；基金更名后，招募说明书相应修订为《交银施罗德智选星光混合型基金中基金（FOF-LOF）招募说明书》及其更新</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产品资料概要：指《交银施罗德智选星光一年封闭运作混合型基金中基金（FOF-LOF）基金产品资料概要》及其更新；基金更名后，基金产品资料概要相应修订为《交银施罗德智选星光混合型基金中基金（FOF-LOF）基金产品资料概要》及其更新</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8、基金份额发售公告：指《交银施罗德智选星光一年封闭运作混合型基金中基金（FOF-LOF）基金份额发售公告》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9、上市交易公告书：指《交银施罗德智选星光一年封闭运作混合型基金中基金（FOF-LOF）上市交易公告书》</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10、法律法规：指中国现行有效并公布实施的法律、行政法规、规范性文件、</w:t>
      </w:r>
      <w:r>
        <w:rPr>
          <w:rFonts w:ascii="宋体" w:hAnsi="宋体"/>
          <w:sz w:val="24"/>
        </w:rPr>
        <w:lastRenderedPageBreak/>
        <w:t>司法解释、行政规章以及其他对基金合同当事人有约束力的决定、决议、通知等</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11、《基金法》：指《中华人民共和国证券投资基金法》及颁布机关对其不时做出的修订</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12、《销售办法》：指《公开募集证券投资基金销售机构监督管理办法》及颁布机关对其不时做出的修订</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13、《信息披露办法》：指《公开募集证券投资基金信息披露管理办法》及颁布机关对其不时做出的修订</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14、《运作办法》：指《公开募集证券投资基金运作管理办法》及颁布机关对其不时做出的修订</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15、《流动性风险管理规定》：指《公开募集开放式证券投资基金流动性风险管理规定》及颁布机关对其不时做出的修订</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16、中国证监会：指中国证券监督管理委员会</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17、银行业监督管理机构：指中国人民银行和/或中国银行保险监督管理委员会</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18、基金合同当事人：指受基金合同约束，根据基金合同享有权利并承担义务的法律主体，包括基金管理人、基金托管人和基金份额持有人</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19、个人投资者：指依据有关法律法规规定可投资于证券投资基金的自然人</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20、机构投资者：指依法可以投资证券投资基金的、在中华人民共和国境内合法登记并存续或经有关政府部门批准设立并存续的企业法人、事业法人、社会团体或其他组织</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合格境外投资者：指符合《合格境外机构投资者和人民币合格境外机构投资者境内证券期货投资管理办法》（包括其不时修订）及相关法律法规规定使用来自境外的资金进行境内证券期货投资的境外机构投资者，包括合格境外机构投资者和人民币合格境外机构投资者</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22、投资人、投资者：指个人投资者、机构投资者、合格境外投资者以及法律法规或中国证监会允许购买证券投资基金的其他投资人的合称</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23、基金份额持有人：指依基金合同和招募说明书合法取得基金份额的投资人</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24、基金销售业务：指基金管理人或销售机构宣传推介基金，发售基金份额，办理基金份额的申购、赎回、转换、转托管及定期定额投资等业务</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25、销售机构：指交银施罗德基金管理有限公司以及符合《销售办法》和中国</w:t>
      </w:r>
      <w:r>
        <w:rPr>
          <w:rFonts w:ascii="宋体" w:hAnsi="宋体"/>
          <w:sz w:val="24"/>
        </w:rPr>
        <w:lastRenderedPageBreak/>
        <w:t>证监会规定的其他条件，取得基金销售业务资格并与基金管理人签订了基金销售服务协议，办理基金销售业务的机构以及可通过上海证券交易所交易系统办理基金销售业务的会员单位</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26、会员单位：指上海证券交易所会员单位</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场外：指不通过上海证券交易所交易系统，而通过直销机构和其他场外销售机构的柜台系统或其他交易系统办理基金份额认购、申购和赎回等业务的场所。通过该等场所办理基金份额的认购、申购和赎回也称为场外认购、场外申购和场外赎回</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场内：指通过上海证券交易所内具有相应业务资格的会员单位利用上海证券交易所交易系统办理基金份额认购、申购、赎回和上市交易等业务的场所。通过该等场所办理基金份额的认购、申购和赎回也称为场内认购、场内申购和场内赎回</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29、注册登记系统：指中国证券登记结算有限责任公司开放式基金登记结算系统，通过场外认购、申购的基金份额登记在注册登记系统</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30、证券登记结算系统：指中国证券登记结算有限责任公司上海分公司证券登记结算系统，通过场内认购、申购的基金份额或买入的基金份额登记在证券登记结算系统</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31、场外份额：指登记在注册登记系统下的基金份额</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32、场内份额：指登记在证券登记结算系统下的基金份额</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登记业务：指基金登记、存管、过户、清算和结算业务，具体内容包括投资人开放式基金账户和/或上海证券账户的建立和管理、基金份额登记、基金销售业务的确认、清算和结算、代理发放红利、建立并保管基金份额持有人名册和办理非交易过户等</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34、登记机构：指办理登记业务的机构。基金的登记机构为交银施罗德基金管理有限公司或接受交银施罗德基金管理有限公司委托代为办理登记业务的机构</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开放式基金账户：指投资者通过场外销售机构在中国证券登记结算有限责任公司注册的开放式基金账户，基金投资者办理场外认购、场外申购和场外赎回等业务时需具有开放式基金账户，记录在该账户下的基金份额登记在登记机构的注册登记系统</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36、上海证券账户：指在中国证券登记结算有限责任公司上海分公司开设的上海证券交易所人民币普通股票账户或证券投资基金账户。基金投资者通过上海证券</w:t>
      </w:r>
      <w:r>
        <w:rPr>
          <w:rFonts w:ascii="宋体" w:hAnsi="宋体"/>
          <w:sz w:val="24"/>
        </w:rPr>
        <w:lastRenderedPageBreak/>
        <w:t>交易所交易系统办理基金交易、场内认购、场内申购和场内赎回等业务时需持有上海证券账户，记录在该账户下的基金份额登记在登记机构的证券登记结算系统</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37、基金交易账户：指销售机构为投资人开立的、记录投资人通过该销售机构办理认购、申购、赎回、转换及转托管等业务而引起的基金份额变动及结余情况的账户</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38、基金合同生效日：指基金募集达到法律法规规定及基金合同规定的条件，基金管理人向中国证监会办理基金备案手续完毕，并获得中国证监会书面确认的日期</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39、基金合同终止日：指基金合同规定的基金合同终止事由出现后，基金财产清算完毕，清算结果报中国证监会备案并予以公告的日期</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40、基金募集期：指自基金份额发售之日起至发售结束之日止的期间，最长不得超过3个月</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41、存续期：指基金合同生效至终止之间的不定期期限</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42、工作日：指上海证券交易所、深圳证券交易所的正常交易日</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43、T日：指销售机构在规定时间受理投资人申购、赎回或其他业务申请的开放日</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44、T+n日：指自T日起第n个工作日（不包含T日）</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45、开放日：指本基金封闭期结束转为开放式运作后，为投资人办理基金份额申购、赎回或其他业务的工作日（若该工作日为非港股通交易日，则本基金可不开放）</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封闭期：本基金封闭期为一年（含一年），自基金合同生效之日起至一年后对应日前一日（含该日）止，若该日历年度中不存在对应日期的，则该对应日为该特定日期所在月度的最后一日。如该对应日为非工作日的，则顺延至下一个工作日。在封闭期内，本基金不办理申购、赎回业务，但投资人可在本基金上市交易后通过上海证券交易所转让基金份额。封闭期届满后，本基金转为上市开放式基金中基金，可办理场外、场内申购赎回，并继续在上海证券交易所上市交易。但若本基金在封闭期内出现上海证券交易所相关业务规则规定的因不再具备上市条件而应当终止上市的情形，则本基金封闭期届满后将转为非上市的开放式基金中基金</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47、开放时间：指开放日基金接受申购、赎回或其他交易的时间段</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48、《业务规则》：指本基金管理人、上海证券交易所、中国证券登记结算有限</w:t>
      </w:r>
      <w:r>
        <w:rPr>
          <w:rFonts w:ascii="宋体" w:hAnsi="宋体"/>
          <w:sz w:val="24"/>
        </w:rPr>
        <w:lastRenderedPageBreak/>
        <w:t>责任公司及其他销售机构的相关业务规则及其不时做出的修订</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49、认购：指在基金募集期内，投资人根据基金合同和招募说明书的规定申请购买基金份额的行为</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50、申购：指本基金封闭期结束转为开放式运作后，投资人根据基金合同和招募说明书的规定申请购买基金份额的行为</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51、赎回：指本基金封闭期结束转为开放式运作后，基金份额持有人按基金合同和招募说明书规定的条件要求将基金份额兑换为现金的行为</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基金转换：指基金份额持有人封闭期结束、转为开放式运作后按照基金合同和基金管理人届时有效公告规定的条件，申请将其持有基金管理人管理的、某一基金的基金份额转换为基金管理人管理的其他基金基金份额的行为</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53、转托管：指基金份额持有人在本基金的不同销售机构之间实施的变更所持基金份额销售机构的操作，包括系统内转托管和跨系统转托管</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54、系统内转托管：指基金份额持有人将持有的基金份额在注册登记系统内不同销售机构之间或证券登记结算系统内不同会员单位之间进行转登记的行为</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55、跨系统转托管：指基金份额持有人将持有的A类基金份额在注册登记系统和证券登记结算系统间进行转登记的行为。除经基金管理人另行公告，C类基金份额不能进行跨系统转托管</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巨额赎回：指本基金封闭期结束转为开放式运作后，在单个开放日，基金净赎回申请（赎回申请份额总数加上基金转换中转出申请份额总数后扣除申购申请份额总数及基金转换中转入申请份额总数后的余额）超过上一工作日基金总份额的10%的情形</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58、元：指人民币元</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59、基金收益：指基金投资所得红利、股息、债券利息、买卖证券价差、银行存款利息、已实现的其他合法收入及因运用基金财产带来的成本和费用的节约</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60、基金资产总值：指基金拥有的各类有价证券、证券投资基金份额、银行存款本息、基金应收款项及其他资产的价值总和</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61、基金资产净值：指基金资产总值减去基金负债后的价值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62、基金份额净值：指计算日基金资产净值除以计算日基金份额总数</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63、基金资产估值：指计算评估基金资产和负债的价值，以确定基金资产净值和基金份额净值的过程</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64、港股通：指内地投资者委托内地证券公司，经由内地证券交易所在香港设立的证券交易服务公司，向香港联合交易所进行申报，买卖规定范围内的香港联合交易所上市的股票</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65、规定媒介：指符合中国证监会规定条件的用以进行信息披露的全国性报刊及《信息披露办法》规定的互联网网站（包括基金管理人网站、基金托管人网站、中国证监会基金电子披露网站）等媒介</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66、销售服务费：指从基金财产中计提的，用于本基金市场推广、销售以及基金份额持有人服务的费用</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67、A类基金份额：指在投资人认购/申购时收取认购/申购费用且不从本类别基金资产中计提销售服务费的基金份额</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68、C类基金份额：指在投资人认购/申购时不收取认购/申购费用，并从本类别基金资产中计提销售服务费的基金份额</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70、摆动定价机制：指当开放式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71、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72、特定资产：包括：（一）无可参考的活跃市场价格且采用估值技术仍导致公允价值存在重大不确定性的资产；（二）按摊余成本计量且计提资产减值准备仍</w:t>
      </w:r>
      <w:r>
        <w:rPr>
          <w:rFonts w:ascii="宋体" w:hAnsi="宋体"/>
          <w:sz w:val="24"/>
        </w:rPr>
        <w:lastRenderedPageBreak/>
        <w:t>导致资产价值存在重大不确定性的资产；（三）其他资产价值存在重大不确定性的资产</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73、不可抗力：指基金合同当事人不能预见、不能避免且不能克服的客观事件</w:t>
      </w:r>
    </w:p>
    <w:p w:rsidR="00B439CC" w:rsidRDefault="00DB33E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A47C9" w:rsidRDefault="00DB33E2">
      <w:pPr>
        <w:pStyle w:val="1"/>
        <w:snapToGrid w:val="0"/>
        <w:spacing w:beforeLines="0" w:before="240" w:after="240"/>
        <w:rPr>
          <w:rFonts w:ascii="宋体" w:hAnsi="宋体"/>
          <w:szCs w:val="30"/>
        </w:rPr>
      </w:pPr>
      <w:bookmarkStart w:id="6" w:name="_Toc235443127"/>
      <w:r>
        <w:rPr>
          <w:rFonts w:ascii="Times New Roman" w:hAnsi="Times New Roman"/>
          <w:sz w:val="30"/>
        </w:rPr>
        <w:lastRenderedPageBreak/>
        <w:t>三、基金管理人</w:t>
      </w:r>
      <w:bookmarkEnd w:id="6"/>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w:t>
      </w:r>
      <w:r>
        <w:rPr>
          <w:rFonts w:ascii="宋体" w:hAnsi="宋体"/>
          <w:sz w:val="24"/>
        </w:rPr>
        <w:lastRenderedPageBreak/>
        <w:t>总行托管部基金业务部内控综合处副处长、资产委托高级经理、保险及养老金高级经理、资产托管部副总经理，交银施罗德基金管理有限公司党委委员、副总经理、首席信息官，交通银行总行养老金融部总经理。</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w:t>
      </w:r>
      <w:r>
        <w:rPr>
          <w:rFonts w:ascii="宋体" w:hAnsi="宋体"/>
          <w:sz w:val="24"/>
        </w:rPr>
        <w:lastRenderedPageBreak/>
        <w:t>理；交通银行总行营运与渠道部副总经理。</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兵先生:基金经理。上海财经大学经济学博士。10年证券投资行业从业经验。2016年加入交银施罗德基金管理有限公司，曾任量化投资部研究员、多元资产管理部研究员、投资经理，现任多元资产管理部基金经理以及基金投顾业务投资经理。曾任交银施罗德招享一年持有期混合型基金中基金（FOF）(2021年08月24日至2025年05月08日)、交银施罗德慧选睿信一年持有期混合型基金中基金（FOF）(2022年07月27日至2025年05月08日)、交银施罗德安享稳健养老目标一年持有期混合型基金中基金（FOF）(2023年01月07日至2025年07月12日)的基金经理。现任交银施罗德智选星光混合型基金中基金（FOF-LOF）(2021年11月10日至今)、交银施罗德兴享一年持有期混合型基金中基金（FOF）(2021年12月01日至今)、交银施罗德优享一年持有期混合型基金中基金（FOF）(2022年01月27日至今)、交银施罗德养老目标日期2035三年持有期混合型基金中基金（FOF）(2023年01月07日至今)、交银施罗德智选进取三个月持有期混合型发起式基金中基金（FOF）(2023年12月27日至今)、交银施罗德安悦平衡养老目标三年持有期混合型发起式基金中基金（FOF）(2024年02月05日至今)的基金经理。</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杜倩旖女士:基金经理。复旦大学金融学硕士、中南财经政法大学经济学学士。4年证券投资行业从业经验。2022年加入交银施罗德基金管理有限公司，历任多元资产管理部研究员，现任多资产管理部基金经理。现任交银施罗德智选进取三个月持有期混合型发起式基金中基金（FOF）(2026年07月16日至今)、交银施罗德智选星光混合型基金中基金（FOF-LOF）(2026年07月16日至今)的基金经理。</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马韬（研究总监）</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（三）基金管理人的职责</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（5）侵占、挪用基金财产；</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（6）法律、行政法规和中国证监会禁止的其他行为。</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4、基金管理人承诺加强人员管理，强化职业操守，督促和约束员工遵守国家有关法律法规及行业规范，诚实信用、勤勉尽责；</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w:t>
      </w:r>
      <w:r>
        <w:rPr>
          <w:rFonts w:ascii="宋体" w:hAnsi="宋体"/>
          <w:sz w:val="24"/>
        </w:rPr>
        <w:lastRenderedPageBreak/>
        <w:t>责监察公司的风险管理措施的执行。具体而言，包括如下组成部分：</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（8）业务部门</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DB33E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A47C9" w:rsidRDefault="00DB33E2">
      <w:pPr>
        <w:pStyle w:val="1"/>
        <w:snapToGrid w:val="0"/>
        <w:spacing w:beforeLines="0" w:before="240" w:after="240"/>
        <w:rPr>
          <w:rFonts w:ascii="宋体" w:hAnsi="宋体"/>
          <w:szCs w:val="30"/>
        </w:rPr>
      </w:pPr>
      <w:bookmarkStart w:id="7" w:name="_Toc235443128"/>
      <w:r>
        <w:rPr>
          <w:rFonts w:ascii="Times New Roman" w:hAnsi="Times New Roman"/>
          <w:sz w:val="30"/>
        </w:rPr>
        <w:lastRenderedPageBreak/>
        <w:t>四、基金托管人</w:t>
      </w:r>
      <w:bookmarkEnd w:id="7"/>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（一）基本情况</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名称：中国光大银行股份有限公司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住所及办公地址：北京市西城区太平桥大街25 号、甲25 号中国光大中心</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成立日期：1992年6月18日</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批准设立机关和批准设立文号：国务院、国函[1992]7号</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注册资本：590.85551亿元人民币</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法定代表人：吴利军</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基金托管业务批准文号：中国证监会证监基字【2002】75号</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资产托管部总经理：贾光华</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 63636363</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 63639132</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网址：www.cebbank.com</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（二）主要人员情况</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董事长吴利军先生，自2020年3月起任本行副董事长、2024年1月起任本行董事长。现任中国光大集团股份公司党委书记、董事长。曾任国内贸易部国家物资储备调节中心副主任(副局级)，中国证券监督管理委员会信息中心负责人，培训中心副主任(主持工作)，人事教育部主任、党委组织部部长，中国证券监督管理委员会党委委员、主席助理，深圳证券交易所理事会理事长、党委书记(副部长级)，中国光大集团股份公司党委副书记、副董事长、总经理。获经济学博士学位，高级经济师。</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行长郝成先生，自2024年6月起任本行党委书记，2024年8月起任本行执行董事、行长。现任中国光大集团股份公司党委委员、执行董事。历任国家开发银行天津分行党委委员、副行长，国家开发银行人事局副局长、党委组织部副部长，国家开发银行吉林分行党委书记、行长，交通银行党委委员、副行长。获管理学博士学位，高级工程师。</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资产托管部总经理贾光华先生，1994年7月在光大银行总行营业部参加工作，2005年10月调入同业机构部（后更名为金融同业部）后，先后任处长、总经理助</w:t>
      </w:r>
      <w:r>
        <w:rPr>
          <w:rFonts w:ascii="宋体" w:hAnsi="宋体"/>
          <w:sz w:val="24"/>
        </w:rPr>
        <w:lastRenderedPageBreak/>
        <w:t>理、副总经理、副总经理（主持工作），2018年5月任金融同业部总经理，2025年1月任资产托管部总经理。</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（三）证券投资基金托管情况</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至2026年3月31日，中国光大银行股份有限公司托管公开募集证券投资基金共346只，托管基金资产规模6,427.91亿元。同时，开展了证券公司资产管理计划、基金公司客户资产管理计划、职业年金、企业年金、QDII、QFII、银行理财、保险债权投资计划等资产的托管及信托公司资金信托计划、产业投资基金、股权基金等产品的保管业务。</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（四）托管业务的内部控制制度</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确保有关法律法规在基金托管业务中得到全面严格的贯彻执行；确保基金托管人有关基金托管的各项管理制度和业务操作规程在基金托管业务中得到全面严格的贯彻执行；确保基金财产安全；保证基金托管业务稳健运行；保护基金份额持有人、基金管理公司及基金托管人的合法权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2、内部控制的原则</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（1）全面性原则。内部控制必须渗透到基金托管业务的各个操作环节，覆盖所有的岗位，不留任何死角。</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（2）预防性原则。树立“预防为主”的管理理念，从风险发生的源头加强内部控制，防患于未然，尽量避免业务操作中各种问题的产生。</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（3）及时性原则。建立健全各项规章制度，采取有效措施加强内部控制。发现问题，及时处理，堵塞漏洞。</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（4）独立性原则。基金托管业务内部控制机构独立于基金托管业务执行机构，业务操作人员和内控人员分开，以保证内控机构的工作不受干扰。</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3、内部控制组织结构</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光大银行股份有限公司设有风险管理与内控合规委员会，负责全行风险管理与内部控制工作。资产托管部建立了严密的内控监督体系，设立了投资监督与内控合规处，配备了专职内控合规人员，负责证券投资基金托管业务的内控管理工作。</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4、内部控制制度</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中国光大银行股份有限公司资产托管部自成立以来严格遵照《基金法》、《中华</w:t>
      </w:r>
      <w:r>
        <w:rPr>
          <w:rFonts w:ascii="宋体" w:hAnsi="宋体"/>
          <w:sz w:val="24"/>
        </w:rPr>
        <w:lastRenderedPageBreak/>
        <w:t>人民共和国商业银行法》、《信息披露管理办法》、《运作办法》、《销售办法》等法律、法规的要求，并根据相关法律法规制订、完善了《中国光大银行资产托管业务内部控制管理办法》、《中国光大银行资产托管业务保密办法》等十余项规章制度和实施细则，将风险控制落实到每一个工作环节。中国光大银行资产托管部以控制和防范基金托管业务风险为主线，在重要岗位（基金清算、基金核算、投资监督）还建立了安全保密区，安装了录像监视系统和录音监听系统，以保障基金信息的安全。</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（五）托管人对管理人运作基金进行监督的方法和程序</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和基金合同等的要求，基金托管人主要通过定性和定量相结合、事前事中和事后监督相结合、技术与人工监督相结合等方式方法，对基金投资范围、投资组合比例等每日进行监督；同时，对基金管理人就基金资产净值的计算、基金管理人和基金托管人报酬的计提和支付、基金收益分配、基金费用支付等行为的合法性、合规性进行监督和核查。</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有违反法律、法规和基金合同等规定的行为，及时以邮件、电话或书面等形式通知基金管理人限期纠正，基金管理人收到通知后应及时核对确认并以邮件或书面形式对基金托管人发出回函。在限期内，基金托管人有权随时对通知事项进行复查。基金管理人对基金托管人通知的违规事项未能在限期内纠正的，基金托管人应报告中国证监会。</w:t>
      </w:r>
    </w:p>
    <w:p w:rsidR="00B439CC" w:rsidRDefault="00DB33E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A47C9" w:rsidRDefault="00DB33E2">
      <w:pPr>
        <w:pStyle w:val="1"/>
        <w:snapToGrid w:val="0"/>
        <w:spacing w:beforeLines="0" w:before="240" w:after="240"/>
        <w:rPr>
          <w:rFonts w:ascii="宋体" w:hAnsi="宋体"/>
          <w:szCs w:val="30"/>
        </w:rPr>
      </w:pPr>
      <w:bookmarkStart w:id="8" w:name="_Toc235443129"/>
      <w:r>
        <w:rPr>
          <w:rFonts w:ascii="Times New Roman" w:hAnsi="Times New Roman"/>
          <w:sz w:val="30"/>
        </w:rPr>
        <w:lastRenderedPageBreak/>
        <w:t>五、相关服务机构</w:t>
      </w:r>
      <w:bookmarkEnd w:id="8"/>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本基金直销机构为基金管理人直销柜台以及基金管理人的网上直销交易平台（网站及手机APP，下同）。</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个人投资者可以通过基金管理人网上直销交易平台办理开户，本基金的申购、赎回、定期定额投资等业务，具体交易细则请参阅本公司网站。</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2、场内销售机构</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具有基金销售业务资格、经上海证券交易所和中国证券登记结算有限责任公司认可的、通过上海证券交易所交易系统办理基金销售业务的上海证券交易所会员单位，具体名单详见上海证券交易所网站。</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3、其他销售机构</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（1）名称：交通银行股份有限公司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联系人：范瑞波</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（2）名称：上海浦东发展银行股份有限公司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住所：上海市中山东一路12 号</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办公地址：上海市中山东一路12 号</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法定代表人：郑杨</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电话：（021）61618888</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传真：（021）61618888</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联系人：朱瑛</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客户服务电话：95528</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网址：www.spdb.com.cn</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（3）名称：江苏银行股份有限公司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住所：南京市中华路26号</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办公地址：南京市中华路26号</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法定代表人：夏平</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电话：（025）58587018</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传真：（025）58587038</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联系人：田春慧</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客户服务电话：95319</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网址：www.jsbchina.cn</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（4）名称：招商银行股份有限公司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（5）名称：中信银行股份有限公司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办公地址：北京市东城区朝阳门北大街9号</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电话：（010）89936330</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联系人：丰靖</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客户服务电话：95558</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网址：bank.ecitic.com</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（6）名称：中国光大银行股份有限公司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住所：北京市西城区太平桥大街25号、甲25号中国光大中心</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办公地址：北京市西城区太平桥大街25号、甲25号中国光大中心</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法定代表人：李晓鹏</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电话：（010）63639681</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传真：（010）63639709</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联系人：刘昭宇</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客户服务电话：95595</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网址：www.cebbank.com</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（7）名称：宁波银行股份有限公司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（8）名称：万联证券股份有限公司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注册地址：广州市天河区珠江东路11号18、19楼全层</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办公地址：广东省广州市天河区珠江东路13号高德置地广场E座12层</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法定代表人：王达</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 系 人：丁思</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联系方式：020-83988334</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客服电话：95322</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公司官网：www.wlzq.cn</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（9）名称：光大证券股份有限公司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住所：上海市静安区新闸路1508号</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办公地址：上海市静安区新闸路1508号</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电话：（021）22169999</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传真：（021）22169134</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联系人：刘晨</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10108998</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网址：www.ebscn.com</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（10）名称：天风证券股份有限公司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注册地址：湖北省武汉市东湖新技术开发区关东园路2号高科大厦4楼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办公地址：武汉市武昌区中南路99号保利广场A座37楼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法定代表人：余磊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联系电话：027-87107535</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传真：027-87618863</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联系人：王雅薇</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客户服务电话：95391 / 400-800-5000</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网址：www.tfzq.com</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（11）名称：中信证券股份有限公司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（12）名称：中国中金财富证券有限公司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住所：深圳市福田区益田路与福中路交界处荣超商务中心A栋第18层-21层及第04层01.02.03.05.11.12.13.15.16.18.19.20.21.22.23单元</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（13）名称：国联民生证券股份有限公司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住所：江苏省无锡市金融一街8号</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办公地址：江苏省无锡市金融一街8号</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法定代表人：顾伟</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联系电话：0510-82832051</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传真：0510-82830162</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客户服务电话：95570</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网址：www.glsc.com.cn</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（14）名称：山西证券股份有限公司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住所：山西省太原市府西街69号山西国际贸易中心东塔楼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办公地址：山西省太原市府西街69号山西国际贸易中心东塔楼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法定代表人：侯巍</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电话：0351—8686815</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联系人：谢武兵</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客户服务电话：400-666-1618、95573</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网址：www.i618.com.cn</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（15）名称：国投证券股份有限公司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住所：深圳市福田区福田街道福华一路119号安信金融大厦</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办公地址：深圳市福田区福田街道福华一路119号安信金融大厦</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法定代表人：王苏望</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电话：（0755）81688000</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传真：（0755）82558355</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客户服务电话：95517</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网址：https://www.sdicsc.com.cn/</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（16）名称：五矿证券有限公司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住所：深圳市福田区金田路4028号荣超经贸中心47层</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法定代表人：赵立功</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公司客服电话：400180028</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传真号：075582545500</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网址：www.wkzq.com.cn</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（17）名称：东莞证券股份有限公司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住所：广东省东莞市莞城区可园南路一号</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办公地址：广东省东莞市莞城区可园南路一号</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电话：（0769）22115712</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传真：（0769）22115712</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联系人：李荣</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客户服务电话：95328</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网址：www.dgzq.com</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（18）名称：中航证券有限公司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住所：南昌市红谷滩新区红谷中大道1619号国际金融大厦41楼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办公地址：南昌市红谷滩新区红谷中大道1619号国际金融大厦41楼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法定代表人：杜航</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电话：（0791）86768681</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传真：（0791）86770178</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联系人：戴蕾</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客户服务电话：400-8895-335</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网址：www.avicsec.com</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（19）名称：财通证券股份有限公司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注册地址：杭州市杭大路15号嘉华国际商务中心201、501、502、1103、1601-1615、1701-1716</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办公地址：杭州市杭大路15号嘉华国际商务中心201、501、502、1103、1601-1615、1701-1716</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 沈继宁</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电话：0571-87789160</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陶志华</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客户服务电话：95336,40086-96336</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网址：www.ctsec.com</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（20）名称：中信建投证券股份有限公司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（21）名称：中原证券股份有限公司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住所：郑州市郑东新区商务外环路10号</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办公地址：郑州市郑东新区商务外环路10号</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法定代表人：菅明军</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联系人：程月艳 李盼盼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电话：0371-69099881/2</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客户服务电话：95377</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网址：https://www.ccnew.com</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（22）名称：东方财富证券股份有限公司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住所：西藏自治区拉萨市柳梧新区国际总部城10栋楼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办公地址：上海市徐汇区宛平南路88号东方财富大厦</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法定代表人：戴彦</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电话：（021）021-23586603</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传真：（021）021-23586860</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联系人：付佳</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客户服务电话：95357</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网址：http://www.18.cn</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（23）名称：国信证券股份有限公司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住所：深圳市罗湖区红岭中路1012号国信证券大厦16-26楼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办公地址：深圳市罗湖区红岭中路1012号国信证券大厦16-26楼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法定代表人：张纳沙</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电话：（0755）82130833</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传真：（0755）82133952</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联系人：于智勇</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客户服务电话：95536</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网址：www.guosen.com.cn</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（24）名称：华泰证券股份有限公司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联系人：徐浩津</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（25）名称：兴业证券股份有限公司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住所：福州市湖东路268号</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办公地址：上海市浦东新区长柳路36号</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法定代表人：杨华辉</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021-38565547</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联系人：乔琳雪</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www.xyzq.com.cn</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客户服务电话：95562</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（26）名称：广发证券股份有限公司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住所：广州市黄埔区中新广州知识城腾飞一街2号618室</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办公地址：广州市天河区马场路26号广发证券大厦</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法定代表人：林传辉</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电话：（020）66338888</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传真：（020）87553600</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联系人：任嘉鹏</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客户服务电话：95575</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网址：www.gf.com.cn</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（27）名称：华龙证券股份有限公司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住所：兰州市城关区东岗西路638号财富中心</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办公地址：兰州市城关区东岗西路638号财富中心</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法定代表人：李晓安</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电话：（0931）4890208</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传真：（0931）4890628</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联系人：李昕田</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客户服务电话：4006898888、（0931）4890208</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网址：www.hlzqgs.com</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（28）名称：长城国瑞证券有限公司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住所：厦门市思明区台北路1号海西金谷广场T2办公楼13-14层</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办公地址：厦门市思明区台北路1号海西金谷广场T2办公楼13-14层</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法定代表人：李鹏</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电话：0592-2079658</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传真：0592-5162590</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联系人：陈月月</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客户服务电话：400-0099-886</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网址：www.gwgsc.com</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（29）名称：大同证券有限责任公司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注册地址：山西省大同市城区迎宾街15号桐城中央21层</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办公地址：太原市长治路 111 号山西世贸中心 A 座 F12、F13</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邮政编码：030600</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法定代表人：董祥</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 话：（0351）4130322</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 真：（0351）7219891</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客服电话：4007121212</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网址：www.dtsbc.com.cn</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（30）名称：招商证券股份有限公司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住所：深圳市福田区福田街道福华一路111号</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办公地址：深圳市福田区益田路江苏大厦A座38-45层</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法定代表人：霍达</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电话：（0755）82943666</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传真：（0755）82943636</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联系人：黄婵君</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客户服务电话：400-8888-111，95565</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网址：www.newone.com.cn</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（31）名称：国泰海通证券股份有限公司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联系人：邵亚杰</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（32）名称：中信证券华南股份有限公司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（33）名称：第一创业证券股份有限公司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住所：深圳市罗湖区笋岗路12号中民时代广场 B 座25、26层</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办公地址：深圳市罗湖区笋岗路12号中民时代广场 B 座25、26层</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法定代表人：刘学民</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电话：（0755）25832852</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传真：（0755）25831718</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联系人：崔国良</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客户服务电话：4008881888</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网址：www.firstcapital.com.cn</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（34）名称：华西证券股份有限公司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（35）名称：国新证券股份有限公司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住所：北京市西城区金融大街8号</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办公地址：北京市西城区金融大街8号</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法定代表人：宋德清</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电话：（010）58568235</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传真：（010）58568062</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联系人：黄恒</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客户服务电话：（010）58568118</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网址：www.crsec.com.cn</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（36）名称：渤海证券股份有限公司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住所：天津经济技术开发区第二大街42号写字楼101室</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办公地址：天津市南开区宾水西道8号</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法定代表人：安志勇</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电话：（022）28451991</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传真：（022）28451892</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联系人：蔡霆</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956066</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网址：www.ewww.com.cn</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（37）名称：国金证券股份有限公司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（38）名称：长城证券有限责任公司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住所：深圳市福田区深南大道6008号特区报业大厦14、16、17层</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法定代表人：黄耀华</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电话：（0755）83516289</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传真：（0755）83516199</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联系人：匡婷</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客户服务电话：（0755）33680000，400-6666-888</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网址：www.cc168.com.cn</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（39）名称：华鑫证券有限责任公司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华鑫证券有限责任公司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4001099918，95323</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www.cfsc.com.cn</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（40）名称：江海证券有限公司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住所：黑龙江省哈尔滨市香坊区赣水路56号</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法定代表人：孙名扬</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电话：（0451）85863719</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传真：（0451）82287211</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联系人：刘爽</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客户服务电话：956007</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网址：www.jhzq.com.cn</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（41）名称：中国银河证券股份有限公司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（42）名称：申万宏源证券有限公司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（43）名称：平安证券股份有限公司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住所：深圳市福田区金田路大中华国际交易广场裙楼8楼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办公地址：深圳市福田区金田路大中华国际交易广场裙楼8楼(518048)</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法定代表人：杨宇翔</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电话：（0755）22627802</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传真：（0755）82400862</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联系人：郑舒丽</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客户服务电话：95511-8</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网址：www.pingan.com</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（44）名称：中信证券（山东）有限责任公司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住所：青岛市崂山区深圳路222号1号楼2001</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（45）名称：申万宏源西部证券有限公司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（46）名称：中泰证券股份有限公司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注册地址：济南市高新区经十路7000号汉峪金融商务中心五区3号楼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办公地址：济南市高新区经十路7000号汉峪金融商务中心五区3号楼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法定代表人：王洪</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电话：（0531）68889155</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传真：（0531）68889752</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联系人：许曼华</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客户服务电话：95538</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网址：www.zts.com.cn</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（47）名称：民生证券股份有限公司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住所：北京市东城区建国门内大街28号民生金融中心A座16层--18层</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办公地址：北京市东城区建国门内大街28号民生金融中心A座16层--18层</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法定代表人：冯鹤年</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电话：（010）85127561</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传真：（010）85127641</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联系人：周照清</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客户服务电话：400-619-8888</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网址：www.mszq.com</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（48）名称：深圳市新兰德证券投资咨询有限公司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（49）名称：大连网金基金销售有限公司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（50）名称：阳光人寿保险股份有限公司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客户服务电话：95510</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（51）名称：京东肯特瑞基金销售有限公司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（52）名称：和耕传承基金销售有限公司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（53）名称：腾安基金销售（深圳）有限公司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网址：http://www.tenganxinxi.com/</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（54）名称：珠海盈米基金销售有限公司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（55）名称：北京度小满基金销售有限公司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（56）名称：南京苏宁基金销售有限公司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（57）名称：嘉实财富管理有限公司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w:t>
      </w:r>
      <w:r>
        <w:rPr>
          <w:rFonts w:ascii="宋体" w:hAnsi="宋体"/>
          <w:sz w:val="24"/>
        </w:rPr>
        <w:lastRenderedPageBreak/>
        <w:t>(2＃楼)27楼2714室</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（58）名称：北京汇成基金销售有限公司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（59）名称：上海利得基金销售有限公司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（60）名称：北京虹点基金销售有限公司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住所：北京市朝阳区工人体育场北路甲2号裙房2层222单元</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办公地址：北京市朝阳区工人体育场北路甲2号裙房2层222单元</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法定代表人：胡伟</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电话：（010）65951887</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传真：（010）65951887</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联系人：姜颖</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客户服务电话：400-618-0707</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网址：www.hongdianfund.com/</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（61）名称：上海陆金所基金销售有限公司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住所：上海市浦东新区陆家嘴环路1333号14楼09单元</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客户服务电话：4008219031</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网址：www.lufunds.com</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（62）名称：上海挖财基金销售有限公司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（63）名称：万家财富基金销售（天津）有限公司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客户服务电话：010-59013895</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（64）名称：上海万得基金销售有限公司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（65）名称：深圳市金斧子基金销售有限公司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传真：（0755）66892399</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（66）名称：北京雪球基金销售有限公司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（67）名称：北京新浪仓石基金销售有限公司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注册地址：北京市海淀区东北旺西路中关村软件园二期（西扩）N-1、N-2地块新浪总部科研楼5层518室</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办公地址：北京市海淀区东北旺西路中关村软件园二期（西扩）N-1、N-2地块新浪总部科研楼5层518室</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（68）名称：上海证达通基金销售有限公司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潘梦茹</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客户服务电话：021-20538880</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网址：www.zdt.fund</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（69）名称：北京创金启富基金销售有限公司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（70）名称：奕丰基金销售有限公司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办公地址：深圳市南山区海德三道航天科技广场A座17楼1704室</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（71）名称：上海天天基金销售有限公司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（72）名称：诺亚正行基金销售有限公司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（73）名称：上海好买基金销售有限公司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联系人：薛年</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（74）名称：上海长量基金销售有限公司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（75）名称：深圳众禄基金销售股份有限公司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（76）名称：蚂蚁（杭州）基金销售有限公司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（77）名称：中信期货有限公司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（78）名称：上海基煜基金销售有限公司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（79）名称：浙江同花顺基金销售有限公司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（80）名称：宜信普泽（北京）基金销售有限公司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（81）名称：上海联泰基金销售有限公司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（82）名称：泛华普益基金销售有限公司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（83）名称：北京展恒基金销售股份有限公司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法定代表人：闫振杰</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马林</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客户服务电话：400-888-6661</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（84）名称：济安财富（北京）基金销售有限公司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（85）名称：上海华夏财富投资管理有限公司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住所：上海市虹口区东大名路687号1幢2楼268室</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北京市西城区金融大街33号通泰大厦B座8层</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毛淮平</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电话：010-88066632</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传真：010-63136184</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张静怡</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客户服务电话：400-817-5666</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www.amcfortune.com</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（86）名称：博时财富基金销售有限公司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联系人：崔丹</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（87）名称：深圳前海微众银行股份有限公司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住所：深圳前海深港合作区前湾一路1号A栋201室（入驻深圳市前海商务秘书有限公司）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办公地址：广东省深圳市南山区沙河西路1819号深圳湾科技生态园7栋A座</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法定代表人：顾敏</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电话：15112686889</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联系人：白冰</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客户服务电话：95384</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网址：www.webank.com</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（88）名称：上海中欧财富基金销售有限公司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基金管理人可根据有关法律法规的要求，选择其它符合要求的机构销售本基金，并在基金管理人网站公示。</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传真：（010）50938907</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负责人：陈臻</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联系人：丁媛</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经办律师：黎明、丁媛</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名称：安永华明会计师事务所（特殊普通合伙）</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住所：北京市东城区东长安街1号东方广场安永大楼17层</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办公地址：北京市东城区东长安街1号东方广场安永大楼17层</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执行事务合伙人：毛鞍宁</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电话：（010）58153000</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传真：（010）85188298</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联系人：蒋燕华</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经办注册会计师：蒋燕华、费泽旭</w:t>
      </w:r>
    </w:p>
    <w:p w:rsidR="00B439CC" w:rsidRDefault="00DB33E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A47C9" w:rsidRDefault="00DB33E2">
      <w:pPr>
        <w:pStyle w:val="1"/>
        <w:snapToGrid w:val="0"/>
        <w:spacing w:beforeLines="0" w:before="240" w:after="240"/>
        <w:rPr>
          <w:rFonts w:ascii="宋体" w:hAnsi="宋体"/>
          <w:szCs w:val="30"/>
        </w:rPr>
      </w:pPr>
      <w:bookmarkStart w:id="9" w:name="_Toc235443130"/>
      <w:r>
        <w:rPr>
          <w:rFonts w:ascii="Times New Roman" w:hAnsi="Times New Roman"/>
          <w:sz w:val="30"/>
        </w:rPr>
        <w:lastRenderedPageBreak/>
        <w:t>六、基金的募集</w:t>
      </w:r>
      <w:bookmarkEnd w:id="9"/>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本基金由基金管理人依照《基金法》、《运作办法》、《销售办法》、基金合同及其他有关规定，并经中国证监会2021年9月16日证监许可【2021】3049号文准予募集注册。</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本基金为契约型开放式混合型基金中基金（FOF）。基金存续期间为不定期。</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本基金于2021年10月25日至2021年11月5日进行发售，本基金设立募集期共募集3,467,806,315.75份基金份额，有效认购户数为28,878户。</w:t>
      </w:r>
    </w:p>
    <w:p w:rsidR="00B439CC" w:rsidRDefault="00DB33E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A47C9" w:rsidRDefault="00DB33E2">
      <w:pPr>
        <w:pStyle w:val="1"/>
        <w:snapToGrid w:val="0"/>
        <w:spacing w:beforeLines="0" w:before="240" w:after="240"/>
        <w:rPr>
          <w:rFonts w:ascii="宋体" w:hAnsi="宋体"/>
          <w:szCs w:val="30"/>
        </w:rPr>
      </w:pPr>
      <w:bookmarkStart w:id="10" w:name="_Toc235443131"/>
      <w:r>
        <w:rPr>
          <w:rFonts w:ascii="Times New Roman" w:hAnsi="Times New Roman"/>
          <w:sz w:val="30"/>
        </w:rPr>
        <w:lastRenderedPageBreak/>
        <w:t>七、基金合同的生效</w:t>
      </w:r>
      <w:bookmarkEnd w:id="10"/>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根据有关规定，本基金满足基金合同生效条件，基金合同已于2021年11月10日正式生效。自基金合同生效之日起，本基金管理人正式开始管理本基金。</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法律法规或中国证监会另有规定时，从其规定。</w:t>
      </w:r>
    </w:p>
    <w:p w:rsidR="00B439CC" w:rsidRDefault="00DB33E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A47C9" w:rsidRDefault="00DB33E2">
      <w:pPr>
        <w:pStyle w:val="1"/>
        <w:snapToGrid w:val="0"/>
        <w:spacing w:beforeLines="0" w:before="240" w:after="240"/>
        <w:rPr>
          <w:rFonts w:ascii="宋体" w:hAnsi="宋体"/>
          <w:szCs w:val="30"/>
        </w:rPr>
      </w:pPr>
      <w:bookmarkStart w:id="11" w:name="_Toc235443132"/>
      <w:r>
        <w:rPr>
          <w:rFonts w:ascii="Times New Roman" w:hAnsi="Times New Roman"/>
          <w:sz w:val="30"/>
        </w:rPr>
        <w:lastRenderedPageBreak/>
        <w:t>八、基金份额的上市交易</w:t>
      </w:r>
      <w:bookmarkEnd w:id="11"/>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合同生效后，具备上市条件，本基金A类基金份额于2021年11月19日起在上海证券交易所上市交易。（A类基金份额场内简称：智选FOF，A类基金份额场内扩位简称：交银智选星光FOF，代码：501210）。</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为上市开放式基金中基金后，登记在证券登记结算系统中的A类基金份额仍将在上海证券交易所上市交易。本基金A类基金份额在上海证券交易所上市交易的相关事项并不因基金转换运作方式而发生调整。本基金在转型前后可根据实际情况申请停牌暂停上市交易，停复牌时间以基金管理人公告为准。本基金C类基金份额仅在场外销售，不申请上市交易。</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未来，基金管理人在符合法律法规的情况下也可申请本基金C类基金份额的上市交易，基金管理人可根据需要修改基金合同相关内容，但应在实施日前依照《信息披露办法》的有关规定在规定媒介上公告。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一、上市交易的地点</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本基金A类基金份额上市交易的地点为上海证券交易所。</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二、上市交易的时间</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基金合同生效后，具备下列条件的，基金管理人可依据《上海证券交易所证券投资基金上市规则》及相关法律法规，向上海证券交易所申请A类基金份额上市交易：</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1、本基金A类基金份额场内募集金额不少于2亿元人民币；</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2、本基金A类基金份额场内持有人不少于1000人；</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3、上海证券交易所规定的其他条件。</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A类基金份额上市前，基金管理人应与上海证券交易所签订上市协议书。在确定上市交易的时间后，基金管理人应依照《信息披露办法》的有关规定在规定媒介上刊登上市交易公告书。</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三、上市交易的规则</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本基金A类基金份额在上海证券交易所的上市交易需遵循《上海证券交易所证券投资基金上市规则》、《上海证券交易所交易规则》等有关规定。</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四、上市交易的费用</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本基金上市交易的费用按照上海证券交易所有关规定办理。</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五、上市交易的行情揭示</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本基金A类基金份额在上海证券交易所挂牌交易，交易行情通过行情发布系统揭示。行情发布系统同时揭示基金管理人最近公布并向上海证券交易所提供的A类基金份额净值。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六、上市交易的停复牌和终止上市</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本基金A类基金份额的停复牌和终止上市按照相关法律法规和上海证券交易所的相关规定执行。</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发生《上海证券交易所证券投资基金上市规则》规定的因不再具备上市条件而应当终止上市的情形时，本基金将变更为非上市开放式基金中基金并相应修订基金合同，无需召开基金份额持有人大会。A类基金份额终止上市后，对于本基金场内A类基金份额的处理规则由基金管理人提前制定并公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七、相关法律法规、中国证监会及上海证券交易所对基金上市交易的规则等相关规定内容进行调整的，按调整后的规定执行，无须召开基金份额持有人大会。</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八、若上海证券交易所、中国证券登记结算有限责任公司增加了基金场内交易的新业务，基金管理人可以在履行适当的程序后为本基金增加办理相应的新业务。</w:t>
      </w:r>
    </w:p>
    <w:p w:rsidR="00B439CC" w:rsidRDefault="00DB33E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A47C9" w:rsidRDefault="00DB33E2">
      <w:pPr>
        <w:pStyle w:val="1"/>
        <w:snapToGrid w:val="0"/>
        <w:spacing w:beforeLines="0" w:before="240" w:after="240"/>
        <w:rPr>
          <w:rFonts w:ascii="宋体" w:hAnsi="宋体"/>
          <w:szCs w:val="30"/>
        </w:rPr>
      </w:pPr>
      <w:bookmarkStart w:id="12" w:name="_Toc235443133"/>
      <w:r>
        <w:rPr>
          <w:rFonts w:ascii="Times New Roman" w:hAnsi="Times New Roman"/>
          <w:sz w:val="30"/>
        </w:rPr>
        <w:lastRenderedPageBreak/>
        <w:t>九、基金份额的申购与赎回</w:t>
      </w:r>
      <w:bookmarkEnd w:id="12"/>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（一）申购和赎回的场所</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 A 类基金份额可通过场内或场外两种方式办理申购与赎回，C 类基金份额仅可通过场外方式办理申购与赎回。投资人可通过下述场所按照规定的方式进行申购或赎回：</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个人投资者可以通过基金管理人网上直销交易平台办理开户、本基金的申购、赎回、定期定额投资等业务，具体交易细则请参阅基金管理人网站。</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2、场内销售机构</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具有基金销售业务资格、经上海证券交易所和中国证券登记结算有限责任公司认可的、通过上海证券交易所交易系统办理基金销售业务的上海证券交易所会员单位，具体名单详见上海证券交易所网站。</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3、除本基金管理人之外的其他场外销售机构</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本基金除基金管理人之外的其他场外销售机构参见本招募说明书“五、相关服务机构”章节或拨打本公司客户服务电话进行咨询。</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投资人应通过上述销售机构办理基金申购、赎回业务的营业场所或按上述销售机构提供的其他方式进行申购或赎回。本基金管理人可根据情况变更或增减基金场外销售机构，并在基金管理人网站公示。</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w:t>
      </w:r>
      <w:r>
        <w:rPr>
          <w:rFonts w:ascii="宋体" w:hAnsi="宋体"/>
          <w:sz w:val="24"/>
        </w:rPr>
        <w:lastRenderedPageBreak/>
        <w:t>可以通过上述方式进行申购与赎回。</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（二）申购和赎回的开放日及时间</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基金合同生效后一年之内（含一年）为封闭期，在此期间投资者不能申购、赎回A类/C类基金份额，但投资人可在A类基金份额上市交易后通过上海证券交易所转让A类基金份额。</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封闭期结束转为开放式运作后，投资人方可进行A类/C类基金份额的申购与赎回。投资人在开放日办理基金份额的申购和赎回，具体办理时间为上海证券交易所、深圳证券交易所的正常交易日的交易时间（若该工作日为非港股通交易日，则本基金可不开放），但基金管理人根据法律法规、中国证监会、行业监管及证券交易所的要求或基金合同的规定公告暂停申购、赎回时除外。</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封闭期结束转为开放式运作后，若出现新的证券交易市场、证券交易所交易时间变更或其他特殊情况，基金管理人将视情况对前述开放日及开放时间进行相应的调整，但应在实施日前依照《信息披露办法》的有关规定在规定媒介上公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本基金已于2022年11月10日起开放申购、赎回业务。</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本基金封闭期结束转为开放式运作后，投资人在基金合同约定之外的日期和时间提出申购、赎回或转换申请且登记机构确认接受的，其基金份额申购、赎回或转换价格为下一开放日该类基金份额申购、赎回或转换的价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（三）申购与赎回的原则</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1、“未知价”原则，即申购、赎回价格以申请日的基金份额净值（非申请日当天公布的基金份额净值）为基准进行计算；</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3、当日的申购与赎回申请可以在基金管理人规定的时间以内撤销，但申请经登记机构受理的不得撤销；</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4、投资者办理基金份额场外申购、赎回应使用开放式基金账户，办理基金份额场内申购、赎回应使用上海证券账户；</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5、基金份额持有人申请场外赎回时，除指定赎回外，基金管理人按“先进先</w:t>
      </w:r>
      <w:r>
        <w:rPr>
          <w:rFonts w:ascii="宋体" w:hAnsi="宋体"/>
          <w:sz w:val="24"/>
        </w:rPr>
        <w:lastRenderedPageBreak/>
        <w:t>出”的原则，对该持有人账户在该销售机构托管的基金份额进行处理，即登记确认日期在先的基金份额先赎回，登记确认日期在后的基金份额后赎回，以确定被赎回基金份额的持有期限和所适用的赎回费率；</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投资者通过上海证券交易所交易系统办理场内申购、赎回业务时，需遵守上海证券交易所和中国证券登记结算有限责任公司的相关业务规则。若相关法律法规、中国证监会、上海证券交易所或中国证券登记结算有限责任公司对场内申购、赎回业务规则有新的规定，按新规定执行；</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7、办理申购、赎回业务时，应当遵循基金份额持有人利益优先原则，确保投资者的合法权益不受损害并得到公平对待。</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基金管理人可在法律法规允许的情况下，对上述原则进行调整。基金管理人必须在新规则开始实施前依照《信息披露办法》的有关规定在规定媒介上公告。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（四）申购和赎回的数额限定</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外申购时，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受申购申请的最低金额为单笔1元，如果销售机构业务规则规定的最低单笔申购金额高于1元，以该销售机构的规定为准。</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对于场内申购及持有场内份额的数量限制，上海证券交易所和中国证券登记结算有限责任公司的相关业务规则有规定的，从其最新规定办理。</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场外赎回的最低份额为1份基金份额，如果销售机构业务规则规定的最低单笔赎回份额高于1份，以该销售机构的规定为准。</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对于场内赎回的数量限制，上海证券交易所和中国证券登记结算有限责任公司的相关业务规则有规定的，从其最新规定办理。</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3、最低保留余额的限制</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每个工作日投资人在单个交易账户保留的本基金份额余额少于1份时，若当日该账户同时有基金份额减少类业务（如赎回、转换出等）被确认，则基金管理人有</w:t>
      </w:r>
      <w:r>
        <w:rPr>
          <w:rFonts w:ascii="宋体" w:hAnsi="宋体"/>
          <w:sz w:val="24"/>
        </w:rPr>
        <w:lastRenderedPageBreak/>
        <w:t>权将投资人在该账户保留的本基金份额一次性全部赎回。场内赎回发生上述情形时，需遵守上海证券交易所及中国证券登记结算有限责任公司的相关业务规则。</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相关公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5、基金管理人可在法律法规允许的情况下，调整上述规定申购金额和赎回份额的数量限制。基金管理人必须在调整实施前依照《信息披露办法》的有关规定在规定媒介上公告。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（五）申购和赎回的程序</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投资人申购基金份额时，必须全额交付申购款项，若申购资金在规定时间内未全额到账则申购不成立。投资人全额交付申购款项，申购成立；登记机构确认基金份额时，申购生效。</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递交赎回申请，赎回成立；登记机构确认赎回时，赎回生效。投资者赎回申请生效后，基金管理人将在T＋7日（包括该日）内支付赎回款项。在发生巨额赎回或基金合同载明的其他暂停赎回或延缓支付赎回款项的情形时，款项的支付办法参照基金合同有关条款处理。如遇证券交易所或交易市场数据传输延迟、通讯系统故障、银行交换系统故障、港股通交易系统、港股通资金交收规则限制或其他非基金管理人及基金托管人所能控制的因素影响了业务流程，则赎回款项划付时间相应顺延。</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基金管理人或基金管理人委托的登记机构应以开放日规定的交易时间结束前受理有效申购和赎回申请的当天作为申购或赎回申请日（T日），在正常情况下，本基</w:t>
      </w:r>
      <w:r>
        <w:rPr>
          <w:rFonts w:ascii="宋体" w:hAnsi="宋体"/>
          <w:sz w:val="24"/>
        </w:rPr>
        <w:lastRenderedPageBreak/>
        <w:t>金登记机构在T+2日（包括该日）内对该交易的有效性进行确认。T日提交的有效申请，投资人应在T+3日后（包括该日）及时到销售网点柜台或以销售机构规定的其他方式查询申请的确认情况。若申购不成功，则申购款项本金退还给投资人。</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基金管理人可在法律法规允许的范围内，依法对上述申购和赎回申请的确认时间进行调整，并必须在调整实施日前依照《信息披露办法》的有关规定在规定媒介上公告。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（六）基金的申购费和赎回费</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基金份额和C类基金份额。投资人申购A类基金份额在申购时支付申购费用，且不从该类别基金资产中计提销售服务费；申购C类基金份额不支付申购费用，并从该类别基金资产中计提销售服务费。</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A类基金份额的申购费用由A类基金份额申购人承担，不列入基金财产，主要用于本基金的市场推广、销售、登记结算等各项费用。</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投资人可以多次申购本基金，申购费用按每笔申购申请单独计算。</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本基金A类基金份额（非养老金客户）的场外申购费率如下：</w:t>
      </w:r>
    </w:p>
    <w:tbl>
      <w:tblPr>
        <w:tblW w:w="5000" w:type="pct"/>
        <w:tblCellMar>
          <w:left w:w="0" w:type="dxa"/>
          <w:right w:w="0" w:type="dxa"/>
        </w:tblCellMar>
        <w:tblLook w:val="0000" w:firstRow="0" w:lastRow="0" w:firstColumn="0" w:lastColumn="0" w:noHBand="0" w:noVBand="0"/>
      </w:tblPr>
      <w:tblGrid>
        <w:gridCol w:w="2167"/>
        <w:gridCol w:w="6503"/>
      </w:tblGrid>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类基金份额的申购费率</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0.8%</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0.4%</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本基金A类基金份额的场内申购费率由场内销售机构参照上表场外申购费率设定。</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持有A类基金份额的投资人因红利自动再投资而产生的A类基金份额，不收取相应的申购费用。</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本基金对通过基金管理人直销柜台申购A类基金份额的养老金客户实施特定申</w:t>
      </w:r>
      <w:r>
        <w:rPr>
          <w:rFonts w:ascii="宋体" w:hAnsi="宋体"/>
          <w:sz w:val="24"/>
        </w:rPr>
        <w:lastRenderedPageBreak/>
        <w:t>购费率。</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1）全国社会保障基金；</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2）可以投资基金的地方社会保障基金；</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3）企业年金单一计划以及集合计划；</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4）企业年金理事会委托的特定客户资产管理计划；</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5）企业年金养老金产品。</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如将来出现经养老基金监管部门认可的新的养老基金类型，基金管理人可在招募说明书更新或发布临时公告将其纳入养老金客户范围。</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通过基金管理人直销柜台申购本基金A类基金份额的养老金客户特定申购费率如下表：</w:t>
      </w:r>
    </w:p>
    <w:tbl>
      <w:tblPr>
        <w:tblW w:w="5000" w:type="pct"/>
        <w:tblCellMar>
          <w:left w:w="0" w:type="dxa"/>
          <w:right w:w="0" w:type="dxa"/>
        </w:tblCellMar>
        <w:tblLook w:val="0000" w:firstRow="0" w:lastRow="0" w:firstColumn="0" w:lastColumn="0" w:noHBand="0" w:noVBand="0"/>
      </w:tblPr>
      <w:tblGrid>
        <w:gridCol w:w="2167"/>
        <w:gridCol w:w="6503"/>
      </w:tblGrid>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类基金份额的特定申购费率</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0.48%</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0.24%</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0.08%</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A类基金份额或C类基金份额收取赎回费用，该费用随基金份额的持有时间递减。本基金A类基金份额和C类基金份额的赎回费用由赎回该类基金份额的基金份额持有人承担，在基金份额持有人赎回基金份额时收取。对持续持有期少于30日的投资人所收取的赎回费，将赎回费全额计入基金财产；对持续持有期大于等于30日但少于3个月的投资人所收取的赎回费，将赎回费总额的75%计入基金财产；对持续持有期大于等于3个月但少于6个月的投资人所收取的赎回费，将赎回费总额的50%计入基金财产；对持续持有期大于等于6个月的投资人所收取的赎回费，将赎回费总额的25%计入基金财产。上述“月”指的是30个自然日。其余用于支付登记费和其他必要的手续费。</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本基金A类基金份额的场外赎回费率如下：</w:t>
      </w:r>
    </w:p>
    <w:tbl>
      <w:tblPr>
        <w:tblW w:w="5000" w:type="pct"/>
        <w:tblCellMar>
          <w:left w:w="0" w:type="dxa"/>
          <w:right w:w="0" w:type="dxa"/>
        </w:tblCellMar>
        <w:tblLook w:val="0000" w:firstRow="0" w:lastRow="0" w:firstColumn="0" w:lastColumn="0" w:noHBand="0" w:noVBand="0"/>
      </w:tblPr>
      <w:tblGrid>
        <w:gridCol w:w="2167"/>
        <w:gridCol w:w="6503"/>
      </w:tblGrid>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持有期限</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类基金份额的赎回费率</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0.75%</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日（含）</w:t>
            </w:r>
            <w:r>
              <w:rPr>
                <w:rFonts w:ascii="Times New Roman" w:hAnsi="Times New Roman"/>
                <w:color w:val="000000"/>
                <w:kern w:val="0"/>
                <w:sz w:val="25"/>
                <w:szCs w:val="24"/>
              </w:rPr>
              <w:t>—1</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年以上（含）</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上表中的“年”指的是365个自然日。</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本基金A类基金份额的场内赎回费率参照场外赎回费率执行。</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本基金C类基金份额的赎回费率如下：</w:t>
      </w:r>
    </w:p>
    <w:tbl>
      <w:tblPr>
        <w:tblW w:w="5000" w:type="pct"/>
        <w:tblCellMar>
          <w:left w:w="0" w:type="dxa"/>
          <w:right w:w="0" w:type="dxa"/>
        </w:tblCellMar>
        <w:tblLook w:val="0000" w:firstRow="0" w:lastRow="0" w:firstColumn="0" w:lastColumn="0" w:noHBand="0" w:noVBand="0"/>
      </w:tblPr>
      <w:tblGrid>
        <w:gridCol w:w="2167"/>
        <w:gridCol w:w="6503"/>
      </w:tblGrid>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类基金份额的赎回费率</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日以上（含）</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3、基金管理人可以在基金合同约定的范围内调整费率或收费方式，并最迟应于新的费率或收费方式实施日前依照《信息披露办法》的有关规定在规定媒介上公告。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4、当本基金发生大额申购或赎回情形时，基金管理人可以采用摆动定价机制，以确保基金估值的公平性。具体处理原则与操作规范遵循相关法律法规以及监管部门、自律规则的规定。</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办理场内申购、赎回业务应遵守上海证券交易所及中国证券登记结算有限责任公司的有关业务规则。若相关法律法规、中国证监会、上海证券交易所或中国证券登记结算有限责任公司对场内申购、赎回业务规则有新的规定，基金合同相应予以修改，并按照新规定执行，且此项修改无需召开基金份额持有人大会审议。</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销售费用。</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（七）申购和赎回的数额和价格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A类基金份额或C类基金份额的有效份额为净申购金额除以当日该类基金份额的基金份额净值，有效份额单位为份，场外申购涉及金额、份额的计算结果保留到小数点后两位，小数点后两位以后的部分四舍五入， 由此产生的收益或损失由基金财产承担。场内申购份额先按四舍五入的原则保留到小数点后两位，再</w:t>
      </w:r>
      <w:r>
        <w:rPr>
          <w:rFonts w:ascii="宋体" w:hAnsi="宋体"/>
          <w:sz w:val="24"/>
        </w:rPr>
        <w:lastRenderedPageBreak/>
        <w:t>按截位法保留到整数位，小数部分对应的金额退还投资者；场内申购涉及金额的计算按四舍五入方法，保留到小数点后两位，由此误差产生的收益或损失由基金资产承担。</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金额为按实际确认的A类基金份额或C类基金份额的有效赎回份额乘以当日该类基金份额的基金份额净值并扣除相应的费用（如有），赎回金额单位为元。赎回金额计算结果按四舍五入方法，保留到小数点后2位，由此产生的收益或损失由基金财产承担。</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申购份额=（申购总金额-申购费用）/T日A类基金份额净值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例：本基金封闭期结束转为开放式运作后，某投资人（非养老金客户）投资4万元场内申购本基金A类基金份额，对应费率为1.2%，假设申购当日A类基金份额净值为1.0400元，则其可得到的申购份额为：</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申购总金额＝40,000元</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净申购金额=40,000/（1+1.2%）=39,525.69元</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申购费用=40,000-39,525.69=474.31元</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申购份额=（40,000-474.31）/1.0400=38,005.47份（先按四舍五入的原则保留到小数点后两位）=38,005份（再按截位法保留到整数位）</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退回资金=0.47*1.0400=0.49元</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即：本基金封闭期结束转为开放式运作后，某投资人（非养老金客户）投资4万元场内申购本基金A类基金份额，对应费率为1.2%，假设申购当日A类基金份额净值为1.0400元，则其可得到38,005份A类基金份额。</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例：本基金封闭期结束转为开放式运作后，某投资人（非养老金客户）投资4万元场外申购本基金A类基金份额，对应费率为1.2%，假设申购当日A类基金份额的</w:t>
      </w:r>
      <w:r>
        <w:rPr>
          <w:rFonts w:ascii="宋体" w:hAnsi="宋体"/>
          <w:sz w:val="24"/>
        </w:rPr>
        <w:lastRenderedPageBreak/>
        <w:t>份额净值为1.0400元，则其可得到的申购份额为：</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申购总金额＝40,000元</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净申购金额=40,000/（1+1.2%）=39,525.69元</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申购费用=40,000-39,525.69=474.31元</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申购份额=（40,000-474.31）/1.0400=38,005.47份</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即：本基金封闭期结束转为开放式运作后，某投资人（非养老金客户）投资4万元场外申购本基金A类基金份额，对应费率为1.2%，假设申购当日A类基金份额的份额净值为1.0400元，则其可得到38,005.47份A类基金份额。</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（2）C类基金份额的申购</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本基金封闭期结束转为开放式运作后，如果投资者选择申购C类基金份额，则申购份额的计算方法如下：</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例：本基金封闭期结束转为开放式运作后，某投资者投资100,000元申购本基金的C类基金份额，假设申购当日C类基金份额净值为1.0400元，则其可得到的申购份额为：</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（1）A类基金份额的赎回</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如果投资者赎回A类基金份额，则赎回金额的计算方法如下：</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赎回费用=赎回份额×T日A类基金份额净值×赎回费率</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赎回金额=赎回份额×T日A类基金份额净值-赎回费用</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例：本基金封闭期结束转为开放式运作后，某投资者在持有期限超过30日、少于1年时赎回100,000份A类基金份额，对应的赎回费率为0.5%，假设赎回当日A类基金份额净值是1.0160元，则其可得到的赎回金额为：</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赎回费用=100,000×1.0160×0.5%＝508.00元</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赎回金额=100,000×1.0160-508.00＝101,092.00元</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即：本基金封闭期结束转为开放式运作后，投资者在持有期限超过30日、少于</w:t>
      </w:r>
      <w:r>
        <w:rPr>
          <w:rFonts w:ascii="宋体" w:hAnsi="宋体"/>
          <w:sz w:val="24"/>
        </w:rPr>
        <w:lastRenderedPageBreak/>
        <w:t>1年时赎回100,000份A类基金份额，对应的赎回费率为0.5%，假设赎回当日A类基金份额净值是1.0160元，则其可得到的赎回金额为101,092.00元。</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（2）C类基金份额的赎回</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投资者赎回C类基金份额，赎回金额的计算方法如下：</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赎回费用=赎回份额×T日C类基金份额净值×赎回费率</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赎回金额=赎回份额×T日C类基金份额净值-赎回费用</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例：本基金封闭期结束转为开放式运作后，某投资者在持有期限超过7日、少于30日时赎回100,000份C类基金份额，对应的赎回费率为0.5%，假设赎回当日C类基金份额净值是1.0160元，则其可得到的赎回金额为：</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赎回费用=100,000×1.0160×0.5%＝508.00元</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赎回金额=100,000×1.0160-508.00＝101,092.00元</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即：本基金封闭期结束转为开放式运作后，投资者在持有期限超过7日、少于30日时赎回100,000份C类基金份额，对应的赎回费率为0.5%，假设赎回当日C类基金份额净值是1.0160元，则其可得到的赎回金额为101,092.00元。</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A类基金份额净值＝A类基金份额的基金资产净值总额/发行在外的A类基金份额总数</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C类基金份额净值＝C类基金份额的基金资产净值总额/发行在外的C类基金份额总数</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A类基金份额上市交易或开始办理基金份额申购或者赎回前，基金管理人应当至少每周在规定网站披露一次A类基金份额和C类基金份额所对应的基金份额净值和基金份额累计净值。在A类基金份额上市交易或开始办理基金份额申购或者赎回后，T日的各类基金份额净值在所投资基金披露净值或万份收益当日（法定节假日顺延至第一个交易日）计算，并在T+2日（包括该日）内披露。遇特殊情况，经履行适当程序，可以适当延迟计算或公告。本基金A类基金份额和C类基金份额的基金份额净值的计算，均保留到小数点后4位，小数点后第5位四舍五入，由此产生的收益或损失由基金财产承担。</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（八）拒绝或暂停申购的情形</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本基金封闭期结束转为开放式运作后，发生下列情况时，基金管理人可拒绝或暂停接受投资人的申购申请：</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1、因不可抗力导致基金无法正常运作。</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3、证券交易所交易时间非正常停市或者港股通临时停市，导致基金管理人无法计算当日基金资产净值。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4、由于本基金持有的相当比例的基金暂停估值，导致基金管理人无法计算当日本基金资产净值。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由于本基金持有的相当比例的基金份额，或者适合本基金投资的基金份额拒绝或暂停申购、暂停上市或二级市场交易停牌、基金管理人无法找到其他合适的可替代的基金品种，或其他可能对本基金业绩产生负面影响的情形。</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6、接受某笔或某些申购申请可能会影响或损害现有基金份额持有人利益时。</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7、基金资产规模过大，使基金管理人无法找到合适的投资品种，或其他可能对基金业绩产生负面影响，或发生其他损害现有基金份额持有人利益的情形。</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8、当前一估值日基金资产净值50%以上的资产出现无可参考的活跃市场价格且采用估值技术仍导致公允价值存在重大不确定性时，经与基金托管人协商确认后，基金管理人应当暂停接受基金申购申请。</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9、基金管理人接受某笔或者某些申购申请有可能导致单一投资者持有基金份额的比例超过50%，或者变相规避50%集中度的。出现上述情形时，基金管理人有权将上述申购申请全部或部分确认失败。</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10、港股通交易每日额度不足。</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11、法律法规规定、中国证监会认定或基金合同约定的其他情形。</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除第6、9项以外的暂停申购情形之一且基金管理人决定暂停接受投资人申购申请时，基金管理人应当根据有关规定在规定媒介上刊登暂停申购公告。如果投资人的申购申请被拒绝，被拒绝的申购款项将退还给投资人。在暂停申购的情况消除时，基金管理人应及时恢复申购业务的办理。</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（九）暂停赎回或延缓支付赎回款项的情形</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本基金封闭期结束转为开放式运作后，发生下列情形时，基金管理人可暂停接受投资人的赎回申请或延缓支付赎回款项：</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w:t>
      </w:r>
      <w:r>
        <w:rPr>
          <w:rFonts w:ascii="宋体" w:hAnsi="宋体"/>
          <w:sz w:val="24"/>
        </w:rPr>
        <w:lastRenderedPageBreak/>
        <w:t>资人的赎回申请或延缓支付赎回款项。</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3、证券交易所交易时间非正常停市或者港股通临时停市，导致基金管理人无法计算当日基金资产净值。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4、由于本基金持有的相当比例的基金暂停估值，导致基金管理人无法计算当日本基金资产净值。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5、由于本基金持有的相当比例的基金份额拒绝或暂停赎回、暂停上市或二级市场交易停牌、延期办理赎回、延期支付赎回款项，或其他可能对本基金业绩产生负面影响的情形。</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6、连续两个或两个以上开放日发生巨额赎回。</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7、发生继续接受赎回申请将损害现有基金份额持有人利益的情形时，基金管理人可暂停接受基金份额持有人的赎回申请。</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当前一估值日基金资产净值50%以上的资产出现无可参考的活跃市场价格且采用估值技术仍导致公允价值存在重大不确定性时，经与基金托管人协商确认后，基金管理人应当延缓支付赎回款项或暂停接受基金赎回申请。</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9、法律法规规定、中国证监会认定或基金合同约定的其他情形。</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基金份额持有人的赎回申请或延缓支付赎回款项时，基金管理人应及时报中国证监会备案，已确认的赎回申请，基金管理人应足额支付；如暂时不能足额支付，对于场外赎回申请，应将可支付部分按单个账户申请量占申请总量的比例分配给赎回申请人，未支付部分可延期支付。出现暂停赎回或延缓支付赎回款项时，场内赎回申请按照上海证券交易所及中国证券登记结算有限责任公司的有关业务规则办理。若出现上述第6项所述情形，按基金合同的相关条款处理。基金份额持有人在申请赎回时可事先选择将当日可能未获受理部分予以撤销。在暂停赎回的情况消除时，基金管理人应及时恢复赎回业务的办理并公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（十）巨额赎回的情形及处理方式</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封闭期结束转为开放式运作后，在单个开放日内的基金份额净赎回申请（赎回申请份额总数加上基金转换中转出申请份额总数后扣除申购申请份额总数及基金转换中转入申请份额总数后的余额）超过前一工作日的基金总份额的10%，即认为是发生了巨额赎回。</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2、巨额赎回的场外处理方式</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工作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如投资人在提交赎回申请时未作明确选择，投资人未能赎回部分作自动延期赎回处理。</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（3）本基金如发生巨额赎回且单个开放日内单个基金份额持有人申请赎回的基金份额超过前一工作日的基金总份额的20%时，本基金管理人有权采取如下措施：</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w:t>
      </w:r>
      <w:r>
        <w:rPr>
          <w:rFonts w:ascii="宋体" w:hAnsi="宋体"/>
          <w:sz w:val="24"/>
        </w:rPr>
        <w:lastRenderedPageBreak/>
        <w:t>认为有必要，可暂停接受基金的赎回申请；已经接受的赎回申请可以延缓支付赎回款项，但不得超过20个工作日，并应当在规定媒介上进行公告。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3、巨额赎回的场内处理方式</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巨额赎回业务的场内处理，按照上海证券交易所及中国证券登记结算有限责任公司的有关规定办理。</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4、巨额赎回的公告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当发生上述巨额赎回并延期办理时，基金管理人应当通过邮寄、传真、刊登公告或者通知销售机构代为告知等方式在3个交易日内通知基金份额持有人，说明有关处理方法，并在2日内在规定媒介上刊登公告。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（十一）暂停申购或赎回的公告和重新开放申购或赎回的公告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1、发生上述暂停申购或赎回情况的，基金管理人应在规定期限内在规定媒介上刊登暂停公告。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2、如发生暂停的时间为1日，基金管理人应于重新开放日，在规定媒介上刊登基金重新开放申购或赎回公告，并公布最近1个开放日各类基金份额的基金份额净值。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发生暂停的时间超过1日，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（十二）基金转换</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以根据相关法律法规以及基金合同的规定决定开办本基金与基金管理人管理的其他基金之间的转换业务，基金转换可以收取一定的转换费，相关规则由基金管理人届时根据相关法律法规及基金合同的规定制定并公告，并提前告知基金托管人与相关机构。</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（十三）基金的非交易过户</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w:t>
      </w:r>
      <w:r>
        <w:rPr>
          <w:rFonts w:ascii="宋体" w:hAnsi="宋体"/>
          <w:sz w:val="24"/>
        </w:rPr>
        <w:lastRenderedPageBreak/>
        <w:t>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（十四）基金份额的登记和转托管</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基金份额持有人可办理已持有基金份额在不同销售机构之间的转托管，基金销售机构可以按照规定的标准收取转托管费。基金份额的转托管包括系统内转托管和跨系统转托管。</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1、基金份额的登记</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份额采用分系统登记的原则。场外认购、申购的A类基金份额和C类基金份额，登记在注册登记系统中基金份额持有人的开放式基金账户下；场内认购、申购的A类基金份额，以及上市交易的A类基金份额，登记在证券登记结算系统基金份额持有人的上海证券账户下。</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登记在证券登记结算系统中的A类基金份额，可以在上海证券交易所上市交易，也可以在本基金转为上市开放式基金中基金后，直接申请场内赎回，或经跨系统转托管至注册登记系统，在本基金转为上市开放式基金中基金后，申请场外赎回。</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登记在注册登记系统中的A类基金份额和C类基金份额，可以在本基金转为上市开放式基金中基金后，直接申请场外赎回；登记在注册登记系统中的A类基金份额可经跨系统转托管至证券登记结算系统后，在上海证券交易所上市交易，或在本基金转为上市开放式基金中基金后，申请场内赎回。</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2、系统内转托管</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（1）系统内转托管是指基金份额持有人将持有的基金份额在注册登记系统内不同销售机构之间，或在证券登记结算系统内不同会员单位之间进行转登记的行为。</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（2）基金份额登记在注册登记系统的基金份额持有人在变更办理基金份额场外赎回业务的销售机构时，需办理已持有基金份额的系统内转托管。</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（3）基金份额登记在证券登记结算系统的基金份额持有人在变更办理基金份额场内赎回的会员单位时，需办理已持有基金份额的系统内转托管。</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3、跨系统转托管</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（1）跨系统转托管是指基金份额持有人将持有的A类基金份额在注册登记系统和证券登记结算系统之间进行转登记的行为。除经基金管理人另行公告，C类基金份额不能进行跨系统转托管。</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（2）本基金跨系统转托管的具体业务按照中国证券登记结算有限责任公司及上海证券交易所的相关规定办理。</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（十五）定期定额投资计划</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本基金2022年11月7日刊登公告自2022年11月10日起开通定期定额投资计划业务，具体开通销售机构名单和业务规则参见相关公告。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（十六）基金份额的冻结和解冻</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基金登记机构只受理国家有权机关依法要求的基金份额的冻结与解冻，以及登记机构认可、符合法律法规的其他情况下的冻结与解冻。</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（十七）基金份额的转让</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（十八）实施侧袋机制期间本基金的申购与赎回</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本基金实施侧袋机制的，本基金的申购和赎回安排详见本招募说明书“侧袋机制”部分的规定或相关公告。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（十九）其他业务</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rsidR="00B439CC" w:rsidRDefault="00DB33E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A47C9" w:rsidRDefault="00DB33E2">
      <w:pPr>
        <w:pStyle w:val="1"/>
        <w:snapToGrid w:val="0"/>
        <w:spacing w:beforeLines="0" w:before="240" w:after="240"/>
        <w:rPr>
          <w:rFonts w:ascii="宋体" w:hAnsi="宋体"/>
          <w:szCs w:val="30"/>
        </w:rPr>
      </w:pPr>
      <w:bookmarkStart w:id="13" w:name="_Toc235443134"/>
      <w:r>
        <w:rPr>
          <w:rFonts w:ascii="Times New Roman" w:hAnsi="Times New Roman"/>
          <w:sz w:val="30"/>
        </w:rPr>
        <w:lastRenderedPageBreak/>
        <w:t>十、基金的投资</w:t>
      </w:r>
      <w:bookmarkEnd w:id="13"/>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（一）投资目标</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本基金主要投资于经中国证监会依法核准或注册的公开募集证券投资基金的基金份额，在严格控制风险的前提下，充分发挥专业研究与管理能力，力争为投资者提供长期稳健的投资回报。</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（二）投资范围</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经中国证监会依法核准或注册的公开募集证券投资基金（含ETF和LOF、香港互认基金，不含QDII基金）、国内依法发行上市的股票（含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债券、次级债券、中期票据、短期融资券、超短期融资券等）、资产支持证券、货币市场工具、债券回购、同业存单、银行存款（含协议存款、定期存款及其他银行存款）以及法律法规或中国证监会允许基金投资的其他金融工具。</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本基金投资于经中国证监会依法核准或注册的公开募集证券投资基金的基金份额的资产不低于本基金资产的80%；本基金封闭期结束转为开放式运作后，投资于股票（含存托凭证）、股票型基金（包括股票指数基金）和混合型基金的资产合计占基金资产的比例为60%-95%（其中投资于港股通标的股票的比例占股票资产的0%-50%）；封闭期内，投资于股票（含存托凭证）、股票型基金（包括股票指数基金）和混合型基金的资产合计占基金资产的比例为60%-100%（其中投资于港股通标的股票的比例占股票资产的0%-50%）；本基金封闭期结束转为开放式运作的前后各一个月内，基金投资不受前述下限比例限制。</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封闭期结束转为开放式运作后，本基金持有的现金或者到期日在一年以内的政府债券的比例合计不低于基金资产净值的5%；在封闭期内，本基金不受前述5%的限制；其中现金不包括结算备付金、存出保证金、应收申购款等。</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w:t>
      </w:r>
      <w:r>
        <w:rPr>
          <w:rFonts w:ascii="宋体" w:hAnsi="宋体"/>
          <w:sz w:val="24"/>
        </w:rPr>
        <w:lastRenderedPageBreak/>
        <w:t>适当程序后，可以调整上述投资品种的投资比例。</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（三）投资策略</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1、大类资产配置</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通过对宏观经济运行周期、货币与财政政策形势、资金面供求变化、证券市场走势与估值水平等综合分析，并融合量化投资方法，结合国内外先进资产配置理念，及时把握市场时机，调整资产配置比例，获取资产配置收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2、基金投资策略</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本基金管理人绩效评估系统对备选基金的评估分析，在有效控制风险的前提下，通过定量和定性相结合的方法，精选具有不同风险收益特征及投资业绩比较优势的基金确定本基金配置组合。本基金的绩效评估系统分析主要包括业绩指标分析、业绩归因分析以及基金管理人综合评估等：</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（1）运用量化方法分析所有适选基金在不同市场下的历史业绩表现，包括收益指标、风险指标和风险调整后收益指标等，具体如下：</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收益指标：包括绝对收益、相对收益等指标；</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风险指标：包括波动率、最大回撤等指标；</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风险调整后收益指标：包括夏普比率、信息比率等指标。</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深入分析基金的业绩表现，再次精选基金确定备选基金，包括对基金的择时能力、资产配置能力、个股选择能力等进行归因分析，解释基金收益来源，评估未来收益的持续性与稳定性。基于市场环境、政策变动、风险事件等多重因素对基金配置组合进行持续跟踪，动态调整基金投资组合及配置比例。</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（3）结合对基金管理人的定性评估，包括基金管理人基本情况、投研团队实力以及投研团队稳定性、基金经理投资优势及业绩稳定性等方面，最终确定本基金的投资组合及配置比例。</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综上，本基金通过定量和定性相结合的方法，长期持续跟踪本基金的组合业绩，并定期对基金组合进行维护，力争实现基金资产的长期稳健增值。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3、股票投资策略</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运用交银施罗德股票研究分析方法等投资分析工具，在把握宏观经济运行趋势和股票市场行业轮动的基础上，充分利用公司股票研究团队“自下而上”的主动选股能力，筛选出在公司治理、财务及管理品质上符合基本品质要求的上市公司；其次在公司备选股票池基础上，本基金将进一步通过对备选上市公司翔</w:t>
      </w:r>
      <w:r>
        <w:rPr>
          <w:rFonts w:ascii="宋体" w:hAnsi="宋体"/>
          <w:sz w:val="24"/>
        </w:rPr>
        <w:lastRenderedPageBreak/>
        <w:t>实的基本面分析和深入的实地调研，以定性与定量相结合的方法对公司价值进行综合评估。通过对重点上市公司进行内在价值的评估和成长性跟踪研究，在明确的价值评估基础上精选优秀质地的投资标的。</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本基金投资存托凭证的策略依照境内上市交易的股票投资策略执行。</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4、港股通标的股票投资策略</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本基金可通过内地与香港股票市场交易互联互通机制投资于香港股票市场。本基金优先将基本面健康、业绩向上弹性较大、具有估值优势的港股纳入本基金的股票投资组合。</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基金可根据投资策略需要或不同配置地市场环境的变化，选择将部分基金资产投资于港股或选择不将基金资产投资于港股，基金资产并非必然投资港股。</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5、债券投资策略</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本基金的债券投资采取主动的投资管理方式，获得与风险相匹配的投资收益，以实现在一定程度上规避股票市场的系统性风险和保证基金资产的流动性。</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运用久期控制策略、期限结构配置策略、类属配置策略、骑乘策略、杠杆放大策略和换券等多种策略，获取债券市场的长期稳定收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6、资产支持证券投资策略</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（四）投资限制</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（1）本基金投资于经中国证监会依法核准或注册的公开募集证券投资基金的</w:t>
      </w:r>
      <w:r>
        <w:rPr>
          <w:rFonts w:ascii="宋体" w:hAnsi="宋体"/>
          <w:sz w:val="24"/>
        </w:rPr>
        <w:lastRenderedPageBreak/>
        <w:t>基金份额的资产不低于本基金资产的80%；本基金封闭期结束转为开放式运作后，投资于股票（含存托凭证）、股票型基金（包括股票指数基金）和混合型基金的资产合计占基金资产的比例为60%-95%（其中投资于港股通标的股票的比例占股票资产的0%-50%）；封闭期内，投资于股票（含存托凭证）、股票型基金（包括股票指数基金）和混合型基金的资产合计占基金资产的比例为60%-100%（其中投资于港股通标的股票的比例占股票资产的0%-50%）；本基金封闭期结束转为开放式运作的前后各一个月内，基金投资不受前述下限比例限制；</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封闭期结束转为开放式运作后，本基金持有的现金或者到期日在一年以内的政府债券的比例合计不低于基金资产净值的5%；在封闭期内，本基金不受前述5%的限制；其中现金不包括结算备付金、存出保证金、应收申购款等；</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（3）本基金持有单只基金的市值，不得高于本基金资产净值的20%，且不得持有其他基金中基金；</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（4）本基金管理人管理的全部基金（除ETF联接基金外）持有单只基金不得超过被投资基金净资产的20%，被投资基金净资产规模以最近定期报告披露的规模为准；</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（5）本基金不得持有具有复杂、衍生品性质的基金份额，包括分级基金和中国证监会认定的其他基金份额；</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（6）本基金投资其他基金时，被投资基金的运作期限不少于1年、最近定期报告披露的基金净资产应当不低于1亿元；</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（7）本基金封闭期结束转为开放式运作后，投资于封闭运作基金、定期开放基金等流通受限基金的，其公允价值不得超过本基金资产净值的10%；</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（8）基金管理人运用本基金财产投资于股票、债券等金融工具的，投资品种和比例应当符合本基金的投资目标和投资策略；</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（9）本基金持有一家公司发行的证券（同一家公司在内地和香港同时上市的A+H股合并计算，不含本基金所投资的基金份额），其市值不超过基金资产净值的10%；</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管理人管理的全部基金持有一家公司发行的证券（同一家公司在内地和香港同时上市的A+H股合并计算，不含本基金所投资的基金份额），不超过该证券的10%，完全按照有关指数的构成比例进行证券投资的基金品种可以不受此条款规定的比例限制；</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11）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封闭期结束转为开放式运作后，主动投资于流动性受限资产的市值合计不得超过本基金资产净值的15%；因证券市场波动、上市公司股票停牌、基金规模变动等基金管理人之外的因素致使基金不符合该比例限制的，基金管理人不得主动新增流动性受限资产的投资；</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（13）本基金与私募类证券资管产品及中国证监会认定的其他主体为交易对手开展逆回购交易的，可接受质押品的资质要求应当与基金合同约定的投资范围保持一致；</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（14）本基金投资于同一原始权益人的各类资产支持证券的比例，不得超过基金资产净值的10%；</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（15）本基金持有的全部资产支持证券，其市值不得超过基金资产净值的20%；</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（16）本基金持有的同一（指同一信用级别）资产支持证券的比例，不得超过该资产支持证券规模的10%；</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（17）本基金管理人管理的全部基金投资于同一原始权益人的各类资产支持证券，不得超过其各类资产支持证券合计规模的10%；</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（18）本基金应投资于信用级别评级为BBB以上（含BBB）的资产支持证券。基金持有资产支持证券期间，如果其信用等级下降、不再符合投资标准，应在评级报告发布之日起3个月内予以全部卖出；</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（19）基金财产参与股票发行申购，本基金所申报的金额不超过本基金的总资产，本基金所申报的股票数量不超过拟发行股票公司本次发行股票的总量；</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封闭期内，本基金债券正回购资金余额或逆回购资金余额不得超过其上一日基金资产净值的100%；本基金封闭期结束转为开放式运作后，本基金债券正回购资金余额或逆回购资金余额不得超过其上一日基金资产净值的 40%。本基金进入全国银行间同业市场进行债券回购的最长期限为1年，债券回购到期后不得展期；</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（21）封闭期内，本基金资产总值不得超过基金资产净值的200%；本基金封闭</w:t>
      </w:r>
      <w:r>
        <w:rPr>
          <w:rFonts w:ascii="宋体" w:hAnsi="宋体"/>
          <w:sz w:val="24"/>
        </w:rPr>
        <w:lastRenderedPageBreak/>
        <w:t>期结束转为开放式运作后，基金资产总值不得超过基金资产净值的140%；</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（22）本基金投资存托凭证的比例限制依照境内上市交易的股票执行；</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（23）本基金投资于货币市场基金的比例不得超过基金资产的15%；</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（24）法律法规及中国证监会规定的和《基金合同》约定的其他投资限制。</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证券市场波动、证券发行人合并、本基金规模变动、本基金所投资的基金发生流动性限制、暂停申购、赎回或二级市场交易停牌等基金管理人之外的因素致使本基金投资比例不符合上述第（3）项、第（4）项规定投资比例的，基金管理人应当在20个交易日内进行调整；对于第（2）项、第（3）项、第（4）项、第（12）项、第（13）项及第（18）项以外的其他情形，基金管理人应当在10个交易日内进行调整，但中国证监会规定的特殊情形除外。法律法规另有规定的，从其规定。</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（4）向其基金管理人、基金托管人出资；</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（5）从事内幕交易、操纵证券交易价格及其他不正当的证券交易活动；</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（6）法律、行政法规和中国证监会规定禁止的其他活动。</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w:t>
      </w:r>
      <w:r>
        <w:rPr>
          <w:rFonts w:ascii="宋体" w:hAnsi="宋体"/>
          <w:sz w:val="24"/>
        </w:rPr>
        <w:lastRenderedPageBreak/>
        <w:t>通过。基金管理人董事会应至少每半年对关联交易事项进行审查。</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（五）业绩比较基准</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90%×中证偏股型基金指数收益率+10%×中债综合全价指数收益率</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证偏股型基金指数由中证指数有限公司编制并发布，选取内地上市的所有股票型基金以及混合型基金中以股票为主要投资对象的基金作为样本，采用净值规模加权，以反映所有偏股型开放式证券投资基金的整体走势，适合作为本基金权益类资产投资的业绩比较基准。</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综合全价指数由中央国债登记结算有限责任公司编制并发布，其指数样本涵盖国债、政策性银行债、商业银行债、地方企业债、中期票据以及证券公司短期融资券等券种，能够综合反映我国债券市场的整体投资收益情况，适合作为本基金固定收益类资产投资的业绩比较基准。</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根据本基金的投资范围和投资策略，选用上述业绩比较基准能够客观、合理地反映本基金的风险收益特征。</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依据维护基金份额持有人合法权益的原则，本基金管理人可与本基金托管人协商一致并按照监管部门要求履行适当程序后，调整或变更本基金的业绩比较基准并及时公告，无需召开基金份额持有人大会。</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（六）风险收益特征</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本基金为混合型基金中基金，其预期风险与预期收益高于债券型基金、债券型基金中基金、货币市场基金和货币型基金中基金，低于股票型基金和股票型基金中基金。</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本基金可投资港股通标的股票，会面临港股通机制下因投资环境、投资标的、市场制度以及交易规则等差异带来的特有风险。</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（七）基金管理人代表基金行使股东或债权人权利的处理原则及方法</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1、基金管理人按照国家有关规定代表基金独立行使股东或债权人权利，保护基金份额持有人的利益；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3、有利于基金财产的安全与增值；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（八）侧袋机制的实施和投资运作安排</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（九）基金投资组合报告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本基金托管人中国光大银行股份有限公司根据本基金合同规定，于2026年04月20日复核了本报告中的财务指标、净值表现和投资组合报告等内容，保证复核内容不存在虚假记载、误导性陈述或者重大遗漏。</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本报告期为2026年01月01日至03月31日。本报告财务资料未经审计师审计。</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154,153,493.51</w:t>
            </w:r>
          </w:p>
        </w:tc>
        <w:tc>
          <w:tcPr>
            <w:tcW w:w="40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17.26</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154,153,493.51</w:t>
            </w:r>
          </w:p>
        </w:tc>
        <w:tc>
          <w:tcPr>
            <w:tcW w:w="40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17.26</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686,444,179.00</w:t>
            </w:r>
          </w:p>
        </w:tc>
        <w:tc>
          <w:tcPr>
            <w:tcW w:w="40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76.84</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45,821,295.25</w:t>
            </w:r>
          </w:p>
        </w:tc>
        <w:tc>
          <w:tcPr>
            <w:tcW w:w="40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5.13</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45,821,295.25</w:t>
            </w:r>
          </w:p>
        </w:tc>
        <w:tc>
          <w:tcPr>
            <w:tcW w:w="40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5.13</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6,024,343.41</w:t>
            </w:r>
          </w:p>
        </w:tc>
        <w:tc>
          <w:tcPr>
            <w:tcW w:w="40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0.67</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842,253.13</w:t>
            </w:r>
          </w:p>
        </w:tc>
        <w:tc>
          <w:tcPr>
            <w:tcW w:w="40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0.09</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893,285,564.30</w:t>
            </w:r>
          </w:p>
        </w:tc>
        <w:tc>
          <w:tcPr>
            <w:tcW w:w="40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209,179.05</w:t>
            </w:r>
          </w:p>
        </w:tc>
        <w:tc>
          <w:tcPr>
            <w:tcW w:w="40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118,381,685.14</w:t>
            </w:r>
          </w:p>
        </w:tc>
        <w:tc>
          <w:tcPr>
            <w:tcW w:w="40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14.01</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2,400,145.00</w:t>
            </w:r>
          </w:p>
        </w:tc>
        <w:tc>
          <w:tcPr>
            <w:tcW w:w="40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0.28</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1,679,628.00</w:t>
            </w:r>
          </w:p>
        </w:tc>
        <w:tc>
          <w:tcPr>
            <w:tcW w:w="40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0.20</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2,417,465.00</w:t>
            </w:r>
          </w:p>
        </w:tc>
        <w:tc>
          <w:tcPr>
            <w:tcW w:w="40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0.29</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16,585,673.00</w:t>
            </w:r>
          </w:p>
        </w:tc>
        <w:tc>
          <w:tcPr>
            <w:tcW w:w="40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1.96</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1,096,903.00</w:t>
            </w:r>
          </w:p>
        </w:tc>
        <w:tc>
          <w:tcPr>
            <w:tcW w:w="40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0.13</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2,303,096.00</w:t>
            </w:r>
          </w:p>
        </w:tc>
        <w:tc>
          <w:tcPr>
            <w:tcW w:w="40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0.27</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7,806,269.32</w:t>
            </w:r>
          </w:p>
        </w:tc>
        <w:tc>
          <w:tcPr>
            <w:tcW w:w="40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0.92</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1,273,450.00</w:t>
            </w:r>
          </w:p>
        </w:tc>
        <w:tc>
          <w:tcPr>
            <w:tcW w:w="40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0.15</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154,153,493.51</w:t>
            </w:r>
          </w:p>
        </w:tc>
        <w:tc>
          <w:tcPr>
            <w:tcW w:w="40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18.24</w:t>
            </w:r>
          </w:p>
        </w:tc>
      </w:tr>
    </w:tbl>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600549</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厦门钨业</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160,000</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8,899,200.00</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1.05</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688498</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源杰科技</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8,000</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8,043,520.00</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0.95</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002497</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雅化集团</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293,400</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6,806,880.00</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0.81</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300442</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润泽科技</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80,000</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6,464,000.00</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0.76</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300409</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道氏技术</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236,962</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5,824,525.96</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0.69</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300308</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中际旭创</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9,800</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5,580,218.00</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0.66</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002602</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世纪华通</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348,600</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5,563,656.00</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0.66</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002028</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思源电气</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22,000</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4,444,000.00</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0.53</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000792</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盐湖股份</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98,100</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3,629,700.00</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0.43</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603259</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药明康德</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34,700</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3,404,070.00</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0.40</w:t>
            </w:r>
          </w:p>
        </w:tc>
      </w:tr>
    </w:tbl>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44,697,049.38</w:t>
            </w:r>
          </w:p>
        </w:tc>
        <w:tc>
          <w:tcPr>
            <w:tcW w:w="40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5.29</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1,124,245.87</w:t>
            </w:r>
          </w:p>
        </w:tc>
        <w:tc>
          <w:tcPr>
            <w:tcW w:w="40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0.13</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1,124,245.87</w:t>
            </w:r>
          </w:p>
        </w:tc>
        <w:tc>
          <w:tcPr>
            <w:tcW w:w="40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0.13</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45,821,295.25</w:t>
            </w:r>
          </w:p>
        </w:tc>
        <w:tc>
          <w:tcPr>
            <w:tcW w:w="40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5.42</w:t>
            </w:r>
          </w:p>
        </w:tc>
      </w:tr>
    </w:tbl>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019773</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国债</w:t>
            </w:r>
            <w:r>
              <w:rPr>
                <w:rFonts w:ascii="Times New Roman" w:hAnsi="Times New Roman"/>
                <w:color w:val="000000"/>
                <w:kern w:val="0"/>
                <w:sz w:val="25"/>
                <w:szCs w:val="24"/>
              </w:rPr>
              <w:t>08</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170,000</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17,225,666.85</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2.04</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102298</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国债</w:t>
            </w:r>
            <w:r>
              <w:rPr>
                <w:rFonts w:ascii="Times New Roman" w:hAnsi="Times New Roman"/>
                <w:color w:val="000000"/>
                <w:kern w:val="0"/>
                <w:sz w:val="25"/>
                <w:szCs w:val="24"/>
              </w:rPr>
              <w:t>2508</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80,000</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8,106,196.16</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0.96</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019785</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国债</w:t>
            </w: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69,000</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6,965,616.16</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0.82</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019792</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国债</w:t>
            </w:r>
            <w:r>
              <w:rPr>
                <w:rFonts w:ascii="Times New Roman" w:hAnsi="Times New Roman"/>
                <w:color w:val="000000"/>
                <w:kern w:val="0"/>
                <w:sz w:val="25"/>
                <w:szCs w:val="24"/>
              </w:rPr>
              <w:t>19</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30,000</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3,022,655.34</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0.36</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102310</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国债</w:t>
            </w:r>
            <w:r>
              <w:rPr>
                <w:rFonts w:ascii="Times New Roman" w:hAnsi="Times New Roman"/>
                <w:color w:val="000000"/>
                <w:kern w:val="0"/>
                <w:sz w:val="25"/>
                <w:szCs w:val="24"/>
              </w:rPr>
              <w:t>2513</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27,000</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2,725,675.89</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0.32</w:t>
            </w:r>
          </w:p>
        </w:tc>
      </w:tr>
    </w:tbl>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无。</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9、报告期末本基金投资的股指期货交易情况说明</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报告期末本基金投资的股指期货持仓和损益明细</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本基金投资股指期货的投资政策</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10、报告期末本基金投资的国债期货交易情况说明</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本期国债期货投资政策</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报告期末本基金投资的国债期货持仓和损益明细</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本期国债期货投资评价</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11、投资组合报告附注</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报告期内本基金投资的前十名证券的发行主体未被监管部门立案调查，在本报告编制日前一年内本基金投资的前十名证券的发行主体未受到公开谴责和处罚。</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 基金投资的前十名股票是否超出基金合同规定的备选股票库</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90,080.74</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112,022.29</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4</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597,915.82</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42,234.28</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right"/>
              <w:rPr>
                <w:rFonts w:ascii="宋体" w:hAnsi="宋体"/>
                <w:color w:val="000000"/>
                <w:kern w:val="0"/>
                <w:sz w:val="25"/>
                <w:szCs w:val="24"/>
              </w:rPr>
            </w:pPr>
            <w:r>
              <w:rPr>
                <w:rFonts w:ascii="Times New Roman" w:hAnsi="Times New Roman"/>
                <w:color w:val="000000"/>
                <w:kern w:val="0"/>
                <w:sz w:val="25"/>
                <w:szCs w:val="24"/>
              </w:rPr>
              <w:t>842,253.13</w:t>
            </w:r>
          </w:p>
        </w:tc>
      </w:tr>
    </w:tbl>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 报告期末持有的处于转股期的可转换债券明细</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 报告期末前十名股票中存在流通受限情况的说明</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 投资组合报告附注的其他文字描述部分</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DB33E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A47C9" w:rsidRDefault="00DB33E2">
      <w:pPr>
        <w:pStyle w:val="1"/>
        <w:snapToGrid w:val="0"/>
        <w:spacing w:beforeLines="0" w:before="240" w:after="240"/>
        <w:rPr>
          <w:rFonts w:ascii="宋体" w:hAnsi="宋体"/>
          <w:szCs w:val="30"/>
        </w:rPr>
      </w:pPr>
      <w:bookmarkStart w:id="14" w:name="_Toc235443135"/>
      <w:r>
        <w:rPr>
          <w:rFonts w:ascii="Times New Roman" w:hAnsi="Times New Roman"/>
          <w:sz w:val="30"/>
        </w:rPr>
        <w:lastRenderedPageBreak/>
        <w:t>十一、基金的业绩</w:t>
      </w:r>
      <w:bookmarkEnd w:id="14"/>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基金业绩截止日为2026年03月31日，所载财务数据未经审计师审计。</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下述基金业绩指标不包括持有人认购或交易基金的各项费用，计入费用后实际收益水平要低于所列数字。</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1、基金份额净值增长率及其与同期业绩比较基准收益率的比较</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（1）交银智选星光一年封闭运作混合（FOF-LOF）A</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5A47C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5A47C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2.33%</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1.66%</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-1.37%</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1.10%</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3.70%</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0.56%</w:t>
            </w:r>
          </w:p>
        </w:tc>
      </w:tr>
      <w:tr w:rsidR="005A47C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40.89%</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1.39%</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26.96%</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1.04%</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13.93%</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0.35%</w:t>
            </w:r>
          </w:p>
        </w:tc>
      </w:tr>
      <w:tr w:rsidR="005A47C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-2.95%</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1.43%</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4.33%</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1.26%</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-7.28%</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0.17%</w:t>
            </w:r>
          </w:p>
        </w:tc>
      </w:tr>
      <w:tr w:rsidR="005A47C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-10.23%</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0.76%</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-13.41%</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0.71%</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3.18%</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r>
      <w:tr w:rsidR="005A47C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-14.16%</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1.01%</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-17.37%</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1.02%</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3.21%</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5A47C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2021</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-0.15%</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1.68%</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-1.83%</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-0.42%</w:t>
            </w:r>
          </w:p>
        </w:tc>
      </w:tr>
    </w:tbl>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（2）交银智选星光一年封闭运作混合（FOF-LOF）C</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5A47C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5A47C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2.17%</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1.66%</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-1.37%</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1.10%</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3.54%</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0.56%</w:t>
            </w:r>
          </w:p>
        </w:tc>
      </w:tr>
      <w:tr w:rsidR="005A47C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40.04%</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1.39%</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26.96%</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1.04%</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13.08%</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0.35%</w:t>
            </w:r>
          </w:p>
        </w:tc>
      </w:tr>
      <w:tr w:rsidR="005A47C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-3.53%</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1.43%</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4.33%</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1.26%</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-7.86%</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0.17%</w:t>
            </w:r>
          </w:p>
        </w:tc>
      </w:tr>
      <w:tr w:rsidR="005A47C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-10.77%</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0.76%</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-13.41%</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0.71%</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2.64%</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r>
      <w:tr w:rsidR="005A47C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-14.67%</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1.01%</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-17.37%</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1.02%</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2.70%</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5A47C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2021</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2021</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-0.23%</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1.68%</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-1.91%</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-0.42%</w:t>
            </w:r>
          </w:p>
        </w:tc>
      </w:tr>
    </w:tbl>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注：本基金业绩比较基准自2023年2月7日起，由“80%×沪深300指数收益率+20%×中债综合全价指数收益率”变更为“90%×中证偏股型基金指数收益率+10%×中债综合全价指数收益率”，下图同。</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5A47C9" w:rsidRDefault="00DB33E2">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交银施罗德智选星光一年混合型（FOF-LOF）证券投资基金</w:t>
      </w:r>
    </w:p>
    <w:p w:rsidR="005A47C9" w:rsidRDefault="00DB33E2">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份额累计净值增长率与业绩比较基准收益率历史走势对比图</w:t>
      </w:r>
    </w:p>
    <w:p w:rsidR="005A47C9" w:rsidRDefault="00DB33E2">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（2021年11月10日至2026年03月31日）</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（1）交银智选星光一年封闭运作混合（FOF-LOF）A</w:t>
      </w:r>
    </w:p>
    <w:p w:rsidR="005A47C9" w:rsidRDefault="00382FA6">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5" o:title="1521256610242020828"/>
          </v:shape>
        </w:pic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（2）交银智选星光一年封闭运作混合（FOF-LOF）C</w:t>
      </w:r>
    </w:p>
    <w:p w:rsidR="005A47C9" w:rsidRDefault="00382FA6">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 id="_x0000_i1026" type="#_x0000_t75" style="width:439.5pt;height:268.5pt">
            <v:imagedata r:id="rId16" o:title="1521256610242020828"/>
          </v:shape>
        </w:pic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注：本基金建仓期为自基金合同生效日起的6个月。截至建仓期结束，本基金各项资产配置比例符合基金合同及招募说明书有关投资比例的约定。</w:t>
      </w:r>
    </w:p>
    <w:p w:rsidR="00B439CC" w:rsidRDefault="00DB33E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A47C9" w:rsidRDefault="00DB33E2">
      <w:pPr>
        <w:pStyle w:val="1"/>
        <w:snapToGrid w:val="0"/>
        <w:spacing w:beforeLines="0" w:before="240" w:after="240"/>
        <w:rPr>
          <w:rFonts w:ascii="宋体" w:hAnsi="宋体"/>
          <w:szCs w:val="30"/>
        </w:rPr>
      </w:pPr>
      <w:bookmarkStart w:id="15" w:name="_Toc235443136"/>
      <w:r>
        <w:rPr>
          <w:rFonts w:ascii="Times New Roman" w:hAnsi="Times New Roman"/>
          <w:sz w:val="30"/>
        </w:rPr>
        <w:lastRenderedPageBreak/>
        <w:t>十二、基金的财产</w:t>
      </w:r>
      <w:bookmarkEnd w:id="15"/>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（一）基金资产总值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基金资产总值是指基金拥有的各类有价证券、证券投资基金份额、银行存款本息、基金应收款项及其他资产的价值总和。</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（二）基金资产净值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（三）基金财产的账户</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证券投资基金账户以及投资所需的其他专用账户。开立的基金专用账户与基金管理人、基金托管人、基金销售机构和基金登记机构自有的财产账户以及其他基金财产账户相独立。</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（四）基金财产的保管和处分</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rsidR="00B439CC" w:rsidRDefault="00DB33E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A47C9" w:rsidRDefault="00DB33E2">
      <w:pPr>
        <w:pStyle w:val="1"/>
        <w:snapToGrid w:val="0"/>
        <w:spacing w:beforeLines="0" w:before="240" w:after="240"/>
        <w:rPr>
          <w:rFonts w:ascii="宋体" w:hAnsi="宋体"/>
          <w:szCs w:val="30"/>
        </w:rPr>
      </w:pPr>
      <w:bookmarkStart w:id="16" w:name="_Toc235443137"/>
      <w:r>
        <w:rPr>
          <w:rFonts w:ascii="Times New Roman" w:hAnsi="Times New Roman"/>
          <w:sz w:val="30"/>
        </w:rPr>
        <w:lastRenderedPageBreak/>
        <w:t>十三、基金资产的估值</w:t>
      </w:r>
      <w:bookmarkEnd w:id="16"/>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（一）估值日</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本基金的估值日为本基金相关的证券交易场所的交易日以及国家法律法规规定需要对外披露基金净值的非交易日。所投资基金的估值日是指该基金基金份额净值和基金份额累计净值的归属日。</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（二）估值对象</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基金所拥有的证券投资基金份额、股票、债券、资产支持证券和其他投资等持续以公允价值计量的金融资产及负债。</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（三）估值原则</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基金管理人在确定相关金融资产和金融负债的公允价值时，应符合《企业会计准则》、监管部门有关规定。</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3、如经济环境发生重大变化或证券发行人发生影响证券价格的重大事件，使潜在估值调整对前一估值日的基金资产净值的影响在0.25%以上的，应对估值进行调整并确定公允价值。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（四）估值方法</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1、证券投资基金的估值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（1）本基金投资于非上市的非货币市场基金，按所投资基金估值日的份额净值进行估值；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（2）本基金投资于非上市的货币市场基金，按所投资基金前一估值日后至估值日期间（含节假日）的万份收益计提估值日基金收益；如所投资基金披露份额净值，则按所投资基金估值日的份额净值估值；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（3）本基金投资的ETF基金，按所投资ETF基金估值日的收盘价进行估值；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（4）本基金投资的上市开放式基金（LOF），按所投资基金估值日的份额净值估值；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（5）本基金投资的上市定期开放式基金、封闭式基金，按所投资基金估值日的收盘价估值；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的上市交易型货币市场基金，如所投资基金披露份额净值，则按所投资基金估值日的份额净值估值；如所投资基金披露万份（百份）收益，则按所投资基金前一估值日后至估值日期间（含节假日）的万份（百份）收益计提估值日基金收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（7）如遇所投资基金不公布基金份额净值、进行折算或拆分、估值日无交易等特殊情况，基金管理人根据以下原则进行估值：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以所投资基金的基金份额净值估值的，若所投资基金与本基金估值频率一致但未公布估值日基金份额净值，以其最近公布的基金份额净值估值；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所投资基金的收盘价估值的，若估值日无交易，且最近交易日后市场环境未发生重大变化，以最近交易日的收盘价估值；如最近交易日后市场环境发生了重大变化的，可使用最新的基金份额净值为基础或参考类似投资品种的现行市价及重大变化因素调整最近交易市价，确定公允价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如果所投资基金前一估值日至估值日期间发生分红除权、折算或拆分，基金管理人应根据基金份额净值或收盘价、单位基金份额分红金额、折算拆分比例、持仓份额等因素合理确定公允价值；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（8）当基金管理人认为所投资基金按上述第（1）至第（7）条进行估值存在不公允时，应与基金托管人协商一致采用合理的估值技术或估值标准确定其公允价值。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2、证券交易所上市的有价证券的估值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交易所上市的有价证券（包括股票等），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（2）交易所上市交易或挂牌转让的固定收益品种（另有规定的除外），选取估值日第三方估值机构提供的相应品种当日的估值净价进行估值；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上市交易的可转换债券，按估值日收盘价减去可转换债券收盘价中所含债券（税后）应收利息后得到的净价进行估值；估值日没有交易的，且最近交易日后经济环境未发生重大变化，按最近交易日债券收盘价减去可转换债券收盘价中所含债券（税后）应收利息后得到的净价进行估值。如最近交易日后经济环境发生了重大变化的，可参考类似投资品种现行市价及重大变化因素，调整最近交易市价，确定公允价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（4）交易所上市实行全价交易的债券（可转债除外），选取第三方估值机构提供的估值全价减去估值全价中所含的债券（税后）应收利息得到的净价进行估值；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（5）交易所上市不存在活跃市场的有价证券，采用估值技术确定公允价值。交易所市场挂牌转让的资产支持证券，采用估值技术确定公允价值；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3、处于未上市期间的有价证券应区分如下情况处理：</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（1）送股、转增股、配股和公开增发的新股，按估值日在证券交易所挂牌的同一股票的估值方法估值；该日无交易的，以最近一日的市价（收盘价）估值；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（2）首次公开发行未上市的股票和债券，采用估值技术确定公允价值，在估值技术难以可靠计量公允价值的情况下，按成本估值；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（3）在发行时明确一定期限限售期的股票，包括但不限于非公开发行股票、首次公开发行股票时公司股东公开发售股份、通过大宗交易取得的带限售期的股票</w:t>
      </w:r>
      <w:r>
        <w:rPr>
          <w:rFonts w:ascii="宋体" w:hAnsi="宋体"/>
          <w:sz w:val="24"/>
        </w:rPr>
        <w:lastRenderedPageBreak/>
        <w:t>等，不包括停牌、新发行未上市、回购交易中的质押券等流通受限股票，按监管机构或行业协会有关规定确定公允价值。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5、如有确凿证据表明按上述方法进行估值不能客观反映其公允价值的，基金管理人可根据具体情况与基金托管人商定后，按最能反映公允价值的价格估值。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6、估值计算中涉及港币对人民币汇率的，将依据下列信息提供机构所提供的汇率为基准：当日中国人民银行公布的人民币与港币的中间价。</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7、当发生大额申购或赎回情形时，基金管理人可以采用摆动定价机制，以确保基金估值的公平性。</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8、本基金投资存托凭证的估值核算依照境内上市交易的股票执行。</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9、相关法律法规以及监管部门有强制规定的，从其规定。如有新增事项，按国家最新规定估值。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信息的计算结果对外予以公布。</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（五）估值程序</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各类基金份额的基金份额净值是按照每个估值日，基金资产净值除以当日该类估值日基金份额的余额数量计算，精确到0.0001元，小数点后第5位四舍五入。基金管理人可以设立大额赎回情形下的净值精度应急调整机制，具体可参见相关公告。国家另有规定的，从其规定。</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基金管理人于每个工作日分别计算A类基金份额、C类基金份额的基金资产净值及基金份额净值，并按规定公告。如遇特殊情况，经履行适当程序，可以适当延迟计算或公告。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对基金资产估值后，将各类基金份额净值结果发送基金托管人，经基金托管人复核无误后，由基金管理人依据基金合同和相关法律法规的规定对外公布。</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（六）估值错误的处理</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基金管理人和基金托管人将采取必要、适当、合理的措施确保基金资产估值的准确性、及时性。当基金份额净值小数点后4位以内（含第4位） 发生估值错误时，视为基金份额净值错误。</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w:t>
      </w:r>
      <w:r>
        <w:rPr>
          <w:rFonts w:ascii="宋体" w:hAnsi="宋体"/>
          <w:sz w:val="24"/>
        </w:rPr>
        <w:lastRenderedPageBreak/>
        <w:t>错误责任方应对更正的情况向有关当事人进行确认，确保估值错误已得到更正。</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（2）错误偏差达到该类基金份额净值的0.25%时，基金管理人应当通报基金托管人并报中国证监会备案；错误偏差达到该类基金份额净值的0.5%时，基金管理人应当公告，并报中国证监会备案。</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（3）前述内容如法律法规或者监管部门另有规定的，从其规定。</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（七）暂停估值的情形</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1、基金投资所涉及的证券交易市场遇法定节假日或因其他原因暂停营业时；</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3、由于本基金持有的相当比例的基金暂停估值，导致基金管理人无法计算当日基金资产净值；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4、当特定资产占前一估值日基金资产净值50%以上的，经与基金托管人协商确认后，基金管理人应当暂停估值；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5、法律法规、中国证监会和基金合同认定的其它情形。</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（八）基金净值的确认</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的基金资产净值和基金份额净值由基金管理人负责计算，基金托管人负责进行复核。基金管理人应于每个工作日计算各类基金份额的基金资产净值和基金份额净值并发送给基金托管人。基金托管人对净值计算结果复核确认后发送给基金管理人，由基金管理人依据基金合同和相关法律法规的规定对基金净值予以公布。</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（九）特殊情形的处理</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1、基金管理人或基金托管人按估值方法的第5项进行估值时，所造成的误差不作为基金资产估值错误处理。</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2、对于因税收规定调整或其他原因导致基金实际交纳税金与基金按照权责发生制进行估值的应交税金有差异的，相关估值调整不作为基金资产估值错误处理。</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由于不可抗力原因，或由于证券交易所、证券经纪机构、登记结算公司及存款银行等第三方机构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（十）实施侧袋机制期间的基金资产估值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rsidR="00B439CC" w:rsidRDefault="00DB33E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A47C9" w:rsidRDefault="00DB33E2">
      <w:pPr>
        <w:pStyle w:val="1"/>
        <w:snapToGrid w:val="0"/>
        <w:spacing w:beforeLines="0" w:before="240" w:after="240"/>
        <w:rPr>
          <w:rFonts w:ascii="宋体" w:hAnsi="宋体"/>
          <w:szCs w:val="30"/>
        </w:rPr>
      </w:pPr>
      <w:bookmarkStart w:id="17" w:name="_Toc235443138"/>
      <w:r>
        <w:rPr>
          <w:rFonts w:ascii="Times New Roman" w:hAnsi="Times New Roman"/>
          <w:sz w:val="30"/>
        </w:rPr>
        <w:lastRenderedPageBreak/>
        <w:t>十四、基金收益与分配</w:t>
      </w:r>
      <w:bookmarkEnd w:id="17"/>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（一）基金利润的构成</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（二）基金可供分配利润</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（三）基金收益分配原则</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1、在符合有关基金分红条件的前提下，本基金管理人可以根据实际情况进行收益分配，具体分配方案以公告为准，若《基金合同》生效不满3个月可不进行收益分配；</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收益分配方式分两种：现金分红与红利再投资，投资者可选择现金红利或将现金红利自动转为相应类别的基金份额进行再投资；若投资者不选择，本基金默认的收益分配方式是现金分红；登记在基金份额持有人上海证券账户下的基金份额，只能选择现金分红的方式，具体权益分配程序等有关事项遵循上海证券交易所及中国证券登记结算有限责任公司的相关规定；</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3、基金收益分配后各类基金份额净值不能低于面值；即基金收益分配基准日的各类基金份额净值减去每单位该类基金份额收益分配金额后不能低于面值；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4、由于本基金A类基金份额不收取销售服务费，C类基金份额收取销售服务费，各基金份额类别对应的可供分配利润将有所不同；本基金同一类别的每份基金份额享有同等分配权；</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5、法律法规或监管机关另有规定的，从其规定。</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（四）收益分配方案</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（五）收益分配方案的确定、公告与实施</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本基金收益分配方案由基金管理人拟定，并由基金托管人复核，依照《信息披露办法》的有关规定在规定媒介公告。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法律法规或监管机关另有规定的，从其规定。</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（六）基金收益分配中发生的费用</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场外份额，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对于场内份额，现金分红的计算方法等有关事项遵循上海证券交易所及中国证券登记结算有限责任公司的相关规定。</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（七）收益分配方式的修改</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（八）实施侧袋机制期间的收益分配</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rsidR="00B439CC" w:rsidRDefault="00DB33E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A47C9" w:rsidRDefault="00DB33E2">
      <w:pPr>
        <w:pStyle w:val="1"/>
        <w:snapToGrid w:val="0"/>
        <w:spacing w:beforeLines="0" w:before="240" w:after="240"/>
        <w:rPr>
          <w:rFonts w:ascii="宋体" w:hAnsi="宋体"/>
          <w:szCs w:val="30"/>
        </w:rPr>
      </w:pPr>
      <w:bookmarkStart w:id="18" w:name="_Toc235443139"/>
      <w:r>
        <w:rPr>
          <w:rFonts w:ascii="Times New Roman" w:hAnsi="Times New Roman"/>
          <w:sz w:val="30"/>
        </w:rPr>
        <w:lastRenderedPageBreak/>
        <w:t>十五、基金的费用与税收</w:t>
      </w:r>
      <w:bookmarkEnd w:id="18"/>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（一）基金费用的种类</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4、《基金合同》生效后与基金相关的会计师费、律师费、仲裁费和诉讼费；</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6、基金的证券、基金交易费用；</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9、从A类基金份额的基金财产中计提的基金上市费用；</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10、从C类基金份额的基金财产中计提的销售服务费；</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11、本基金投资其他基金产生的其他基金的销售费用（如申购费、赎回费、销售服务费等），但法律法规禁止从基金财产中列支的除外；</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12、因投资港股通标的股票而产生的各项合理费用；</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13、按照国家有关规定和《基金合同》约定，可以在基金财产中列支的其他费用。</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（二）基金费用计提方法、计提标准和支付方式</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财产中持有的基金管理人自身管理的基金部分不收取管理费。本基金的管理费按前一日基金资产净值扣除基金财产中持有的基金管理人自身管理的基金部分所对应资产后剩余部分的1%年费率计提。管理费的计算方法如下：</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H＝E×1%÷当年天数</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E为前一日的基金资产净值扣除基金财产中持有的基金管理人自身管理的基金部分所对应资产后剩余部分，若为负数，则E取0。</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基金管理费每日计提，按月支付，经管理人授权后，由基金托管人根据与基金管理人核对一致的财务数据，自动在月初5个工作日内、按照指定的账户路径进行</w:t>
      </w:r>
      <w:r>
        <w:rPr>
          <w:rFonts w:ascii="宋体" w:hAnsi="宋体"/>
          <w:sz w:val="24"/>
        </w:rPr>
        <w:lastRenderedPageBreak/>
        <w:t>资金支付，基金管理人无需再出具资金划拨指令。若遇法定节假日、休息日等，支付日期顺延。</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财产中持有的基金托管人自身托管的基金部分不收取托管费。本基金的托管费按前一日基金资产净值扣除基金财产中持有的基金托管人自身托管的基金部分所对应资产后剩余部分的0.2%的年费率计提。托管费的计算方法如下：</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H＝E×0.2%÷当年天数</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E为前一日的基金资产净值扣除基金财产中持有的基金托管人自身托管的基金部分所对应资产后剩余部分，若为负数，则E取0。</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按月支付，经管理人授权后，由基金托管人根据与基金管理人核对一致的财务数据，自动在月初5个工作日内、按照指定的账户路径进行资金支付，基金管理人无需再出具资金划拨指令。若遇法定节假日、休息日等，支付日期顺延。</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（3）C类基金份额的销售服务费</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本基金A类基金份额不收取销售服务费，C类基金份额的销售服务费按前一日C类基金资产净值的0.6%年费率计提。计算方法如下：</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H＝E×0.6%÷当年天数</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E为C类基金份额前一日基金资产净值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每日计提，按月支付，经管理人授权后，由基金托管人根据与基金管理人核对一致的财务数据，自动在月初5个工作日内、按照指定的账户路径进行资金支付，基金管理人无需再出具资金划拨指令。若遇法定节假日、休息日等，支付日期顺延。</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C类基金份额的销售服务费将专门用于本基金的推广、销售与基金份额持有人服务。</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（4）上述“（一）基金费用的种类”中第3－9、11-13项费用，根据有关法规及相应协议规定，按费用实际支出金额列入当期费用，由基金托管人从基金财产中支付。</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（5）基金管理人运用本基金的基金财产申购自身管理的基金的（ETF除外），</w:t>
      </w:r>
      <w:r>
        <w:rPr>
          <w:rFonts w:ascii="宋体" w:hAnsi="宋体"/>
          <w:sz w:val="24"/>
        </w:rPr>
        <w:lastRenderedPageBreak/>
        <w:t>应当通过直销渠道申购且不得收取申购费、赎回费（按照相关法规、基金招募说明书约定应当收取，并计入基金财产的赎回费用除外）、销售服务费（如有）等销售费用。</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（三）不列入基金费用的项目</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（四）实施侧袋机制期间的基金费用</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（五）基金税收</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基金财产投资的相关税收，由基金份额持有人承担，基金管理人或者其他扣缴义务人按照国家有关税收征收的规定代扣代缴。</w:t>
      </w:r>
    </w:p>
    <w:p w:rsidR="00B439CC" w:rsidRDefault="00DB33E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A47C9" w:rsidRDefault="00DB33E2">
      <w:pPr>
        <w:pStyle w:val="1"/>
        <w:snapToGrid w:val="0"/>
        <w:spacing w:beforeLines="0" w:before="240" w:after="240"/>
        <w:rPr>
          <w:rFonts w:ascii="宋体" w:hAnsi="宋体"/>
          <w:szCs w:val="30"/>
        </w:rPr>
      </w:pPr>
      <w:bookmarkStart w:id="19" w:name="_Toc235443140"/>
      <w:r>
        <w:rPr>
          <w:rFonts w:ascii="Times New Roman" w:hAnsi="Times New Roman"/>
          <w:sz w:val="30"/>
        </w:rPr>
        <w:lastRenderedPageBreak/>
        <w:t>十六、基金的会计与审计</w:t>
      </w:r>
      <w:bookmarkEnd w:id="19"/>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（一）基金会计政策</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2、基金的会计年度为公历年度的1月1日至12月31日；基金首次募集的会计年度按如下原则：如果《基金合同》生效少于2个月，可以并入下一个会计年度披露；</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（二）基金的年度审计</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1、基金管理人聘请与基金管理人、基金托管人相互独立的符合《中华人民共和国证券法》规定的会计师事务所及其注册会计师对本基金的年度财务报表进行审计。</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3、基金管理人认为有充足理由更换会计师事务所，须通报基金托管人。更换会计师事务所需依照《信息披露办法》的有关规定在规定媒介公告。</w:t>
      </w:r>
    </w:p>
    <w:p w:rsidR="00B439CC" w:rsidRDefault="00DB33E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A47C9" w:rsidRDefault="00DB33E2">
      <w:pPr>
        <w:pStyle w:val="1"/>
        <w:snapToGrid w:val="0"/>
        <w:spacing w:beforeLines="0" w:before="240" w:after="240"/>
        <w:rPr>
          <w:rFonts w:ascii="宋体" w:hAnsi="宋体"/>
          <w:szCs w:val="30"/>
        </w:rPr>
      </w:pPr>
      <w:bookmarkStart w:id="20" w:name="_Toc235443141"/>
      <w:r>
        <w:rPr>
          <w:rFonts w:ascii="Times New Roman" w:hAnsi="Times New Roman"/>
          <w:sz w:val="30"/>
        </w:rPr>
        <w:lastRenderedPageBreak/>
        <w:t>十七、基金的信息披露</w:t>
      </w:r>
      <w:bookmarkEnd w:id="20"/>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w:t>
      </w:r>
      <w:r w:rsidRPr="00BB248E">
        <w:rPr>
          <w:rFonts w:ascii="宋体" w:hAnsi="宋体" w:hint="eastAsia"/>
          <w:kern w:val="0"/>
          <w:sz w:val="24"/>
        </w:rPr>
        <w:t>本基金的信息披露应符合《基金法》、《运作办法》、《信息披露办法》、《流动性风险管理规定》、《基金合同》及其他有关规定。</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（二）信息披露义务人</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符合中国证监会规定条件的全国性报刊（以下简称“规定报刊”）及《信息披露办法》规定的互联网网站（以下简称“规定网站”）等媒介披露，并保证基金投资者能够按照《基金合同》约定的时间和方式查阅或者复制公开披露的信息资料。</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（三）本基金信息披露义务人承诺公开披露的基金信息，不得有下列行为：</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w:t>
      </w:r>
      <w:r w:rsidRPr="00BB248E">
        <w:rPr>
          <w:rFonts w:ascii="宋体" w:hAnsi="宋体" w:hint="eastAsia"/>
          <w:kern w:val="0"/>
          <w:sz w:val="24"/>
        </w:rPr>
        <w:t>本基金公开披露的信息应采用中文文本。如同时采用外文文本的，基金信息披露义务人应保证不同文本的内容一致。不同文本之间发生歧义的，以中文文本为准。</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（五）公开披露的基金信息</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（1）《基金合同》是界定《基金合同》当事人的各项权利、义务关系，明确基金份额持有人大会召开的规则及具体程序，说明基金产品的特性等涉及基金投资者重大利益的事项的法律文件。</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三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网站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基金管理人应当就基金份额发售的具体事宜编制基金份额发售公告，并在披露招募说明书的当日登载于规定媒介上。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基金管理人应当在收到中国证监会确认文件的次日在规定媒介上登载《基金合同》生效公告。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4、上市交易公告书</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基金份额获准在证券交易所上市交易的，基金管理人应当在基金份额上市交易的三个工作日前，将基金份额上市交易公告书登载在规定网站上，并将上市交易公告书提示性公告登载在规定报刊上。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5、基金净值信息</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《基金合同》生效后，在A类基金份额上市交易或开始办理基金份额申购或者赎回前，基金管理人应当至少每周在规定网站披露一次A类基金份额和C类基金份额所对应的基金份额净值和基金份额累计净值。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A类基金份额上市交易或开始办理基金份额申购或者赎回后，基金管理人应当在不晚于每个开放日后的2个工作日内，通过规定网站、基金销售机构网站或者营业网点，分别披露开放日的A类基金份额和C类基金份额所对应的基金份额净值和基金份额累计净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基金管理人应当在不晚于半年度和年度最后一日后的2个工作日内，在规定网站披露半年度和年度最后一日A类基金份额和C类基金份额所对应的基金份额净值和基金份额累计净值。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6、基金份额申购、赎回价格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7、基金定期报告，包括基金年度报告、基金中期报告和基金季度报告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规定网站上，并将年度报告提示性公告登载在规定报刊上。基金年度报告中的财务会计报告应当经过符合《中华人民共和国证券法》规定的会计师事务所审计。</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基金管理人应当在上半年结束之日起两个月内，编制完成基金中期报告，将中期报告登载在规定网站上，并将中期报告提示性公告登载在规定报刊上。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基金管理人应当在季度结束之日起15个工作日内，编制完成基金季度报告，将季度报告登载在规定网站上，并将季度报告提示性公告登载在规定报刊上。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w:t>
      </w:r>
      <w:r>
        <w:rPr>
          <w:rFonts w:ascii="宋体" w:hAnsi="宋体"/>
          <w:sz w:val="24"/>
        </w:rPr>
        <w:lastRenderedPageBreak/>
        <w:t>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8、临时报告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本基金发生重大事件，有关信息披露义务人应当在2日内编制临时报告书，并登载在规定报刊和规定网站上。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（15）管理费、托管费、销售服务费、申购费、赎回费等费用计提标准、计提方式和费率发生变更；</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（16）任一类基金份额净值计价错误达该类基金份额净值百分之零点五；</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（21）基金管理人采用摆动定价机制进行估值；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（22）本基金A类基金份额停复牌或终止上市；</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（23）本基金封闭期结束转为开放式运作后，发生涉及基金申购、赎回事项调整或潜在影响投资者赎回等重大事项时；</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（24）本基金增加或调整基金份额类别；</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（25）本基金推出新业务或服务；</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（26）《基金合同》生效后，连续30个工作日、40个工作日、45个工作日出现基金份额持有人数量不满200人或者基金资产净值低于5000万元情形的，基金管理人应当发布提示性公告；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（27）基金信息披露义务人认为可能对基金份额持有人权益或者基金份额的价格产生重大影响的其他事项或中国证监会规定的其他事项。</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9、澄清公告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及基金上市交易的证券交易所。</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10、基金份额持有人大会决议</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w:t>
      </w:r>
      <w:r>
        <w:rPr>
          <w:rFonts w:ascii="宋体" w:hAnsi="宋体"/>
          <w:sz w:val="24"/>
        </w:rPr>
        <w:lastRenderedPageBreak/>
        <w:t>对基金份额持有人大会决定的事项不依法履行信息披露义务的，召集人应当履行相关信息披露义务。</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11、实施侧袋机制期间的信息披露</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12、清算报告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小组对基金财产进行清算并作出清算报告。清算报告应当经过符合《中华人民共和国证券法》规定的会计师事务所审计，并由律师事务所出具法律意见书。清算小组应当将清算报告登载在规定网站上，并将清算报告提示性公告登载在规定报刊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13、基金投资资产支持证券情况</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14、基金投资证券投资基金情况</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定期报告和招募说明书（更新）中应设立专门章节披露所持基金的相关情况并揭示相关风险：（1）投资策略、持仓情况、损益情况、净值披露时间等；（2）交易及持有基金产生的费用，包括申购费、赎回费、销售服务费、管理费、托管费等，在招募说明书（更新）中列明计算方法并举例说明；（3）持有的基金发生的重大影响事件，如转换运作方式、与其他基金合并、终止基金合同以及召开基金份额持有人大会等；（4）本基金投资于基金管理人以及基金管理人关联方所管理基金的情况。</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15、基金投资港股通标的股票情况</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基金应当在季度报告、中期报告、年度报告等定期报告和招募说明书（更新）等文件中披露港股通标的股票的投资情况。法律法规或中国证监会另有规定的，从其规定。</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16、参与所持有基金的份额持有人大会表决意见的信息披露</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基金管理人代表份额持有人的利益参与所持有基金的份额持有人大会，需将表</w:t>
      </w:r>
      <w:r>
        <w:rPr>
          <w:rFonts w:ascii="宋体" w:hAnsi="宋体"/>
          <w:sz w:val="24"/>
        </w:rPr>
        <w:lastRenderedPageBreak/>
        <w:t>决意见事先征求基金托管人的意见，并将表决意见在定期报告中予以披露。</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17、中国证监会规定的其他信息。</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（六）信息披露事务管理</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基金信息披露义务人公开披露基金信息，应当符合中国证监会相关基金信息披露内容与格式准则等法律法规规定。</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基金份额净值、基金份额申购赎回价格、基金定期报告、更新的招募说明书、基金产品资料概要、基金清算报告等相关基金信息进行复核、审查，并向基金管理人进行书面或电子确认。</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基金管理人、基金托管人应当在规定报刊中选择一家报刊披露本基金信息。基金管理人、基金托管人应当向中国证监会基金电子披露网站报送拟披露的基金信息，并保证相关报送信息的真实、准确、完整、及时。</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规定媒介上披露信息外，还可以根据需要在其他公共媒介披露信息，但是其他公共媒介不得早于规定媒介和基金上市交易的证券交易所网站披露信息，并且在不同媒介上披露同一信息的内容应当一致。</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（七）信息披露文件的存放与查阅</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依法必须披露的信息发布后，基金管理人、基金托管人应当按照相关法律法规规定将信息置备于各自办公场所和基金上市交易的证券交易所网站，供社会公众查阅、复制。</w:t>
      </w:r>
    </w:p>
    <w:p w:rsidR="00B439CC" w:rsidRDefault="00DB33E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A47C9" w:rsidRDefault="00DB33E2">
      <w:pPr>
        <w:pStyle w:val="1"/>
        <w:snapToGrid w:val="0"/>
        <w:spacing w:beforeLines="0" w:before="240" w:after="240"/>
        <w:rPr>
          <w:rFonts w:ascii="宋体" w:hAnsi="宋体"/>
          <w:szCs w:val="30"/>
        </w:rPr>
      </w:pPr>
      <w:bookmarkStart w:id="21" w:name="_Toc235443142"/>
      <w:r>
        <w:rPr>
          <w:rFonts w:ascii="Times New Roman" w:hAnsi="Times New Roman"/>
          <w:sz w:val="30"/>
        </w:rPr>
        <w:lastRenderedPageBreak/>
        <w:t>十八、侧袋机制</w:t>
      </w:r>
      <w:bookmarkEnd w:id="21"/>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（一）侧袋机制的实施条件</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（二）实施侧袋机制期间基金份额的申购与赎回</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工作日主袋账户总份额的10%认定。</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（三）实施侧袋机制期间的基金投资</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（四）实施侧袋机制期间的基金估值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（五）实施侧袋账户期间的基金费用</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1、本基金实施侧袋机制的，管理费和托管费按主袋账户基金资产净值作为基数计提。</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（六）侧袋账户中特定资产的处置变现和支付</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（七）侧袋机制的信息披露</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rsidR="00B439CC" w:rsidRDefault="00DB33E2"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5A47C9" w:rsidRDefault="00DB33E2">
      <w:pPr>
        <w:pStyle w:val="1"/>
        <w:snapToGrid w:val="0"/>
        <w:spacing w:beforeLines="0" w:before="240" w:after="240"/>
        <w:rPr>
          <w:rFonts w:ascii="宋体" w:hAnsi="宋体"/>
          <w:szCs w:val="30"/>
        </w:rPr>
      </w:pPr>
      <w:bookmarkStart w:id="22" w:name="_Toc235443143"/>
      <w:r>
        <w:rPr>
          <w:rFonts w:ascii="Times New Roman" w:hAnsi="Times New Roman"/>
          <w:sz w:val="30"/>
        </w:rPr>
        <w:lastRenderedPageBreak/>
        <w:t>十九、风险揭示</w:t>
      </w:r>
      <w:bookmarkEnd w:id="22"/>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本基金封闭期结束转为开放式运作后，在单个开放日基金的净赎回申请（赎回申请份额总数加上基金转换中转出申请份额总数后扣除申购申请份额总数及基金转换中转入申请份额总数后的余额）超过上一工作日基金总份额的百分之十时，投资人将可能无法及时赎回持有的全部基金份额。</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型基金、混合型基金、债券型基金、货币市场基金、基金中基金等不同类型，基金中基金进一步分为股票型基金中基金、混合型基金中基金、债券型基金中基金、货币型基金中基金等不同类型，投资人投资不同类型的基金将获得不同的收益预期，也将承担不同程度的风险。一般来说，基金的收益预期越高，投资人承担的风险也越大。</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分红等行为导致基金份额净值变化，不会改变基金的风险收益特征，不会降低基金投资风险或提高基金投资收益。以1元初始面值开展基金募集或因拆分、分红等行为导致基金份额净值调整至1元初始面值或1元附近，在市场波动等因素的影响下，基金投资仍有可能出现亏损或基金净值仍有可能低于初始面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基金管理人承诺以诚实信用、谨慎勤勉的原则管理和运用基金资产，但不保证投资于本基金一定盈利，也不保证最低收益。基金管理人管理的其他基金的业绩不</w:t>
      </w:r>
      <w:r>
        <w:rPr>
          <w:rFonts w:ascii="宋体" w:hAnsi="宋体"/>
          <w:sz w:val="24"/>
        </w:rPr>
        <w:lastRenderedPageBreak/>
        <w:t>构成对本基金业绩表现的保证。基金管理人提醒投资人基金投资的“买者自负”原则，在做出投资决策后，基金运营状况与基金净值变化引致的投资风险，由投资人自行负担。</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（一）市场风险</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（二）管理风险</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（三）流动性风险</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因市场交易量不足，导致证券不能迅速、低成本地转变为现金的风险。流动性</w:t>
      </w:r>
      <w:r>
        <w:rPr>
          <w:rFonts w:ascii="宋体" w:hAnsi="宋体"/>
          <w:sz w:val="24"/>
        </w:rPr>
        <w:lastRenderedPageBreak/>
        <w:t>风险还包括由于本基金封闭期结束转为开放式运作后出现投资者大额或巨额赎回，致使本基金没有足够的现金应付基金赎回支付的要求所导致的风险和本基金在封闭期内无法赎回的风险，但本基金A类基金份额上市交易后，可通过二级市场进行份额转让。</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本基金合同生效后，前一年封闭运作，在封闭期内，本基金不办理申购、赎回业务，但投资人可在本基金A类基金份额上市交易后通过上海证券交易所转让A类基金份额。</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封闭期结束转为开放式运作后，投资人方可进行A类/C类基金份额的申购与赎回。投资人在开放日办理基金份额的申购和赎回，具体办理时间为上海证券交易所、深圳证券交易所的正常交易日的交易时间（若该工作日为非港股通交易日，则本基金可不开放），但基金管理人根据法律法规、中国证监会、行业监管及证券交易所的要求或基金合同的规定公告暂停申购、赎回时除外。</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在确定申购开始与赎回开始时间后，基金管理人应在申购、赎回开放日前依照《信息披露办法》的有关规定在规定媒介上公告申购与赎回的开始时间。</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基金中基金，投资于公开募集证券投资基金的基金份额的资产不低于基金资产的80%，主要投资对象为具有良好流动性的金融工具，同时本基金基于分散投资的原则在行业和个券方面未有高集中度的特征，综合评估在正常市场环境下本基金的流动性风险适中。</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封闭期结束转为开放式运作后，在基金单个开放日内的基金份额净赎回申请（赎回申请份额总数加上基金转换中转出申请份额总数后扣除申购申请份额总数及基金转换中转入申请份额总数后的余额）超过前一工作日的基金总份额的10%，即认为是发生了巨额赎回。</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（1）巨额赎回的场外处理方式</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部分延期赎回：当基金管理人认为支付投资人的赎回申请有困难或认为因支付投资人的赎回申请而进行的财产变现可能会对基金资产净值造成较大波动时，基金管理人在当日接受赎回比例不低于上一工作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如投资人在提交赎回申请时未作明确选择，投资人未能赎回部分作自动延期赎回处理。</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3）本基金如发生巨额赎回且单个开放日内单个基金份额持有人申请赎回的基金份额超过前一工作日的基金总份额的20%时，本基金管理人有权采取如下措施：</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（2）巨额赎回的场内处理方式</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巨额赎回业务的场内处理，按照上海证券交易所及中国证券登记结算有限责任公司的有关规定办理。</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本基金在面临大规模赎回的情况下有可能因为无法变现造成流动性风险。</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摆动定价、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（四）信用风险</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基金在交易过程中发生交收违约，或者基金所投资债券之发行人出现违约、拒绝支付到期本息，都可能导致基金资产损失和收益变化，从而产生风险。</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（五）本基金的特有风险</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1、基金上市交易的风险</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本基金A类基金份额在符合相关法律法规要求的前提下将申请在上海证券交易</w:t>
      </w:r>
      <w:r>
        <w:rPr>
          <w:rFonts w:ascii="宋体" w:hAnsi="宋体"/>
          <w:sz w:val="24"/>
        </w:rPr>
        <w:lastRenderedPageBreak/>
        <w:t>所挂牌上市，由于上市期间可能因信息披露导致基金停牌，投资者在停牌期间不能买卖本基金上市交易份额，产生风险；同时，可能因上市后交易对手不足而产生流动性风险。</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2、基金份额二级市场交易价格折溢价的风险</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尽管本基金将通过有效的套利机制使A类基金份额二级市场交易价格的折溢价控制在一定范围内，但A类基金份额在证券交易所的交易价格受诸多因素影响，存在不同于A类基金份额净值的情形，即存在价格折溢价的风险。</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因本基金A类基金份额不再符合证券交易所上市条件被终止上市，或被基金份额持有人大会决议提前终止上市，导致A类基金份额不能继续进行二级市场交易的风险。</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一年之内（含一年）为封闭期，在此期间投资者不能申购、赎回基金份额，但可在A类基金份额上市交易后通过上海证券交易所转让A类基金份额。本基金封闭期结束转为开放式运作后，投资人方可进行A类/C类基金份额的申购与赎回。投资者将面临封闭期内无法赎回基金份额的风险。</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为混合型基金中基金，本基金投资于经中国证监会依法核准或注册的公开募集证券投资基金的基金份额的资产不低于本基金资产的80%；本基金封闭期结束转为开放式运作后，投资于股票（含存托凭证）、股票型基金（包括股票指数基金）和混合型基金的资产合计占基金资产的比例为60%-95%（其中投资于港股通标的股票的比例占股票资产的0%-50%）；封闭期内，投资于股票（含存托凭证）、股票型基金（包括股票指数基金）和混合型基金的资产合计占基金资产的比例为60%-100%（其中投资于港股通标的股票的比例占股票资产的0%-50%）；本基金封闭期结束转为开放式运作的前后各一个月内，基金投资不受前述下限比例限制。因此本基金所持有的基金的业绩表现、持有基金的基金管理人水平等因素将影响到本基金的基金业绩表现。</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为基金中基金，由于本基金所持有的相当比例的基金暂停估值，导致基金管理人无法计算当日本基金资产净值；或者由于本基金持有的相当比例的基金份额或适合本基金投资的基金份额拒绝或暂停申购、暂停上市或二级市场交易停牌、基金管理人无法找到其他合适的可替代的基金品种，或其他可能对本基金业绩产生负面影响的情形，本基金可能拒绝或暂停申购业务。</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本基金为基金中基金，由于本基金所持有的相当比例的基金暂停估值，导致基金管理人无法计算当日本基金资产净值；或者由于本基金持有的相当比例的基金份额拒绝或暂停赎回、暂停上市或二级市场交易停牌、延期办理赎回、延期支付赎回款项，或其他可能对本基金业绩产生负面影响的情形，本基金可能暂停赎回或延缓支付赎回款项。</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为基金中基金，本基金管理人运用本基金的基金财产申购自身管理的基金的（ETF除外），应当通过直销渠道申购且不得收取申购费、赎回费（按照相关法规、基金招募说明书约定应当收取，并计入基金财产的赎回费用除外）、销售服务费（如有）等销售费用。但如果本基金管理人运用本基金的基金财产申购非自身管理的基金的，将会承担本基金以及本基金所投资或持有基金份额的相关费用，本基金对上述费用的支付将对收益水平造成影响。</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为基金中基金，本基金可能投资于封闭运作基金、定期开放基金等流通受限基金。本基金投资流动受限基金将面临所投资基金的流动性风险，因此可能在本基金需要变现资产时，受流动性所限，本基金无法卖出所持有的流通受限基金，由此可能给基金净值带来不利影响或损失。</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10、本基金可投资创业板股票，创业板个股上市后的前五个交易日不设价格涨跌幅限制，第六个交易日开始涨跌幅限制比例为20%。</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（六）投资资产支持证券的特定风险</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（七）投资流通受限证券的特定风险</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（八）基金合同提前终止风险</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连续50个工作日出现基金份额持有人数量不满200人或基金资产净值低于5000万元情形时，基金合同终止，不需召开基金份额持有人大会。</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（九）投资港股通标的股票的特定风险</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本基金可投资港股通标的股票，会面临港股通机制下因投资环境、投资标的、市场制度以及交易规则等差异带来的特有风险，具体如下：</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（1）港股交易失败风险</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港股通业务目前存在每日额度。在香港联合交易所开市前阶段，当日额度使用完毕的，新增的买单申报将面临失败的风险；在香港联合交易所持续交易时段，当日额度使用完毕的，当日本基金将面临不能通过港股通进行买入交易的风险。</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（2）汇率风险</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投资港股通标的股票，在交易时间内提交订单依据的港币买入参考汇率和卖出参考汇率，并不等于最终结算汇率。港股通交易日日终，中国证券登记结算有限责任公司进行净额换汇，将换汇成本按成交金额分摊至每笔交易，确定交易实际适用的结算汇率。</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以人民币募集和计价，港币相对于人民币的汇率变化将会影响本基金以人民币计价的基金资产价值，从而导致基金资产面临潜在风险。人民币对港币的汇率的波动也可能加大基金净值的波动，从而对基金业绩产生影响。故本基金投资面临汇率风险，汇率波动可能对基金的投资收益造成损失。</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（3）境外市场的风险</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将通过港股通投资于香港市场，在市场进入、投资额度、可投资对象、税务政策等方面都有一定的限制，而且此类限制可能会不断调整，这些限制因素的变化可能对本基金进入或退出当地市场造成障碍，从而对投资收益以及正常的申购赎回产生直接或间接的影响。</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2）香港市场交易规则有别于内地A股市场规则，此外，在“内地与香港股票市场交易互联互通机制”下参与香港股票投资还将面临包括但不限于如下特殊风险：</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a）香港市场实行T+0回转交易机制（即当日买入的股票，在交收前可以于当日卖出），且证券交易价格并无涨跌幅上下限的规定，因此每日涨跌幅空间相对较大，可能表现出比A股更为剧烈的股价波动；</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只有沪港深三地均为交易日且能够满足结算安排的交易日才为港股通交易日，存在港股通交易日不连贯的情形（如内地市场因放假等原因休市而香港市场照常交易或内地市场开市香港市场休市但港股通不能如常进行交易），而导致港股不能及时卖出带来一定的流动性风险；以及基金所持的港股组合在后续港股通交易日</w:t>
      </w:r>
      <w:r>
        <w:rPr>
          <w:rFonts w:ascii="宋体" w:hAnsi="宋体"/>
          <w:sz w:val="24"/>
        </w:rPr>
        <w:lastRenderedPageBreak/>
        <w:t>开市交易中集中体现市场反应而造成其价格波动骤然增大，进而导致本基金所持港股组合在资产估值上出现波动增大的风险；</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出现香港联合交易所规定的其他情形时，香港联合交易所将可能停市，投资者将面临在停市期间无法进行港股通交易的风险；出现上海证券交易所及深圳证券交易所证券交易服务公司认定的交易异常情况时，上海证券交易所及深圳证券交易所证券交易服务公司将可能暂停提供部分或者全部港股通服务，投资者将面临在暂停服务期间无法进行港股通交易的风险；</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投资者因港股通股票权益分派、转换、上市公司被收购等情形或者异常情况，所取得的港股通股票以外的香港联合交易所上市证券，只能通过港股通卖出，但不得买入，上海证券交易所及深圳证券交易所另有规定的除外；因港股通股票发行人供股、港股通股票权益分派或者转换等情形取得的香港联合交易所上市股票的认购权利凭证在香港联合交易所上市的，可以通过港股通卖出，但不得买入，其行权等事宜按照中国证监会、中国证券登记结算有限责任公司的相关规定处理；因港股通股票权益分派、转换或者上市公司被收购等所取得的非香港联合交易所上市证券，不得通过港股通买入或卖出；</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代理投票。由于中国证券登记结算有限责任公司是在汇总投资者意愿后再向香港中央结算有限公司提交投票意愿，中国证券登记结算有限责任公司对投资者设定的意愿征集期比香港中央结算有限公司的征集期稍早结束；投票没有权益登记日的，以投票截止日的持有作为计算基准；投票数量超出持有数量的，按照比例分配持有基数。</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（4）本基金可根据投资策略需要或不同配置地市场环境的变化，选择将部分基金资产投资于港股或选择不将基金资产投资于港股，基金资产并非必然投资港股。</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以上所述因素可能会给本基金投资带来特殊交易风险。</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（十）投资科创板股票的特定风险</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（1）市场风险</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科创板个股上市前五日无涨跌停限制，第六日开始涨跌幅限制在正负20%以内，个股波动幅度较其他股票加大，市场风险随之上升。</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整体投资门槛较高，个人投资者必须满足交易满两年并且资金在50万以上才可参与，二级市场上个人投资者参与度相对较低，机构持有个股大量流通盘导致个股流动性较差，基金组合存在无法及时变现及其他相关流动性风险。</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退市时间更短，退市速度更快；退市情形更多，新增市值低于规定标准、上市公司信息披露或者规范运作存在重大缺陷导致退市的情形；执行标准更严，明显丧失持续经营能力，仅依赖与主业无关的贸易或者不具备商业实质的关联交易维持收入的上市公司可能会被退市；且不再设置暂停上市、恢复上市和重新上市环节，上市公司退市风险更大。</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（4）系统性风险</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（5）政策风险</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（十一）投资存托凭证的特定风险</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w:t>
      </w:r>
      <w:r>
        <w:rPr>
          <w:rFonts w:ascii="宋体" w:hAnsi="宋体"/>
          <w:sz w:val="24"/>
        </w:rPr>
        <w:lastRenderedPageBreak/>
        <w:t>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（十二）本基金法律文件风险收益特征表述与销售机构基金风险评价可能不一致的风险</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（十三）其他风险</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DB33E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A47C9" w:rsidRDefault="00DB33E2">
      <w:pPr>
        <w:pStyle w:val="1"/>
        <w:snapToGrid w:val="0"/>
        <w:spacing w:beforeLines="0" w:before="240" w:after="240"/>
        <w:rPr>
          <w:rFonts w:ascii="宋体" w:hAnsi="宋体"/>
          <w:szCs w:val="30"/>
        </w:rPr>
      </w:pPr>
      <w:bookmarkStart w:id="23" w:name="_Toc235443144"/>
      <w:r>
        <w:rPr>
          <w:rFonts w:ascii="Times New Roman" w:hAnsi="Times New Roman"/>
          <w:sz w:val="30"/>
        </w:rPr>
        <w:lastRenderedPageBreak/>
        <w:t>二十、基金合同的变更、终止与基金财产的清算</w:t>
      </w:r>
      <w:bookmarkEnd w:id="23"/>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（一）《基金合同》的变更</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（二）《基金合同》的终止事由</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3、连续50个工作日出现基金份额持有人数量不满200人或者基金资产净值低于5000万元情形的，基金合同终止，不需召开基金份额持有人大会；</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（三）基金财产的清算</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（3）对基金财产进行估值和变现；</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（四）清算费用</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（五）基金财产清算剩余资产的分配</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（六）基金财产清算的公告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（七）基金财产清算账册及文件的保存</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B439CC" w:rsidRDefault="00DB33E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A47C9" w:rsidRDefault="00DB33E2">
      <w:pPr>
        <w:pStyle w:val="1"/>
        <w:snapToGrid w:val="0"/>
        <w:spacing w:beforeLines="0" w:before="240" w:after="240"/>
        <w:rPr>
          <w:rFonts w:ascii="宋体" w:hAnsi="宋体"/>
          <w:szCs w:val="30"/>
        </w:rPr>
      </w:pPr>
      <w:bookmarkStart w:id="24" w:name="_Toc235443145"/>
      <w:r>
        <w:rPr>
          <w:rFonts w:ascii="Times New Roman" w:hAnsi="Times New Roman"/>
          <w:sz w:val="30"/>
        </w:rPr>
        <w:lastRenderedPageBreak/>
        <w:t>二十一、基金合同内容摘要</w:t>
      </w:r>
      <w:bookmarkEnd w:id="24"/>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（一）基金份额持有人、基金管理人和基金托管人的权利与义务</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（1）根据《基金法》、《运作办法》及其他有关规定，基金管理人的权利包括但不限于：</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12）依照法律法规为基金的利益对被投资公司行使股东权利，为基金的利益行使因基金财产投资所产生的权利；</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15）选择、更换律师事务所、会计师事务所、证券经纪商或其他为基金提供服务的外部机构；</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16）在符合有关法律、法规的前提下，制定和调整有关基金认购、申购、赎</w:t>
      </w:r>
      <w:r>
        <w:rPr>
          <w:rFonts w:ascii="宋体" w:hAnsi="宋体"/>
          <w:sz w:val="24"/>
        </w:rPr>
        <w:lastRenderedPageBreak/>
        <w:t>回、转换等的业务规则；</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17）以基金管理人的名义，参与本基金持有的基金所召开的基金份额持有人大会；</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18）法律法规及中国证监会规定的和《基金合同》约定的其他权利。</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（2）根据《基金法》、《运作办法》及其他有关规定，基金管理人的义务包括但不限于：</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5）建立健全内部风险控制、监察与稽核、财务管理及人事管理等制度，保证所管理的基金财产和基金管理人的财产相互独立，对所管理的不同基金分别管理，分别记账，进行证券、基金投资；</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w:t>
      </w:r>
      <w:r>
        <w:rPr>
          <w:rFonts w:ascii="宋体" w:hAnsi="宋体"/>
          <w:sz w:val="24"/>
        </w:rPr>
        <w:lastRenderedPageBreak/>
        <w:t>配基金收益；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14）按规定受理申购与赎回申请，及时、足额支付赎回款项；</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16）按规定保存基金财产管理业务活动的会计账册、报表、记录和其他相关资料不低于法律法规规定的最低期限；</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（1）根据《基金法》、《运作办法》及其他有关规定，基金托管人的权利包括</w:t>
      </w:r>
      <w:r>
        <w:rPr>
          <w:rFonts w:ascii="宋体" w:hAnsi="宋体"/>
          <w:sz w:val="24"/>
        </w:rPr>
        <w:lastRenderedPageBreak/>
        <w:t>但不限于：</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1）自《基金合同》生效之日起，依法律法规和《基金合同》的规定安全保管基金财产；</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4）根据相关市场规则，为基金开设资金账户、证券账户、证券投资基金账户等投资所需账户，为基金办理基金、证券交易资金清算；</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（2）根据《基金法》、《运作办法》及其他有关规定，基金托管人的义务包括但不限于：</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6）按规定开设基金财产的资金账户、证券账户、证券投资基金账户等投资所需账户，按照《基金合同》的约定，根据基金管理人的投资指令，及时办理清算、交割事宜；</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8）复核、审查基金管理人计算的基金资产净值、基金份额净值、基金份额申购、赎回价格；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11）保存基金托管业务活动的记录、账册、报表和其他相关资料不低于法律法规规定的最低期限；</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12）保存基金份额持有人名册；</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基金投资者持有本基金基金份额的行为即视为对《基金合同》的承认和接受，基金投资者自依据《基金合同》取得本基金基金份额，即成为本基金份额持有人和</w:t>
      </w:r>
      <w:r>
        <w:rPr>
          <w:rFonts w:ascii="宋体" w:hAnsi="宋体"/>
          <w:sz w:val="24"/>
        </w:rPr>
        <w:lastRenderedPageBreak/>
        <w:t>《基金合同》的当事人，直至其不再持有本基金的基金份额。基金份额持有人作为《基金合同》当事人并不以在《基金合同》上书面签章或签字为必要条件。</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同一类别每份基金份额具有同等的合法权益。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（1）根据《基金法》、《运作办法》及其他有关规定，基金份额持有人的权利包括但不限于：</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3）依法并按照基金合同和招募说明书的规定转让或者申请赎回其持有的基金份额；</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（2）根据《基金法》、《运作办法》及其他有关规定，基金份额持有人的义务包括但不限于：</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4）交纳基金认购、申购款项及法律法规和《基金合同》所规定的费用；</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9）遵守基金管理人、基金托管人、销售机构和登记机构的相关交易及业务规</w:t>
      </w:r>
      <w:r>
        <w:rPr>
          <w:rFonts w:ascii="宋体" w:hAnsi="宋体"/>
          <w:sz w:val="24"/>
        </w:rPr>
        <w:lastRenderedPageBreak/>
        <w:t>则；</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10）提供基金管理人和监管机构依法要求提供的信息，以及不时的更新和补充，并保证其真实性；</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（二）基金份额持有人大会召集、议事及表决的程序和规则</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本基金份额持有人大会不设日常机构。</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（1）当出现或需要决定下列事由之一的，应当召开基金份额持有人大会，法律法规、基金合同和中国证监会另有规定的除外：</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5）调整基金管理人、基金托管人的报酬标准或提高销售服务费率；</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11）终止基金份额上市，但因基金不再具备上市条件而被上海证券交易所终止上市的或基金合同另有约定的除外；</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12）单独或合计持有本基金总份额10%以上（含10%）基金份额的基金份额持有人（以基金管理人收到提议当日的基金份额计算，下同）就同一事项书面要求召开基金份额持有人大会；</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13）对基金合同当事人权利和义务产生重大影响的其他事项；</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14）法律法规、《基金合同》或中国证监会规定的其他应当召开基金份额持有人大会的事项。</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（2）在法律法规规定和《基金合同》约定的范围内且对基金份额持有人利益无实质性不利影响的前提下，以下情况可由基金管理人和基金托管人协商后修改，不需召开基金份额持有人大会：</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1）调低基金销售服务费率；</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2）法律法规要求增加的基金费用的收取；</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3）在法律法规和《基金合同》规定的范围内调整本基金的申购费率、调低赎回费率、在对现有基金份额持有人利益无实质性不利影响的前提下变更收费方式；</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4）因相应的法律法规、上海证券交易所或登记机构的相关业务规则发生变动而应当对《基金合同》进行修改；</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5）对《基金合同》的修改对基金份额持有人利益无实质性不利影响或修改不涉及《基金合同》当事人权利义务关系发生重大变化；</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6）在法律法规允许的情况下，且在对现有基金份额持有人利益无实质性不利影响的前提下，基金推出新业务或服务；</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7）在符合法律法规及本基金合同规定、并且对基金份额持有人利益无实质不利影响的前提下，调整本基金份额类别的设置；</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8）在不违反法律法规及对基金份额持有人利益无实质性不利影响的前提下，基金管理人、登记机构、销售机构调整有关基金认购、申购、赎回、转换、收益分配、非交易过户、转托管、上市交易等业务的规则；</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9）按照法律法规和《基金合同》规定不需召开基金份额持有人大会的其他情形。</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（3）基金合同生效后的存续期内，若连续50个工作日出现基金份额持有人数量不满200人或者基金资产净值低于5000万元情形，基金合同终止，不需召开基金份额持有人大会。</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w:t>
      </w:r>
      <w:r>
        <w:rPr>
          <w:rFonts w:ascii="宋体" w:hAnsi="宋体"/>
          <w:sz w:val="24"/>
        </w:rPr>
        <w:lastRenderedPageBreak/>
        <w:t>开；基金管理人决定不召集，基金托管人仍认为有必要召开的，应当由基金托管人自行召集，并自出具书面决定之日起60日内召开并告知基金管理人，基金管理人应当配合；</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（1）召开基金份额持有人大会，召集人应于会议召开前30日，在规定媒介公告。基金份额持有人大会通知应至少载明以下内容：</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采取通讯开会方式并进行表决的情况下，由会议召集人决定在会议通知中说明本次基金份额持有人大会所采取的具体通讯方式、委托的公证机关及其联系方式和联系人、表决意见寄交的截止时间和收取方式。</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基金份额持有人大会可通过现场开会方式、通讯开会方式或法律法规、监管机构允许的其他方式召开，会议的召开方式由会议召集人确定。</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（2）通讯开会。通讯开会系指基金份额持有人将其对表决事项的投票以会议通知载明的形式或基金合同约定的其他方式在表决截止日以前送达至召集人指定的地址或系统。</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1）会议召集人按《基金合同》约定公布会议通知后，在2个工作日内连续公布相关提示性公告；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基金份额持有人大会的召集人发出召集会议的通知后，对原有提案的修改应当在基金份额持有人大会召开前及时公告。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或代理人作为该次基金份额持有人大会的主持人。基金管理人和基金托管人拒不出席或主持基金份额持有人大会，不影响基金份额持有人大会作出的决议的效力。</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基金份额持有人大会采取记名方式进行投票表决。</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基金份额持有人大会的决议，召集人应当自通过之日起5日内报中国证监会备</w:t>
      </w:r>
      <w:r>
        <w:rPr>
          <w:rFonts w:ascii="宋体" w:hAnsi="宋体"/>
          <w:sz w:val="24"/>
        </w:rPr>
        <w:lastRenderedPageBreak/>
        <w:t>案。基金份额持有人大会的决议自表决通过之日起生效。法律法规另有规定的，从其规定。</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基金份额持有人大会决议自生效之日起依照《信息披露办法》的规定在规定媒介上公告。如果采用通讯方式进行表决，在公告基金份额持有人大会决议时，必须将公证书全文、公证机构、公证员姓名等一同公告。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的基金召开基金份额持有人大会时，本基金的基金管理人应当代表其份额持有人的利益，根据本基金合同的约定参与所持有基金的份额持有人大会，并在遵循本基金基金份额持有人利益优先原则的前提下行使相关投票权利。基金管理人需将表决意见事先征求基金托管人的意见，并将表决意见在定期报告中予以披露。</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法律法规对于本基金参与本基金持有的基金召开基金份额持有人大会的程序或要求另有规定的，从其规定。</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10、实施侧袋机制期间基金份额持有人大会的特殊约定</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（1）基金份额持有人行使提议权、召集权、提名权所需单独或合计代表相关基金份额10%以上（含10%）；</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w:t>
      </w:r>
      <w:r>
        <w:rPr>
          <w:rFonts w:ascii="宋体" w:hAnsi="宋体"/>
          <w:sz w:val="24"/>
        </w:rPr>
        <w:lastRenderedPageBreak/>
        <w:t>应当有代表三分之一以上（含三分之一）相关基金份额的持有人参与或授权他人参与基金份额持有人大会投票；</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（6）一般决议须经参加大会的基金份额持有人或其代理人所持表决权的二分之一以上（含二分之一）通过；</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同一主侧袋账户内的每份基金份额具有平等的表决权。</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部分对基金份额持有人大会召开事由、召开条件、议事程序、表决条件等规定，凡是直接引用法律法规的部分，如将来法律法规修改导致相关内容被取消或变更的，基金管理人经与基金托管人协商一致并提前公告后，可直接对本部分内容进行修改和调整，无需召开基金份额持有人大会审议。</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（三）基金合同解除和终止的事由、程序</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（3）连续50个工作日出现基金份额持有人数量不满200人或者基金资产净值低于5000万元情形的，基金合同终止，不需召开基金份额持有人大会；</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（5）相关法律法规和中国证监会规定的其他情况。</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w:t>
      </w:r>
      <w:r>
        <w:rPr>
          <w:rFonts w:ascii="宋体" w:hAnsi="宋体"/>
          <w:sz w:val="24"/>
        </w:rPr>
        <w:lastRenderedPageBreak/>
        <w:t>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（四）争议解决方式</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除非仲裁裁决另有规定，仲裁费由败诉方承担。</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《基金合同》受中国法律（不含港澳台地区法律）管辖。</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（五）基金合同存放及投资者取得基金合同的方式</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《基金合同》正本一式三份，除上报有关监管机构一份外，基金管理人、基金托管人各持有一份，每份具有同等的法律效力。</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w:t>
      </w:r>
    </w:p>
    <w:p w:rsidR="00B439CC" w:rsidRDefault="00DB33E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A47C9" w:rsidRDefault="00DB33E2">
      <w:pPr>
        <w:pStyle w:val="1"/>
        <w:snapToGrid w:val="0"/>
        <w:spacing w:beforeLines="0" w:before="240" w:after="240"/>
        <w:rPr>
          <w:rFonts w:ascii="宋体" w:hAnsi="宋体"/>
          <w:szCs w:val="30"/>
        </w:rPr>
      </w:pPr>
      <w:bookmarkStart w:id="25" w:name="_Toc235443146"/>
      <w:r>
        <w:rPr>
          <w:rFonts w:ascii="Times New Roman" w:hAnsi="Times New Roman"/>
          <w:sz w:val="30"/>
        </w:rPr>
        <w:lastRenderedPageBreak/>
        <w:t>二十二、托管协议的内容摘要</w:t>
      </w:r>
      <w:bookmarkEnd w:id="25"/>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（一）托管协议当事人</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成立日期：2005年8月4日</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批准设立机关及批准设立文号：中国证监会证监基金字[2005]128号</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名称：中国光大银行股份有限公司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住所：北京市西城区太平桥大街25号、甲25号中国光大中心</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邮政编码：100033</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法定代表人：李晓鹏</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成立日期：1992年6月18日</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批准设立机关和批准设立文号：国务院、国函[1992]7号</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注册资本：466.79095亿元人民币</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基金托管资格批文及文号：中国证监会证监基金字[2002]75号</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（二）基金托管人对基金管理人的业务监督和核查</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基金托管人根据有关法律法规的规定及基金合同的约定，对基金投资范围、投资比例进行监督。</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本基金的投资范围为具有良好流动性的金融工具，包括经中国证监会依法核准</w:t>
      </w:r>
      <w:r>
        <w:rPr>
          <w:rFonts w:ascii="宋体" w:hAnsi="宋体"/>
          <w:sz w:val="24"/>
        </w:rPr>
        <w:lastRenderedPageBreak/>
        <w:t>或注册的公开募集证券投资基金（含ETF和LOF、香港互认基金，不含QDII基金）、国内依法发行上市的股票（含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债券、次级债券、中期票据、短期融资券、超短期融资券等）、资产支持证券、货币市场工具、债券回购、同业存单、银行存款（含协议存款、定期存款及其他银行存款）以及法律法规或中国证监会允许基金投资的其他金融工具。</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管理人在首次投资港股通前，需通知托管人相关投资事宜。</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于经中国证监会依法核准或注册的公开募集证券投资基金的基金份额的资产不低于本基金资产的80%；本基金封闭期结束转为开放式运作后，投资于股票（含存托凭证）、股票型基金（包括股票指数基金）和混合型基金的资产合计占基金资产的比例为60%-95%（其中投资于港股通标的股票的比例占股票资产的0%-50%）；封闭期内，投资于股票（含存托凭证）、股票型基金（包括股票指数基金）和混合型基金的资产合计占基金资产的比例为60%-100%（其中投资于港股通标的股票的比例占股票资产的0%-50%）；本基金封闭期结束转为开放式运作的前后各一个月内，基金投资不受前述下限比例限制。</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封闭期结束转为开放式运作后，本基金持有的现金或者到期日在一年以内的政府债券的比例合计不低于基金资产净值的5%；在封闭期内，本基金不受前述5%的限制；其中现金不包括结算备付金、存出保证金、应收申购款等。</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2、基金托管人根据有关法律法规的规定及基金合同的约定，对基金投资比例进行监督。基金托管人按下述比例和调整期限进行监督：</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经中国证监会依法核准或注册的公开募集证券投资基金的基金份额的资产不低于本基金资产的80%；本基金封闭期结束转为开放式运作后，投资于股票（含存托凭证）、股票型基金（包括股票指数基金）和混合型基金的资产合计占基金资产的比例为60%-95%（其中投资于港股通标的股票的比例占股票资</w:t>
      </w:r>
      <w:r>
        <w:rPr>
          <w:rFonts w:ascii="宋体" w:hAnsi="宋体"/>
          <w:sz w:val="24"/>
        </w:rPr>
        <w:lastRenderedPageBreak/>
        <w:t>产的0%-50%）；封闭期内，投资于股票（含存托凭证）、股票型基金（包括股票指数基金）和混合型基金的资产合计占基金资产的比例为60%-100%（其中投资于港股通标的股票的比例占股票资产的0%-50%）；本基金封闭期结束转为开放式运作的前后各一个月内，基金投资不受前述下限比例限制；</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封闭期结束转为开放式运作后，本基金持有的现金或者到期日在一年以内的政府债券的比例合计不低于基金资产净值的5%；在封闭期内，本基金不受前述5%的限制；其中现金不包括结算备付金、存出保证金、应收申购款等；</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（3）本基金持有单只基金的市值，不得高于本基金资产净值的20%，且不得持有其他基金中基金；</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（4）本基金管理人管理的全部基金（除ETF联接基金外）持有单只基金不得超过被投资基金净资产的20%，被投资基金净资产规模以最近定期报告披露的规模为准；</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（5）本基金不得持有具有复杂、衍生品性质的基金份额，包括分级基金和中国证监会认定的其他基金份额；</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（6）本基金投资其他基金时，被投资基金的运作期限不少于1年、最近定期报告披露的基金净资产应当不低于1亿元；</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（7）本基金封闭期结束转为开放式运作后，投资于封闭运作基金、定期开放基金等流通受限基金的，其公允价值不得超过本基金资产净值的10%；</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（8）基金管理人运用本基金财产投资于股票、债券等金融工具的，投资品种和比例应当符合本基金的投资目标和投资策略；</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（9）本基金持有一家公司发行的证券（同一家公司在内地和香港同时上市的A+H股合并计算，不含本基金所投资的基金份额），其市值不超过基金资产净值的10%；</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管理人管理的全部基金持有一家公司发行的证券（同一家公司在内地和香港同时上市的A+H股合并计算，不含本基金所投资的基金份额），不超过该证券的10%，完全按照有关指数的构成比例进行证券投资的基金品种可以不受此条款规定的比例限制；</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w:t>
      </w:r>
      <w:r>
        <w:rPr>
          <w:rFonts w:ascii="宋体" w:hAnsi="宋体"/>
          <w:sz w:val="24"/>
        </w:rPr>
        <w:lastRenderedPageBreak/>
        <w:t>股票，不得超过该上市公司可流通股票的30%；完全按照有关指数的构成比例进行证券投资的开放式基金以及中国证监会认定的特殊投资组合可不受前述比例限制；</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封闭期结束转为开放式运作后，主动投资于流动性受限资产的市值合计不得超过本基金资产净值的15%；因证券市场波动、上市公司股票停牌、基金规模变动等基金管理人之外的因素致使基金不符合该比例限制的，基金管理人不得主动新增流动性受限资产的投资；</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（13）本基金与私募类证券资管产品及中国证监会认定的其他主体为交易对手开展逆回购交易的，可接受质押品的资质要求应当与基金合同约定的投资范围保持一致；</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（14）本基金投资于同一原始权益人的各类资产支持证券的比例，不得超过基金资产净值的10%；</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（15）本基金持有的全部资产支持证券，其市值不得超过基金资产净值的20%；</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（16）本基金持有的同一（指同一信用级别）资产支持证券的比例，不得超过该资产支持证券规模的10%；</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（17）本基金管理人管理的全部基金投资于同一原始权益人的各类资产支持证券，不得超过其各类资产支持证券合计规模的10%；</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（18）本基金应投资于信用级别评级为BBB以上（含BBB）的资产支持证券。基金持有资产支持证券期间，如果其信用等级下降、不再符合投资标准，应在评级报告发布之日起3个月内予以全部卖出；</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（19）基金财产参与股票发行申购，本基金所申报的金额不超过本基金的总资产，本基金所申报的股票数量不超过拟发行股票公司本次发行股票的总量；</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封闭期内，本基金债券正回购资金余额或逆回购资金余额不得超过其上一日基金资产净值的100%；本基金封闭期结束转为开放式运作后，本基金债券正回购资金余额或逆回购资金余额不得超过其上一日基金资产净值的 40%。本基金进入全国银行间同业市场进行债券回购的最长期限为1年，债券回购到期后不得展期；</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（21）封闭期内，本基金资产总值不得超过基金资产净值的200%；本基金封闭期结束转为开放式运作后，基金资产总值不得超过基金资产净值的140%；</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（22）本基金投资存托凭证的比例限制依照境内上市交易的股票执行；</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（23）本基金投资于货币市场基金的比例不得超过基金资产的15%；</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（24）法律法规及中国证监会规定的和《基金合同》约定的其他投资限制。</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证券市场波动、证券发行人合并、本基金规模变动、本基金所投资的基金发生流动性限制、暂停申购、赎回或二级市场交易停牌等基金管理人之外的因素致使本基金投资比例不符合上述第（3）项、第（4）项规定投资比例的，基金管理人应当在20个交易日内进行调整；对于第（2）项、第（3）项、第（4）项、第（12）项、第（13）项及第（18）项以外的其他情形，基金管理人应当在10个交易日内进行调整，但中国证监会规定的特殊情形除外。法律法规另有规定的，从其规定。</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3、基金托管人根据有关法律法规的规定及基金合同的约定，对本托管协议第十五条第（十二）款基金投资禁止行为进行监督。</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本基金的投资目标和投资策略，遵循基金份额持有人利益优先原则，防范利益冲突，建立健全内部审批机制和评估机制，按照市场公平合理价格执行。相关交易必须事先得到基金托管人同意，并按法律法规予以披露。重大关联交易应提交基金管理人董事会审议，并经过三分之二以上的独立董事通过。基金管理人董事会应至少每半年对关联交易事项进行审查。</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4、基金托管人根据有关法律法规的规定及基金合同的约定，对基金管理人参与银行间债券市场进行监督。</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基金投资运作之前向基金托管人提供符合法律法规及行业标准的、经慎重选择的、本基金适用的银行间债券市场交易对手名单，并约定各交易对手所适用的交易结算方式。基金管理人应严格按照交易对手名单的范围在银行间债券市场选择交易对手。基金托管人事后监督基金管理人是否按事前提供的银行间债</w:t>
      </w:r>
      <w:r>
        <w:rPr>
          <w:rFonts w:ascii="宋体" w:hAnsi="宋体"/>
          <w:sz w:val="24"/>
        </w:rPr>
        <w:lastRenderedPageBreak/>
        <w:t>券市场交易对手名单进行交易。基金管理人可以对银行间债券市场交易对手名单及结算方式进行更新，新名单确定前已与本次剔除的交易对手所进行但尚未结算的交易，仍应按照协议进行结算。如基金管理人根据市场情况需要临时调整银行间债券市场交易对手名单及结算方式的，应向基金托管人说明理由，并在与交易对手发生交易前与基金托管人协商解决。</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负责对交易对手的资信控制，按银行间债券市场的交易规则进行交易，基金托管人则根据银行间债券市场成交单对合同履行情况进行监督，不承担交易对手不履行合同造成的损失。如基金托管人事后发现基金管理人没有按照事先约定的交易对手进行交易时，基金托管人应及时提醒基金管理人，基金托管人不承担由此造成的任何损失和责任。</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5、基金托管人根据有关法律法规的规定及基金合同的约定，对基金投资流通受限证券进行监督。</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（1）基金投资流通受限证券，应遵守《关于基金投资非公开发行股票等流通受限证券有关问题的通知》等有关法律法规规定。</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通受限证券，包括由《上市公司证券发行管理办法》规范的非公开发行股票、公开发行股票网下配售部分等在发行时明确一定期限锁定期的可交易证券,不包括由于发布重大消息或其他原因而临时停牌的证券、已发行未上市证券、回购交易中的质押券等流通受限证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首次投资流通受限证券之前，基金管理人应当制定相关投资决策流程、风险控制等规章制度。基金管理人应当根据基金的投资风格和流动性的需要合理安排流通受限证券的投资比例，并在相关制度中明确具体比例，避免基金出现流动性风险。基金投资非公开发行股票，基金管理人还应提供流动性风险处置预案。上述资料应包括但不限于基金投资流通受限证券的投资额度和投资比例控制情况。</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上述规章制度须经基金管理人董事会批准。上述规章制度经董事会通过之后，基金管理人应至少于首次投资流通受限证券之前两个工作日将上述资料书面发至基金托管人，保证基金托管人有足够的时间进行审核。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投资流通受限证券之前，基金管理人应按约定时间向基金托管人提供符合法律法规要求的有关流通受限证券的信息，具体应当包括但不限于如下文件（如有）：拟发行证券主体的中国证监会批准文件、拟发行数量、定价依据、锁定期、基金拟认购的数量、价格、总成本、总成本占基金资产净值的比例、已持有流</w:t>
      </w:r>
      <w:r>
        <w:rPr>
          <w:rFonts w:ascii="宋体" w:hAnsi="宋体"/>
          <w:sz w:val="24"/>
        </w:rPr>
        <w:lastRenderedPageBreak/>
        <w:t>通受限证券市值占基金资产净值的比例、划款账号、划款金额、划款时间文件等。基金管理人应保证上述信息的真实、完整。</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投资流通受限证券，基金管理人应根据本协议的规定与基金托管银行签订风险控制补充协议。协议应包括基金托管人对于基金管理人是否遵守相关制度、流动性风险处置预案以及相关投资额度和比例的情况进行监督等内容。</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应在基金投资非公开发行股票后两个交易日内，在中国证监会规定媒介披露所投资非公开发行股票的名称、数量、总成本、账面价值，以及总成本和账面价值占基金资产净值的比例、锁定期等信息。</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在力所能及的范围内对基金管理人是否遵守法律法规、投资决策流程、风险控制制度、流动性风险处置预案情况进行监督，并审核基金管理人提供的有关书面信息。基金托管人认为上述资料可能导致基金出现风险的，有权要求基金管理人在投资流通受限证券前就该风险的消除或防范措施进行补充书面说明，并保留查看基金管理人风险管理部门就基金投资流通受限证券出具的风险评估报告等备查资料的权利。否则，基金托管人有权拒绝执行有关指令。因拒绝执行该指令造成基金财产损失的，基金托管人不承担任何责任，并有权报告中国证监会。</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投资银行定期存款应符合相关法律法规约定。基金管理人在投资银行定期存款的过程中，必须符合基金合同就投资品种、投资比例、存款期限等方面的限制。基金管理人应基于审慎原则评估存款银行信用风险并据此选择存款银行。因基金管理人违反上述原则给基金造成的损失，基金托管人不承担任何责任。开立定期存款账户时，定期存款账户的户名应与托管账户户名一致。对于跨行定期存款投资，基金管理人必须和存款机构签订定期存款协议，约定双方的权利和义务，该协议作为划款指令附件。该协议中必须体现如下明确条款：“存款证实书不得被质押或以任何方式被抵押，并不得用于转让和背书；本息到期归还或提前支取的所有款项必须划至托管专户（明确户名、开户行、账号等），不得划入其他任何账户”。并依照本协议交接原则对存单交接流程予以明确。对于跨行存款，基金管理人需提前与基金托管人就定期存款协议及存单交接流程进行沟通。在取得存款证实书后，基金托管人保管证实书正本。基金托管人不对跨行存款的利率政策风险、存款行的选择及存款协议承担责任，基金管理人指定专人在核实存款行授权人员身份信息后，负责印鉴卡与存款证实书等凭证的监交或交接，以确保与基金托管人所交接凭证的真实性、准确性和完整性。基金托管人对投资后处于基金托管人实际控</w:t>
      </w:r>
      <w:r>
        <w:rPr>
          <w:rFonts w:ascii="宋体" w:hAnsi="宋体"/>
          <w:sz w:val="24"/>
        </w:rPr>
        <w:lastRenderedPageBreak/>
        <w:t>制之外的资产不承担保管责任。跨行定期存款账户的预留印鉴为基金托管人托管业务专用章与托管业务授权人名章。</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根据有关法律法规的规定及基金合同的约定，对基金资产净值计算、基金份额净值计算、应收资金到账、基金费用开支及收入确定、基金收益分配、相关信息披露、基金宣传推介材料中登载基金业绩表现数据等进行监督和核查。</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如果基金管理人未经基金托管人的审核擅自将不实的业绩表现数据印制在宣传推介材料上，则基金托管人对此不承担任何责任，并将在发现后立即报告中国证监会。</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8、基金托管人发现基金管理人的上述事项及投资指令或实际投资运作违反法律法规、基金合同和本托管协议的规定，应及时以电话提醒或书面提示等方式通知基金管理人限期纠正。</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积极配合和协助基金托管人的监督和核查。基金管理人收到书面通知后应在下一工作日前及时核对并以书面形式给基金托管人发出回函，就基金托管人合理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9、基金管理人有义务配合和协助基金托管人依照法律法规、基金合同和本托管协议对基金业务执行核查。</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基金托管人发出的书面提示，基金管理人应在规定时间内答复并改正，或就基金托管人合理的疑义进行解释或举证；对基金托管人按照法律法规、基金合同和本托管协议的要求需向中国证监会报送基金监督报告的事项，基金管理人应积极配合提供相关数据资料和制度等。</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10、若基金托管人发现基金管理人依据交易程序已经生效的指令违反法律、行政法规和其他有关规定，或者违反基金合同约定的，应当立即通知基金管理人。</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11、基金托管人发现基金管理人有重大违规行为，应及时报告中国证监会，同时通知基金管理人限期纠正，并将纠正结果报告中国证监会。</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基金管理人无正当理由，拒绝、阻挠对方根据本托管协议规定行使监督权，或采取拖延、欺诈等手段妨碍对方进行有效监督，情节严重或经基金托管人提出警告</w:t>
      </w:r>
      <w:r>
        <w:rPr>
          <w:rFonts w:ascii="宋体" w:hAnsi="宋体"/>
          <w:sz w:val="24"/>
        </w:rPr>
        <w:lastRenderedPageBreak/>
        <w:t>仍不改正的，基金托管人应报告中国证监会。</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12、侧袋机制的实施和投资运作安排</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侧袋机制实施期间，本部分约定的投资组合比例、组合限制等约定仅适用于主袋账户。</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侧袋账户的实施条件、实施程序、运作安排、投资安排、特定资产的处置变现和支付等对投资者权益有重大影响的事项详见招募说明书的规定。</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（三）基金管理人对基金托管人的业务核查</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证券账户、证券投资基金账户以及投资所需的其他专用账户、复核基金管理人计算的各类基金份额的基金资产净值和基金份额净值、根据基金管理人指令办理清算交收、相关信息披露和监督基金投资运作等行为。</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收到通知后应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3、基金管理人发现基金托管人有重大违规行为，应及时报告中国证监会，同时通知基金托管人限期纠正，并将纠正结果报告中国证监会。</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基金托管人无正当理由，拒绝、阻挠对方根据本协议规定行使监督权，或采取拖延、欺诈等手段妨碍对方进行有效监督，情节严重或经基金管理人提出警告仍不改正的，基金管理人应报告中国证监会。</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1、基金财产保管的原则</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（3）基金托管人按照规定开设基金财产的资金账户、证券账户、证券投资基金账户以及投资所需的其他专用账户；</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（4）基金托管人对所托管的不同基金财产分别设置账户，确保基金财产的完整与独立；</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（5）基金托管人根据基金管理人的指令，按照基金合同和本协议的约定保管基金财产，如有特殊情况双方可另行协商解决；</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因为基金投资产生的应收资产，应由基金管理人负责与有关当事人确定到账日期并通知基金托管人，到账日基金财产没有到达基金账户的，基金托管人应及时通知并配合基金管理人采取措施进行催收。由此给基金财产造成损失的，基金管理人应负责向有关当事人追偿基金财产的损失，基金托管人对基金管理人的追偿行为应予以必要的协助；</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（7）除依据法律法规和基金合同的规定外，基金托管人不得委托第三人托管基金财产。</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2、基金募集期间及募集资金的验资</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（1）基金募集期间募集的资金应存于基金管理人开立的“基金募集专户”。该账户由基金管理人开立并管理。</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满或基金停止募集时，募集的基金份额总额、基金募集金额、基金份额持有人人数符合《基金法》、《运作办法》等有关规定后，基金管理人应将属于基金财产的全部资金划入基金托管人为本基金开立的基金托管专户，同时在规定时间内，聘请符合《中华人民共和国证券法》规定的会计师事务所进行验资，出具验资报告。出具的验资报告由参加验资的2名或2名以上中国注册会计师签字方为有效。</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（3）若基金募集期限届满或基金停止募集时，未能达到基金合同生效的条件，由基金管理人按规定办理退款等事宜，基金托管人应提供充分协助。</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3、基金托管专户的开立和管理</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（1）基金托管人以基金的名义在其营业机构开设基金托管专户，保管基金的银行存款。本基金的一切货币收支活动，包括但不限于投资、支付赎回金额、支付</w:t>
      </w:r>
      <w:r>
        <w:rPr>
          <w:rFonts w:ascii="宋体" w:hAnsi="宋体"/>
          <w:sz w:val="24"/>
        </w:rPr>
        <w:lastRenderedPageBreak/>
        <w:t>基金收益、收取申购款，均需通过基金托管专户进行。</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（2）基金托管专户的开立和使用，限于满足开展本基金业务的需要。基金托管人和基金管理人不得假借本基金的名义开立任何其他银行账户；亦不得使用基金的任何账户进行本基金业务以外的活动。</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（3）基金托管专户的开立和管理应符合有关法律法规以及银行业监督管理机构的其他有关规定。</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4、基金证券账户和结算备付金账户的开立和管理</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（1）基金托管人在中国证券登记结算有限责任公司上海分公司、深圳分公司为基金开立基金托管人与基金联名的证券账户。</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（2）基金证券账户的开立和使用，仅限于满足开展本基金业务的需要。基金托管人和基金管理人不得出借或未经对方同意擅自转让基金的任何证券账户，亦不得使用基金的任何账户进行本基金业务以外的活动。</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（3）基金证券账户的开立和证券账户卡的保管由基金托管人负责，账户资产的管理和运用由基金管理人负责。</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以基金托管人的名义在中国证券登记结算有限责任公司开立结算备付金账户，并代表所托管的基金完成与中国证券登记结算有限责任公司的一级法人清算工作，基金管理人应予以积极协助。结算备付金、交收价差资金等的收取按照中国证券登记结算有限责任公司的规定执行。</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（5）若中国证监会或其他监管机构在本托管协议订立日之后允许基金从事其他投资品种的投资业务，涉及相关账户的开立、使用的，若无相关规定，则基金托管人比照上述关于账户开立、使用的规定执行。</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5、银行间债券托管专户的开设和管理</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管理人负责以基金的名义申请并取得进入全国银行间同业拆借市场的交易资格，并代表基金进行交易；基金托管人负责根据中国人民银行、银行间市场登记结算机构的有关规定，以本基金的名义在中央国债登记结算有限责任公司和银行间市场清算所股份有限公司开设银行间债券市场债券托管账户、持有人账户和资金结算账户，并代表基金进行银行间市场债券的结算。基金管理人和基金托管人共同代表基金签订全国银行间债券市场债券回购主协议，基金托管人保管协议正本，基金管理人保存协议副本。</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6、其他账户的开立和管理</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在本托管协议签订日之后，本基金被允许从事符合法律法规规定和基金合同约定的其他投资品种的投资业务时，如果涉及相关账户的开设和使用，由基金管理人协助基金托管人根据有关法律法规的规定和基金合同的约定，开立有关账户。该账户按有关规则使用并管理。</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法律法规等有关规定对相关账户的开立和管理另有规定的，从其规定办理。</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7、基金财产投资的有关有价凭证等的保管</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银行存款开户证实书等有价凭证由基金托管人存放于基金托管人的保管库，也可存入中央国债登记结算有限责任公司、中国证券登记结算有限责任公司上海分公司/深圳分公司、银行间市场清算所股份有限公司或票据营业中心的代保管库，保管凭证由基金托管人持有。实物证券、银行存款开户证实书等有价凭证的购买和转让，由基金管理人和基金托管人共同办理。基金托管人对由基金托管人及基金托管人委托保管的机构以外机构实际有效控制的证券不承担保管责任。</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基金财产有关的重大合同的签署，由基金管理人负责。由基金管理人代表基金签署的、与基金财产有关的重大合同的原件分别由基金管理人、基金托管人保管。除本协议另有规定外，基金管理人代表基金签署的与基金财产有关的重大合同包括但不限于基金年度审计合同、基金信息披露协议及基金投资业务中产生的重大合同，基金管理人应保证基金管理人和基金托管人至少各持有一份正本的原件。基金管理人应在重大合同签署后及时将重大合同传真给基金托管人，并在30个工作日内将正本送达基金托管人处。重大合同的保管期限不低于法律法规规定的最低期限。</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对于无法取得二份以上正本的，基金管理人应向基金托管人提供与合同原件核对一致的加盖公章的合同传真件或复印件，未经双方协商一致或未在合同约定范围内，合同原件不得转移。</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（五）基金资产净值计算与复核</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基金资产净值是指基金资产总值减去负债后的价值。各类基金份额净值是指计算日该类基金资产净值除以计算日该类基金份额总数后的数值。</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各类基金份额的基金份额净值是按照每个估值日，基金资产净值除以当日该类</w:t>
      </w:r>
      <w:r>
        <w:rPr>
          <w:rFonts w:ascii="宋体" w:hAnsi="宋体"/>
          <w:sz w:val="24"/>
        </w:rPr>
        <w:lastRenderedPageBreak/>
        <w:t>估值日基金份额的余额数量计算，精确到0.0001元，小数点后第5位四舍五入。基金管理人可以设立大额赎回情形下的净值精度应急调整机制，具体可参见相关公告。国家另有规定的，从其规定。</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基金管理人于每个工作日分别计算A类基金份额、C类基金份额的基金资产净值及基金份额净值，并按规定公告。如遇特殊情况，经履行适当程序，可以适当延迟计算或公告。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2、复核程序</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依据基金合同和相关法律法规的规定对外公布。</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有关法律法规，基金资产净值计算和基金会计核算的义务由基金管理人承担。本基金的基金会计责任方由基金管理人担任，因此，就与本基金有关的会计问题，如经相关各方在平等基础上充分讨论后，仍无法达成一致意见的，按照基金管理人对基金净值信息的计算结果对外予以公布。</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（六）基金份额持有人名册的保管</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至少应包括基金份额持有人的名称和持有的基金份额。基金份额持有人名册由基金登记机构根据基金管理人的指令编制和保管.基金管理人应定期向基金托管人提供基金份额持有人名册，基金托管人得到基金管理人提供的持有人名册后与基金管理人分别进行保管。保管方式可以采用电子或文档的形式，保存期不低于法律法规规定的最低期限。如不能妥善保管，则按相关法规承担责任。</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因编制基金定期报告等合理原因要求基金管理人提供相关资料时，基金管理人应将有关资料送交基金托管人，不得无故拒绝或延误提供，并保证其真实性、准确性和完整性。基金托管人不得将所保管的基金份额持有人名册用于基金托管业务以外的其他用途，并应遵守保密义务，法律法规另有规定或有权机关另有要求的除外。</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（七）争议解决方式</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双方当事人同意，因基金合同及本协议而产生的或与基金合同或本协议有关的一切争议，如经友好协商未能解决的，任何一方均有权将争议提交中国国际经济贸</w:t>
      </w:r>
      <w:r>
        <w:rPr>
          <w:rFonts w:ascii="宋体" w:hAnsi="宋体"/>
          <w:sz w:val="24"/>
        </w:rPr>
        <w:lastRenderedPageBreak/>
        <w:t>易仲裁委员会，按照该会届时有效的仲裁规则进行仲裁。仲裁地点为北京市。仲裁裁决是终局的，对双方当事人均有约束力，仲裁费用由败诉方承担，除非仲裁裁决另有规定。</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本协议受中国法律（不含港澳台地区法律）管辖并从其解释。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（八）托管协议的变更与终止</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本协议双方当事人经协商一致，可以对协议进行修改。修改后的新协议，其内容不得与基金合同的规定有任何冲突。基金托管协议的变更报中国证监会备案。</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2、基金托管协议终止出现的情形</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（2）基金托管人解散、依法被撤销、破产或由其他基金托管人接管基金资产；</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（3）基金管理人解散、依法被撤销、破产或由其他基金管理人接管基金管理权；</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（4）发生法律法规或基金合同规定的终止事项。</w:t>
      </w:r>
    </w:p>
    <w:p w:rsidR="00B439CC" w:rsidRDefault="00DB33E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A47C9" w:rsidRDefault="00DB33E2">
      <w:pPr>
        <w:pStyle w:val="1"/>
        <w:snapToGrid w:val="0"/>
        <w:spacing w:beforeLines="0" w:before="240" w:after="240"/>
        <w:rPr>
          <w:rFonts w:ascii="宋体" w:hAnsi="宋体"/>
          <w:szCs w:val="30"/>
        </w:rPr>
      </w:pPr>
      <w:bookmarkStart w:id="26" w:name="_Toc235443147"/>
      <w:r>
        <w:rPr>
          <w:rFonts w:ascii="Times New Roman" w:hAnsi="Times New Roman"/>
          <w:sz w:val="30"/>
        </w:rPr>
        <w:lastRenderedPageBreak/>
        <w:t>二十三、对基金份额持有人的服务</w:t>
      </w:r>
      <w:bookmarkEnd w:id="26"/>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（一）持有人交易资料的寄送服务</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1、每次交易结束后，投资人可在T+3个工作日后通过销售机构的网点查询和打印确认单。</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（二）网上直销服务</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业务，个人投资者可以直接通过本基金管理人网站的网上直销交易平台办理开户和本基金的申购、赎回、定期定额投资等业务。通过网上直销交易平台办理本基金的申购和定期定额投资业务的个人投资者将享受申购费率的优惠。具体优惠费率请参见公司网站列示的网上直销交易平台申购、定期定额投资及转换费率表或相关公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本公司基金网上直销业务已开通的银行卡及各银行卡交易金额限额请参阅本公司网站。</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在条件成熟的时候，本基金管理人将根据基金网上直销业务的发展状况，适时调整可用于基金网上直销交易平台的银行卡种类，敬请投资人留意相关公告。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（三）信息咨询、查询服务</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（四）基金转换业务</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本基金还未开通转换业务，具体实施方法请参见相关公告。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（五）定期定额投资计划</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投资人也可登录本基金管理人网站，直接提出有关本基金的问题和建议。</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（六）如本招募说明书存在任何您/贵机构无法理解的内容，请通过上述方式联系基金管理人。请确保投资前，您/贵机构已经全面理解了本招募说明书。</w:t>
      </w:r>
    </w:p>
    <w:p w:rsidR="00B439CC" w:rsidRDefault="00DB33E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A47C9" w:rsidRDefault="00DB33E2">
      <w:pPr>
        <w:pStyle w:val="1"/>
        <w:snapToGrid w:val="0"/>
        <w:spacing w:beforeLines="0" w:before="240" w:after="240"/>
        <w:rPr>
          <w:rFonts w:ascii="宋体" w:hAnsi="宋体"/>
          <w:szCs w:val="30"/>
        </w:rPr>
      </w:pPr>
      <w:bookmarkStart w:id="27" w:name="_Toc235443148"/>
      <w:r>
        <w:rPr>
          <w:rFonts w:ascii="Times New Roman" w:hAnsi="Times New Roman"/>
          <w:sz w:val="30"/>
        </w:rPr>
        <w:lastRenderedPageBreak/>
        <w:t>二十四、其他应披露事项</w:t>
      </w:r>
      <w:bookmarkEnd w:id="27"/>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交银施罗德基金管理有限公司关于交银施罗德智选星光混合型基金中基金（</w:t>
            </w:r>
            <w:r>
              <w:rPr>
                <w:rFonts w:ascii="Times New Roman" w:hAnsi="Times New Roman"/>
                <w:color w:val="000000"/>
                <w:kern w:val="0"/>
                <w:sz w:val="25"/>
                <w:szCs w:val="24"/>
              </w:rPr>
              <w:t>FOF-LOF</w:t>
            </w:r>
            <w:r>
              <w:rPr>
                <w:rFonts w:ascii="Times New Roman" w:hAnsi="Times New Roman"/>
                <w:color w:val="000000"/>
                <w:kern w:val="0"/>
                <w:sz w:val="25"/>
                <w:szCs w:val="24"/>
              </w:rPr>
              <w:t>）溢价风险提示公告</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2025-06-25</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交银施罗德基金管理有限公司关于增加上海中欧财富基金销售有限公司为旗下基金的销售机构的公告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2025-06-27</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交银施罗德智选星光混合型基金中基金（</w:t>
            </w:r>
            <w:r>
              <w:rPr>
                <w:rFonts w:ascii="Times New Roman" w:hAnsi="Times New Roman"/>
                <w:color w:val="000000"/>
                <w:kern w:val="0"/>
                <w:sz w:val="25"/>
                <w:szCs w:val="24"/>
              </w:rPr>
              <w:t>FOF-LOF</w:t>
            </w:r>
            <w:r>
              <w:rPr>
                <w:rFonts w:ascii="Times New Roman" w:hAnsi="Times New Roman"/>
                <w:color w:val="000000"/>
                <w:kern w:val="0"/>
                <w:sz w:val="25"/>
                <w:szCs w:val="24"/>
              </w:rPr>
              <w:t>）招募说明书更新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交银施罗德智选星光混合型基金中基金（</w:t>
            </w:r>
            <w:r>
              <w:rPr>
                <w:rFonts w:ascii="Times New Roman" w:hAnsi="Times New Roman"/>
                <w:color w:val="000000"/>
                <w:kern w:val="0"/>
                <w:sz w:val="25"/>
                <w:szCs w:val="24"/>
              </w:rPr>
              <w:t>FOF-LOF</w:t>
            </w:r>
            <w:r>
              <w:rPr>
                <w:rFonts w:ascii="Times New Roman" w:hAnsi="Times New Roman"/>
                <w:color w:val="000000"/>
                <w:kern w:val="0"/>
                <w:sz w:val="25"/>
                <w:szCs w:val="24"/>
              </w:rPr>
              <w:t>）（</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交银施罗德智选星光混合型基金中基金（</w:t>
            </w:r>
            <w:r>
              <w:rPr>
                <w:rFonts w:ascii="Times New Roman" w:hAnsi="Times New Roman"/>
                <w:color w:val="000000"/>
                <w:kern w:val="0"/>
                <w:sz w:val="25"/>
                <w:szCs w:val="24"/>
              </w:rPr>
              <w:t>FOF-LOF</w:t>
            </w:r>
            <w:r>
              <w:rPr>
                <w:rFonts w:ascii="Times New Roman" w:hAnsi="Times New Roman"/>
                <w:color w:val="000000"/>
                <w:kern w:val="0"/>
                <w:sz w:val="25"/>
                <w:szCs w:val="24"/>
              </w:rPr>
              <w:t>）（</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交银施罗德智选星光混合型基金中基金（</w:t>
            </w:r>
            <w:r>
              <w:rPr>
                <w:rFonts w:ascii="Times New Roman" w:hAnsi="Times New Roman"/>
                <w:color w:val="000000"/>
                <w:kern w:val="0"/>
                <w:sz w:val="25"/>
                <w:szCs w:val="24"/>
              </w:rPr>
              <w:t>FOF-LOF</w:t>
            </w:r>
            <w:r>
              <w:rPr>
                <w:rFonts w:ascii="Times New Roman" w:hAnsi="Times New Roman"/>
                <w:color w:val="000000"/>
                <w:kern w:val="0"/>
                <w:sz w:val="25"/>
                <w:szCs w:val="24"/>
              </w:rPr>
              <w:t>）</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交银施罗德智选星光混合型基金中基金（</w:t>
            </w:r>
            <w:r>
              <w:rPr>
                <w:rFonts w:ascii="Times New Roman" w:hAnsi="Times New Roman"/>
                <w:color w:val="000000"/>
                <w:kern w:val="0"/>
                <w:sz w:val="25"/>
                <w:szCs w:val="24"/>
              </w:rPr>
              <w:t>FOF-LOF</w:t>
            </w:r>
            <w:r>
              <w:rPr>
                <w:rFonts w:ascii="Times New Roman" w:hAnsi="Times New Roman"/>
                <w:color w:val="000000"/>
                <w:kern w:val="0"/>
                <w:sz w:val="25"/>
                <w:szCs w:val="24"/>
              </w:rPr>
              <w:t>）</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交银施罗德智选星光混合型基金中基金（</w:t>
            </w:r>
            <w:r>
              <w:rPr>
                <w:rFonts w:ascii="Times New Roman" w:hAnsi="Times New Roman"/>
                <w:color w:val="000000"/>
                <w:kern w:val="0"/>
                <w:sz w:val="25"/>
                <w:szCs w:val="24"/>
              </w:rPr>
              <w:t>FOF-LOF</w:t>
            </w:r>
            <w:r>
              <w:rPr>
                <w:rFonts w:ascii="Times New Roman" w:hAnsi="Times New Roman"/>
                <w:color w:val="000000"/>
                <w:kern w:val="0"/>
                <w:sz w:val="25"/>
                <w:szCs w:val="24"/>
              </w:rPr>
              <w:t>）</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交银施罗德智选星光混合型基金中基金（</w:t>
            </w:r>
            <w:r>
              <w:rPr>
                <w:rFonts w:ascii="Times New Roman" w:hAnsi="Times New Roman"/>
                <w:color w:val="000000"/>
                <w:kern w:val="0"/>
                <w:sz w:val="25"/>
                <w:szCs w:val="24"/>
              </w:rPr>
              <w:t>FOF-LOF</w:t>
            </w:r>
            <w:r>
              <w:rPr>
                <w:rFonts w:ascii="Times New Roman" w:hAnsi="Times New Roman"/>
                <w:color w:val="000000"/>
                <w:kern w:val="0"/>
                <w:sz w:val="25"/>
                <w:szCs w:val="24"/>
              </w:rPr>
              <w:t>）</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w:t>
            </w:r>
            <w:r>
              <w:rPr>
                <w:rFonts w:ascii="Times New Roman" w:hAnsi="Times New Roman"/>
                <w:color w:val="000000"/>
                <w:kern w:val="0"/>
                <w:sz w:val="25"/>
                <w:szCs w:val="24"/>
              </w:rPr>
              <w:t>2025</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12</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交银施罗德智选星光混合型基金中基金（</w:t>
            </w:r>
            <w:r>
              <w:rPr>
                <w:rFonts w:ascii="Times New Roman" w:hAnsi="Times New Roman"/>
                <w:color w:val="000000"/>
                <w:kern w:val="0"/>
                <w:sz w:val="25"/>
                <w:szCs w:val="24"/>
              </w:rPr>
              <w:t>FOF-LOF</w:t>
            </w:r>
            <w:r>
              <w:rPr>
                <w:rFonts w:ascii="Times New Roman" w:hAnsi="Times New Roman"/>
                <w:color w:val="000000"/>
                <w:kern w:val="0"/>
                <w:sz w:val="25"/>
                <w:szCs w:val="24"/>
              </w:rPr>
              <w:t>）</w:t>
            </w:r>
            <w:r>
              <w:rPr>
                <w:rFonts w:ascii="Times New Roman" w:hAnsi="Times New Roman"/>
                <w:color w:val="000000"/>
                <w:kern w:val="0"/>
                <w:sz w:val="25"/>
                <w:szCs w:val="24"/>
              </w:rPr>
              <w:t>2025</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交银施罗德智选星光混合型基金中基金（</w:t>
            </w:r>
            <w:r>
              <w:rPr>
                <w:rFonts w:ascii="Times New Roman" w:hAnsi="Times New Roman"/>
                <w:color w:val="000000"/>
                <w:kern w:val="0"/>
                <w:sz w:val="25"/>
                <w:szCs w:val="24"/>
              </w:rPr>
              <w:t>FOF-LOF</w:t>
            </w:r>
            <w:r>
              <w:rPr>
                <w:rFonts w:ascii="Times New Roman" w:hAnsi="Times New Roman"/>
                <w:color w:val="000000"/>
                <w:kern w:val="0"/>
                <w:sz w:val="25"/>
                <w:szCs w:val="24"/>
              </w:rPr>
              <w:t>）</w:t>
            </w:r>
            <w:r>
              <w:rPr>
                <w:rFonts w:ascii="Times New Roman" w:hAnsi="Times New Roman"/>
                <w:color w:val="000000"/>
                <w:kern w:val="0"/>
                <w:sz w:val="25"/>
                <w:szCs w:val="24"/>
              </w:rPr>
              <w:t>2026</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交银施罗德基金管理有限公司关于交银施罗德智选星光混合型基金中基金（</w:t>
            </w:r>
            <w:r>
              <w:rPr>
                <w:rFonts w:ascii="Times New Roman" w:hAnsi="Times New Roman"/>
                <w:color w:val="000000"/>
                <w:kern w:val="0"/>
                <w:sz w:val="25"/>
                <w:szCs w:val="24"/>
              </w:rPr>
              <w:t>FOF-LOF</w:t>
            </w:r>
            <w:r>
              <w:rPr>
                <w:rFonts w:ascii="Times New Roman" w:hAnsi="Times New Roman"/>
                <w:color w:val="000000"/>
                <w:kern w:val="0"/>
                <w:sz w:val="25"/>
                <w:szCs w:val="24"/>
              </w:rPr>
              <w:t>）</w:t>
            </w:r>
            <w:r>
              <w:rPr>
                <w:rFonts w:ascii="Times New Roman" w:hAnsi="Times New Roman"/>
                <w:color w:val="000000"/>
                <w:kern w:val="0"/>
                <w:sz w:val="25"/>
                <w:szCs w:val="24"/>
              </w:rPr>
              <w:t>A</w:t>
            </w:r>
            <w:r>
              <w:rPr>
                <w:rFonts w:ascii="Times New Roman" w:hAnsi="Times New Roman"/>
                <w:color w:val="000000"/>
                <w:kern w:val="0"/>
                <w:sz w:val="25"/>
                <w:szCs w:val="24"/>
              </w:rPr>
              <w:t>类基金份额午间收盘溢价风险提示公告</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2026-06-03</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交银施罗德基金管理有限公司关于终止中证金牛（北京）基金销售有限公司办理相关销售业务的公告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2026-06-06</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2026-06-13</w:t>
            </w:r>
          </w:p>
        </w:tc>
      </w:tr>
      <w:tr w:rsidR="005A47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交银施罗德基金管理有限公司关于交银施罗德智选星光混合型基金中基金（</w:t>
            </w:r>
            <w:r>
              <w:rPr>
                <w:rFonts w:ascii="Times New Roman" w:hAnsi="Times New Roman"/>
                <w:color w:val="000000"/>
                <w:kern w:val="0"/>
                <w:sz w:val="25"/>
                <w:szCs w:val="24"/>
              </w:rPr>
              <w:t>FOF-LOF</w:t>
            </w:r>
            <w:r>
              <w:rPr>
                <w:rFonts w:ascii="Times New Roman" w:hAnsi="Times New Roman"/>
                <w:color w:val="000000"/>
                <w:kern w:val="0"/>
                <w:sz w:val="25"/>
                <w:szCs w:val="24"/>
              </w:rPr>
              <w:t>）</w:t>
            </w:r>
            <w:r>
              <w:rPr>
                <w:rFonts w:ascii="Times New Roman" w:hAnsi="Times New Roman"/>
                <w:color w:val="000000"/>
                <w:kern w:val="0"/>
                <w:sz w:val="25"/>
                <w:szCs w:val="24"/>
              </w:rPr>
              <w:t>A</w:t>
            </w:r>
            <w:r>
              <w:rPr>
                <w:rFonts w:ascii="Times New Roman" w:hAnsi="Times New Roman"/>
                <w:color w:val="000000"/>
                <w:kern w:val="0"/>
                <w:sz w:val="25"/>
                <w:szCs w:val="24"/>
              </w:rPr>
              <w:t>类基金份额午间收盘溢价风险提示公告</w:t>
            </w:r>
          </w:p>
        </w:tc>
        <w:tc>
          <w:tcPr>
            <w:tcW w:w="75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A47C9" w:rsidRDefault="00DB3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2026-06-16</w:t>
            </w:r>
          </w:p>
        </w:tc>
      </w:tr>
    </w:tbl>
    <w:p w:rsidR="00B439CC" w:rsidRDefault="00DB33E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A47C9" w:rsidRDefault="00DB33E2">
      <w:pPr>
        <w:pStyle w:val="1"/>
        <w:snapToGrid w:val="0"/>
        <w:spacing w:beforeLines="0" w:before="240" w:after="240"/>
        <w:rPr>
          <w:rFonts w:ascii="宋体" w:hAnsi="宋体"/>
          <w:szCs w:val="30"/>
        </w:rPr>
      </w:pPr>
      <w:bookmarkStart w:id="28" w:name="_Toc235443149"/>
      <w:r>
        <w:rPr>
          <w:rFonts w:ascii="Times New Roman" w:hAnsi="Times New Roman"/>
          <w:sz w:val="30"/>
        </w:rPr>
        <w:lastRenderedPageBreak/>
        <w:t>二十五、招募说明书的存放及查阅方式</w:t>
      </w:r>
      <w:bookmarkEnd w:id="28"/>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和营业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DB33E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A47C9" w:rsidRDefault="00DB33E2">
      <w:pPr>
        <w:pStyle w:val="1"/>
        <w:snapToGrid w:val="0"/>
        <w:spacing w:beforeLines="0" w:before="240" w:after="240"/>
        <w:rPr>
          <w:rFonts w:ascii="宋体" w:hAnsi="宋体"/>
          <w:szCs w:val="30"/>
        </w:rPr>
      </w:pPr>
      <w:bookmarkStart w:id="29" w:name="_Toc235443150"/>
      <w:r>
        <w:rPr>
          <w:rFonts w:ascii="Times New Roman" w:hAnsi="Times New Roman"/>
          <w:sz w:val="30"/>
        </w:rPr>
        <w:lastRenderedPageBreak/>
        <w:t>二十六、备查文件</w:t>
      </w:r>
      <w:bookmarkEnd w:id="29"/>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（一）中国证监会准予交银施罗德智选星光一年封闭运作混合型基金中基金（FOF-LOF）募集注册的文件</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（二）《交银施罗德智选星光混合型基金中基金（FOF-LOF）基金合同》</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（三）《交银施罗德智选星光混合型基金中基金（FOF-LOF）托管协议》</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5A47C9" w:rsidRDefault="00DB33E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（六）关于申请募集注册交银施罗德智选星光一年封闭运作混合型基金中基金（FOF-LOF）的法律意见书</w:t>
      </w:r>
    </w:p>
    <w:sectPr w:rsidR="005A47C9">
      <w:footerReference w:type="default" r:id="rId17"/>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1522" w:rsidRDefault="00DB33E2">
      <w:r>
        <w:separator/>
      </w:r>
    </w:p>
  </w:endnote>
  <w:endnote w:type="continuationSeparator" w:id="0">
    <w:p w:rsidR="00741522" w:rsidRDefault="00DB33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47C9" w:rsidRDefault="005A47C9">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47C9" w:rsidRDefault="00382FA6">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5A47C9" w:rsidRDefault="00DB33E2">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382FA6">
                  <w:rPr>
                    <w:rFonts w:ascii="Times New Roman" w:hAnsi="Times New Roman"/>
                    <w:noProof/>
                    <w:kern w:val="0"/>
                    <w:sz w:val="18"/>
                    <w:szCs w:val="18"/>
                  </w:rPr>
                  <w:t>4</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47C9" w:rsidRDefault="005A47C9">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47C9" w:rsidRDefault="00382FA6">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5A47C9" w:rsidRDefault="00DB33E2">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382FA6">
                  <w:rPr>
                    <w:rFonts w:ascii="Times New Roman" w:hAnsi="Times New Roman"/>
                    <w:noProof/>
                    <w:kern w:val="0"/>
                    <w:sz w:val="18"/>
                    <w:szCs w:val="18"/>
                  </w:rPr>
                  <w:t>159</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1522" w:rsidRDefault="00DB33E2">
      <w:r>
        <w:separator/>
      </w:r>
    </w:p>
  </w:footnote>
  <w:footnote w:type="continuationSeparator" w:id="0">
    <w:p w:rsidR="00741522" w:rsidRDefault="00DB33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47C9" w:rsidRDefault="005A47C9">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47C9" w:rsidRDefault="00DB33E2">
    <w:pPr>
      <w:pStyle w:val="a3"/>
      <w:jc w:val="right"/>
      <w:rPr>
        <w:rFonts w:ascii="宋体" w:hAnsi="宋体"/>
      </w:rPr>
    </w:pPr>
    <w:r>
      <w:rPr>
        <w:rFonts w:ascii="宋体" w:hAnsi="宋体" w:hint="eastAsia"/>
      </w:rPr>
      <w:t>交银施罗德智选星光混合型基金中基金（FOF-LOF）招募说明书更新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47C9" w:rsidRDefault="005A47C9">
    <w:pPr>
      <w:pStyle w:val="10"/>
      <w:jc w:val="right"/>
    </w:pPr>
  </w:p>
  <w:p w:rsidR="005A47C9" w:rsidRDefault="005A47C9">
    <w:pPr>
      <w:pStyle w:val="10"/>
      <w:jc w:val="right"/>
    </w:pPr>
  </w:p>
  <w:p w:rsidR="005A47C9" w:rsidRDefault="005A47C9">
    <w:pPr>
      <w:pStyle w:val="a3"/>
      <w:jc w:val="right"/>
    </w:pPr>
  </w:p>
  <w:p w:rsidR="005A47C9" w:rsidRDefault="00DB33E2">
    <w:pPr>
      <w:pStyle w:val="a3"/>
      <w:jc w:val="right"/>
      <w:rPr>
        <w:rFonts w:ascii="宋体" w:hAnsi="宋体"/>
      </w:rPr>
    </w:pPr>
    <w:r>
      <w:rPr>
        <w:rFonts w:ascii="宋体" w:hAnsi="宋体" w:hint="eastAsia"/>
      </w:rPr>
      <w:t>交银施罗德智选星光混合型基金中基金（FOF-LOF）招募说明书更新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47C9" w:rsidRDefault="005A47C9">
    <w:pPr>
      <w:pStyle w:val="a3"/>
      <w:jc w:val="right"/>
    </w:pPr>
  </w:p>
  <w:p w:rsidR="005A47C9" w:rsidRDefault="005A47C9">
    <w:pPr>
      <w:pStyle w:val="a3"/>
      <w:jc w:val="right"/>
    </w:pPr>
  </w:p>
  <w:p w:rsidR="005A47C9" w:rsidRDefault="005A47C9">
    <w:pPr>
      <w:pStyle w:val="a3"/>
      <w:jc w:val="right"/>
    </w:pPr>
  </w:p>
  <w:p w:rsidR="005A47C9" w:rsidRDefault="00DB33E2">
    <w:pPr>
      <w:pStyle w:val="a3"/>
      <w:jc w:val="right"/>
      <w:rPr>
        <w:rFonts w:ascii="宋体" w:hAnsi="宋体"/>
      </w:rPr>
    </w:pPr>
    <w:r>
      <w:rPr>
        <w:rFonts w:ascii="宋体" w:hAnsi="宋体" w:hint="eastAsia"/>
      </w:rPr>
      <w:t>交银施罗德智选星光混合型基金中基金（FOF-LOF）招募说明书更新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6"/>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2FA6"/>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47C9"/>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41522"/>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3E2"/>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6"/>
    <o:shapelayout v:ext="edit">
      <o:idmap v:ext="edit" data="3"/>
    </o:shapelayout>
  </w:shapeDefaults>
  <w:decimalSymbol w:val="."/>
  <w:listSeparator w:val=","/>
  <w15:docId w15:val="{5C428F87-C37A-4166-889D-8942594D4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160</Pages>
  <Words>17071</Words>
  <Characters>97310</Characters>
  <Application>Microsoft Office Word</Application>
  <DocSecurity>0</DocSecurity>
  <Lines>810</Lines>
  <Paragraphs>228</Paragraphs>
  <ScaleCrop>false</ScaleCrop>
  <Company>Microsoft</Company>
  <LinksUpToDate>false</LinksUpToDate>
  <CharactersWithSpaces>114153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2026-07-20T04:31:00Z</dcterms:created>
  <dcterms:modified xsi:type="dcterms:W3CDTF">2026-07-20T04:31:00Z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